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F08A26">
      <w:pPr>
        <w:spacing w:line="480" w:lineRule="auto"/>
        <w:jc w:val="center"/>
        <w:rPr>
          <w:rFonts w:eastAsia="黑体"/>
          <w:bCs/>
          <w:sz w:val="36"/>
          <w:szCs w:val="36"/>
        </w:rPr>
      </w:pPr>
      <w:bookmarkStart w:id="0" w:name="_Toc31176"/>
      <w:bookmarkStart w:id="1" w:name="_Toc14887"/>
      <w:bookmarkStart w:id="2" w:name="_Toc6083"/>
      <w:bookmarkStart w:id="3" w:name="_Toc12576"/>
      <w:bookmarkStart w:id="4" w:name="_Toc5969"/>
      <w:bookmarkStart w:id="5" w:name="_Toc493523082"/>
      <w:bookmarkStart w:id="6" w:name="_Toc22011"/>
      <w:bookmarkStart w:id="7" w:name="_Toc3237"/>
      <w:bookmarkStart w:id="8" w:name="_Toc484105078"/>
    </w:p>
    <w:p w14:paraId="4007E40D">
      <w:pPr>
        <w:spacing w:line="480" w:lineRule="auto"/>
        <w:jc w:val="center"/>
        <w:rPr>
          <w:rFonts w:eastAsia="黑体"/>
          <w:bCs/>
          <w:sz w:val="36"/>
          <w:szCs w:val="36"/>
        </w:rPr>
      </w:pPr>
    </w:p>
    <w:p w14:paraId="0A60F7E2">
      <w:pPr>
        <w:spacing w:line="480" w:lineRule="auto"/>
        <w:jc w:val="center"/>
        <w:rPr>
          <w:rFonts w:eastAsia="黑体"/>
          <w:bCs/>
          <w:sz w:val="36"/>
          <w:szCs w:val="36"/>
        </w:rPr>
      </w:pPr>
    </w:p>
    <w:p w14:paraId="07FD8C77">
      <w:pPr>
        <w:spacing w:line="480" w:lineRule="auto"/>
        <w:jc w:val="center"/>
        <w:rPr>
          <w:rFonts w:eastAsia="黑体"/>
          <w:bCs/>
          <w:sz w:val="36"/>
          <w:szCs w:val="36"/>
        </w:rPr>
      </w:pPr>
    </w:p>
    <w:p w14:paraId="1D4095D1">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eastAsia" w:ascii="宋体" w:hAnsi="宋体" w:eastAsia="宋体"/>
          <w:b/>
          <w:bCs/>
          <w:sz w:val="44"/>
          <w:szCs w:val="44"/>
          <w:lang w:eastAsia="zh-CN"/>
        </w:rPr>
      </w:pPr>
      <w:r>
        <w:rPr>
          <w:rFonts w:hint="eastAsia" w:ascii="宋体" w:hAnsi="宋体" w:eastAsia="宋体"/>
          <w:b/>
          <w:bCs/>
          <w:sz w:val="44"/>
          <w:szCs w:val="44"/>
          <w:lang w:eastAsia="zh-CN"/>
        </w:rPr>
        <w:t>哈密市西成矿业有限责任公司</w:t>
      </w:r>
      <w:r>
        <w:rPr>
          <w:rFonts w:hint="default" w:ascii="Times New Roman" w:hAnsi="Times New Roman" w:eastAsia="宋体" w:cs="Times New Roman"/>
          <w:b/>
          <w:bCs/>
          <w:sz w:val="44"/>
          <w:szCs w:val="44"/>
          <w:lang w:eastAsia="zh-CN"/>
        </w:rPr>
        <w:t>M1033</w:t>
      </w:r>
      <w:r>
        <w:rPr>
          <w:rFonts w:hint="eastAsia" w:ascii="宋体" w:hAnsi="宋体" w:eastAsia="宋体"/>
          <w:b/>
          <w:bCs/>
          <w:sz w:val="44"/>
          <w:szCs w:val="44"/>
          <w:lang w:eastAsia="zh-CN"/>
        </w:rPr>
        <w:t>矿年产</w:t>
      </w:r>
      <w:r>
        <w:rPr>
          <w:rFonts w:hint="default" w:ascii="Times New Roman" w:hAnsi="Times New Roman" w:eastAsia="宋体" w:cs="Times New Roman"/>
          <w:b/>
          <w:bCs/>
          <w:sz w:val="44"/>
          <w:szCs w:val="44"/>
          <w:lang w:eastAsia="zh-CN"/>
        </w:rPr>
        <w:t>30</w:t>
      </w:r>
      <w:r>
        <w:rPr>
          <w:rFonts w:hint="eastAsia" w:ascii="宋体" w:hAnsi="宋体" w:eastAsia="宋体"/>
          <w:b/>
          <w:bCs/>
          <w:sz w:val="44"/>
          <w:szCs w:val="44"/>
          <w:lang w:eastAsia="zh-CN"/>
        </w:rPr>
        <w:t>万吨铁矿采矿建设项目（重大变动）</w:t>
      </w:r>
    </w:p>
    <w:p w14:paraId="70C24D69">
      <w:pPr>
        <w:jc w:val="center"/>
        <w:rPr>
          <w:rFonts w:eastAsia="方正姚体"/>
          <w:sz w:val="72"/>
          <w:szCs w:val="72"/>
        </w:rPr>
      </w:pPr>
      <w:r>
        <w:rPr>
          <w:rFonts w:ascii="华文新魏" w:eastAsia="华文新魏"/>
          <w:spacing w:val="46"/>
          <w:sz w:val="96"/>
          <w:szCs w:val="96"/>
        </w:rPr>
        <w:t>环境影响报告书</w:t>
      </w:r>
    </w:p>
    <w:p w14:paraId="5DCEDDB8">
      <w:pPr>
        <w:jc w:val="center"/>
        <w:rPr>
          <w:rFonts w:hint="eastAsia" w:ascii="宋体" w:hAnsi="宋体" w:cs="宋体"/>
          <w:b/>
          <w:bCs/>
          <w:sz w:val="32"/>
          <w:szCs w:val="32"/>
        </w:rPr>
      </w:pPr>
      <w:r>
        <w:rPr>
          <w:rFonts w:hint="eastAsia" w:ascii="宋体" w:hAnsi="宋体" w:cs="宋体"/>
          <w:b/>
          <w:bCs/>
          <w:sz w:val="32"/>
          <w:szCs w:val="32"/>
        </w:rPr>
        <w:t>（</w:t>
      </w:r>
      <w:r>
        <w:rPr>
          <w:rFonts w:hint="eastAsia" w:ascii="宋体" w:hAnsi="宋体" w:cs="宋体"/>
          <w:b/>
          <w:bCs/>
          <w:sz w:val="32"/>
          <w:szCs w:val="32"/>
          <w:lang w:val="en-US" w:eastAsia="zh-CN"/>
        </w:rPr>
        <w:t>公示稿</w:t>
      </w:r>
      <w:r>
        <w:rPr>
          <w:rFonts w:hint="eastAsia" w:ascii="宋体" w:hAnsi="宋体" w:cs="宋体"/>
          <w:b/>
          <w:bCs/>
          <w:sz w:val="32"/>
          <w:szCs w:val="32"/>
        </w:rPr>
        <w:t>）</w:t>
      </w:r>
    </w:p>
    <w:p w14:paraId="5100EE0B">
      <w:pPr>
        <w:spacing w:line="360" w:lineRule="auto"/>
        <w:rPr>
          <w:rFonts w:hint="eastAsia" w:ascii="Times New Roman" w:hAnsi="Times New Roman" w:eastAsia="隶书" w:cs="Times New Roman"/>
          <w:sz w:val="30"/>
        </w:rPr>
      </w:pPr>
    </w:p>
    <w:p w14:paraId="5058B017">
      <w:pPr>
        <w:spacing w:line="360" w:lineRule="auto"/>
        <w:rPr>
          <w:rFonts w:hint="eastAsia" w:ascii="Times New Roman" w:hAnsi="Times New Roman" w:eastAsia="隶书" w:cs="Times New Roman"/>
          <w:sz w:val="30"/>
        </w:rPr>
      </w:pPr>
    </w:p>
    <w:p w14:paraId="1ED79272">
      <w:pPr>
        <w:spacing w:line="360" w:lineRule="auto"/>
        <w:rPr>
          <w:rFonts w:ascii="Times New Roman" w:hAnsi="Times New Roman" w:eastAsia="隶书" w:cs="Times New Roman"/>
          <w:sz w:val="30"/>
        </w:rPr>
      </w:pPr>
    </w:p>
    <w:p w14:paraId="00380A21">
      <w:pPr>
        <w:spacing w:line="360" w:lineRule="auto"/>
        <w:rPr>
          <w:rFonts w:eastAsia="隶书"/>
          <w:sz w:val="30"/>
        </w:rPr>
      </w:pPr>
    </w:p>
    <w:p w14:paraId="41E5E4CA">
      <w:pPr>
        <w:spacing w:line="360" w:lineRule="auto"/>
        <w:rPr>
          <w:rFonts w:eastAsia="隶书"/>
          <w:sz w:val="30"/>
        </w:rPr>
      </w:pPr>
    </w:p>
    <w:p w14:paraId="4D492BAF">
      <w:pPr>
        <w:spacing w:line="360" w:lineRule="auto"/>
        <w:rPr>
          <w:rFonts w:eastAsia="隶书"/>
          <w:sz w:val="30"/>
        </w:rPr>
      </w:pPr>
    </w:p>
    <w:p w14:paraId="199AD679">
      <w:pPr>
        <w:spacing w:line="360" w:lineRule="auto"/>
        <w:rPr>
          <w:rFonts w:eastAsia="隶书"/>
          <w:sz w:val="30"/>
        </w:rPr>
      </w:pPr>
    </w:p>
    <w:p w14:paraId="28B0A137">
      <w:pPr>
        <w:spacing w:line="360" w:lineRule="auto"/>
        <w:rPr>
          <w:rFonts w:eastAsia="隶书"/>
          <w:sz w:val="30"/>
        </w:rPr>
      </w:pPr>
    </w:p>
    <w:p w14:paraId="1C9293B7">
      <w:pPr>
        <w:spacing w:line="360" w:lineRule="auto"/>
        <w:rPr>
          <w:rFonts w:eastAsia="隶书"/>
          <w:sz w:val="30"/>
        </w:rPr>
      </w:pPr>
    </w:p>
    <w:tbl>
      <w:tblPr>
        <w:tblStyle w:val="79"/>
        <w:tblW w:w="0" w:type="auto"/>
        <w:jc w:val="center"/>
        <w:tblLayout w:type="fixed"/>
        <w:tblCellMar>
          <w:top w:w="0" w:type="dxa"/>
          <w:left w:w="0" w:type="dxa"/>
          <w:bottom w:w="0" w:type="dxa"/>
          <w:right w:w="0" w:type="dxa"/>
        </w:tblCellMar>
      </w:tblPr>
      <w:tblGrid>
        <w:gridCol w:w="1459"/>
        <w:gridCol w:w="4738"/>
      </w:tblGrid>
      <w:tr w14:paraId="212E0C93">
        <w:tblPrEx>
          <w:tblCellMar>
            <w:top w:w="0" w:type="dxa"/>
            <w:left w:w="0" w:type="dxa"/>
            <w:bottom w:w="0" w:type="dxa"/>
            <w:right w:w="0" w:type="dxa"/>
          </w:tblCellMar>
        </w:tblPrEx>
        <w:trPr>
          <w:trHeight w:val="510" w:hRule="atLeast"/>
          <w:jc w:val="center"/>
        </w:trPr>
        <w:tc>
          <w:tcPr>
            <w:tcW w:w="1459" w:type="dxa"/>
            <w:noWrap w:val="0"/>
            <w:vAlign w:val="top"/>
          </w:tcPr>
          <w:p w14:paraId="2429C1D3">
            <w:pPr>
              <w:keepNext w:val="0"/>
              <w:keepLines w:val="0"/>
              <w:suppressLineNumbers w:val="0"/>
              <w:spacing w:before="0" w:beforeAutospacing="0" w:after="0" w:afterAutospacing="0" w:line="480" w:lineRule="exact"/>
              <w:ind w:left="0" w:right="0"/>
              <w:rPr>
                <w:rFonts w:hint="default" w:ascii="楷体_GB2312" w:eastAsia="楷体_GB2312"/>
                <w:sz w:val="30"/>
              </w:rPr>
            </w:pPr>
            <w:r>
              <w:rPr>
                <w:rFonts w:hint="eastAsia" w:ascii="楷体_GB2312" w:eastAsia="楷体_GB2312"/>
                <w:sz w:val="30"/>
              </w:rPr>
              <w:t>建设单位：</w:t>
            </w:r>
          </w:p>
        </w:tc>
        <w:tc>
          <w:tcPr>
            <w:tcW w:w="4738" w:type="dxa"/>
            <w:noWrap w:val="0"/>
            <w:vAlign w:val="top"/>
          </w:tcPr>
          <w:p w14:paraId="714CC7A5">
            <w:pPr>
              <w:keepNext w:val="0"/>
              <w:keepLines w:val="0"/>
              <w:suppressLineNumbers w:val="0"/>
              <w:spacing w:before="0" w:beforeAutospacing="0" w:after="0" w:afterAutospacing="0" w:line="480" w:lineRule="exact"/>
              <w:ind w:left="0" w:right="0"/>
              <w:jc w:val="distribute"/>
              <w:rPr>
                <w:rFonts w:hint="default" w:ascii="楷体_GB2312" w:eastAsia="楷体_GB2312"/>
                <w:spacing w:val="-26"/>
                <w:sz w:val="30"/>
              </w:rPr>
            </w:pPr>
            <w:r>
              <w:rPr>
                <w:rFonts w:hint="eastAsia" w:ascii="楷体_GB2312" w:eastAsia="楷体_GB2312"/>
                <w:spacing w:val="-26"/>
                <w:sz w:val="30"/>
              </w:rPr>
              <w:t>哈密市西成矿业有限责任公司</w:t>
            </w:r>
          </w:p>
        </w:tc>
      </w:tr>
      <w:tr w14:paraId="3D49F01E">
        <w:tblPrEx>
          <w:tblCellMar>
            <w:top w:w="0" w:type="dxa"/>
            <w:left w:w="0" w:type="dxa"/>
            <w:bottom w:w="0" w:type="dxa"/>
            <w:right w:w="0" w:type="dxa"/>
          </w:tblCellMar>
        </w:tblPrEx>
        <w:trPr>
          <w:trHeight w:val="510" w:hRule="atLeast"/>
          <w:jc w:val="center"/>
        </w:trPr>
        <w:tc>
          <w:tcPr>
            <w:tcW w:w="1459" w:type="dxa"/>
            <w:noWrap w:val="0"/>
            <w:vAlign w:val="top"/>
          </w:tcPr>
          <w:p w14:paraId="4BC8E25A">
            <w:pPr>
              <w:keepNext w:val="0"/>
              <w:keepLines w:val="0"/>
              <w:suppressLineNumbers w:val="0"/>
              <w:spacing w:before="0" w:beforeAutospacing="0" w:after="0" w:afterAutospacing="0" w:line="480" w:lineRule="exact"/>
              <w:ind w:left="0" w:right="0"/>
              <w:jc w:val="distribute"/>
              <w:rPr>
                <w:rFonts w:hint="default" w:ascii="楷体_GB2312" w:eastAsia="楷体_GB2312"/>
                <w:spacing w:val="-26"/>
                <w:sz w:val="30"/>
              </w:rPr>
            </w:pPr>
            <w:r>
              <w:rPr>
                <w:rFonts w:hint="eastAsia" w:ascii="楷体_GB2312" w:eastAsia="楷体_GB2312"/>
                <w:spacing w:val="-26"/>
                <w:sz w:val="30"/>
              </w:rPr>
              <w:t>编制单位：</w:t>
            </w:r>
          </w:p>
        </w:tc>
        <w:tc>
          <w:tcPr>
            <w:tcW w:w="4738" w:type="dxa"/>
            <w:noWrap w:val="0"/>
            <w:vAlign w:val="top"/>
          </w:tcPr>
          <w:p w14:paraId="1C75D011">
            <w:pPr>
              <w:keepNext w:val="0"/>
              <w:keepLines w:val="0"/>
              <w:suppressLineNumbers w:val="0"/>
              <w:spacing w:before="0" w:beforeAutospacing="0" w:after="0" w:afterAutospacing="0" w:line="480" w:lineRule="exact"/>
              <w:ind w:left="0" w:right="0"/>
              <w:jc w:val="distribute"/>
              <w:rPr>
                <w:rFonts w:hint="default" w:ascii="楷体_GB2312" w:eastAsia="楷体_GB2312"/>
                <w:spacing w:val="-26"/>
                <w:sz w:val="30"/>
              </w:rPr>
            </w:pPr>
            <w:r>
              <w:rPr>
                <w:rFonts w:hint="eastAsia" w:ascii="楷体_GB2312" w:eastAsia="楷体_GB2312"/>
                <w:spacing w:val="-26"/>
                <w:sz w:val="30"/>
              </w:rPr>
              <w:t>新疆绿境天宸环保科技有限公司</w:t>
            </w:r>
          </w:p>
        </w:tc>
      </w:tr>
      <w:tr w14:paraId="0C49F0A1">
        <w:tblPrEx>
          <w:tblCellMar>
            <w:top w:w="0" w:type="dxa"/>
            <w:left w:w="0" w:type="dxa"/>
            <w:bottom w:w="0" w:type="dxa"/>
            <w:right w:w="0" w:type="dxa"/>
          </w:tblCellMar>
        </w:tblPrEx>
        <w:trPr>
          <w:trHeight w:val="510" w:hRule="atLeast"/>
          <w:jc w:val="center"/>
        </w:trPr>
        <w:tc>
          <w:tcPr>
            <w:tcW w:w="1459" w:type="dxa"/>
            <w:noWrap w:val="0"/>
            <w:vAlign w:val="top"/>
          </w:tcPr>
          <w:p w14:paraId="29B634ED">
            <w:pPr>
              <w:keepNext w:val="0"/>
              <w:keepLines w:val="0"/>
              <w:suppressLineNumbers w:val="0"/>
              <w:spacing w:before="0" w:beforeAutospacing="0" w:after="0" w:afterAutospacing="0" w:line="480" w:lineRule="exact"/>
              <w:ind w:left="0" w:right="0"/>
              <w:rPr>
                <w:rFonts w:hint="default" w:ascii="楷体_GB2312" w:eastAsia="楷体_GB2312"/>
                <w:sz w:val="28"/>
                <w:szCs w:val="30"/>
              </w:rPr>
            </w:pPr>
            <w:r>
              <w:rPr>
                <w:rFonts w:hint="eastAsia" w:ascii="楷体_GB2312" w:eastAsia="楷体_GB2312"/>
                <w:sz w:val="30"/>
              </w:rPr>
              <w:t>编制时间：</w:t>
            </w:r>
          </w:p>
        </w:tc>
        <w:tc>
          <w:tcPr>
            <w:tcW w:w="4738" w:type="dxa"/>
            <w:noWrap w:val="0"/>
            <w:vAlign w:val="top"/>
          </w:tcPr>
          <w:p w14:paraId="3837F5AE">
            <w:pPr>
              <w:keepNext w:val="0"/>
              <w:keepLines w:val="0"/>
              <w:suppressLineNumbers w:val="0"/>
              <w:spacing w:before="0" w:beforeAutospacing="0" w:after="0" w:afterAutospacing="0" w:line="480" w:lineRule="exact"/>
              <w:ind w:left="0" w:right="0"/>
              <w:jc w:val="distribute"/>
              <w:rPr>
                <w:rFonts w:hint="default" w:ascii="楷体_GB2312" w:eastAsia="楷体_GB2312"/>
                <w:sz w:val="28"/>
                <w:szCs w:val="30"/>
              </w:rPr>
            </w:pPr>
            <w:r>
              <w:rPr>
                <w:rFonts w:hint="eastAsia" w:ascii="楷体_GB2312" w:eastAsia="楷体_GB2312"/>
                <w:kern w:val="0"/>
                <w:sz w:val="30"/>
                <w:szCs w:val="30"/>
                <w:lang w:eastAsia="zh-CN"/>
              </w:rPr>
              <w:t>二〇二六</w:t>
            </w:r>
            <w:r>
              <w:rPr>
                <w:rFonts w:hint="eastAsia" w:ascii="楷体_GB2312" w:eastAsia="楷体_GB2312"/>
                <w:kern w:val="0"/>
                <w:sz w:val="30"/>
                <w:szCs w:val="30"/>
              </w:rPr>
              <w:t>年</w:t>
            </w:r>
            <w:r>
              <w:rPr>
                <w:rFonts w:hint="eastAsia" w:ascii="楷体_GB2312" w:eastAsia="楷体_GB2312"/>
                <w:kern w:val="0"/>
                <w:sz w:val="30"/>
                <w:szCs w:val="30"/>
                <w:lang w:val="en-US" w:eastAsia="zh-CN"/>
              </w:rPr>
              <w:t>五</w:t>
            </w:r>
            <w:r>
              <w:rPr>
                <w:rFonts w:hint="eastAsia" w:ascii="楷体_GB2312" w:eastAsia="楷体_GB2312"/>
                <w:kern w:val="0"/>
                <w:sz w:val="30"/>
                <w:szCs w:val="30"/>
              </w:rPr>
              <w:t>月</w:t>
            </w:r>
          </w:p>
        </w:tc>
      </w:tr>
    </w:tbl>
    <w:p w14:paraId="0E2C39FF">
      <w:pPr>
        <w:pStyle w:val="53"/>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6" w:afterLines="50" w:line="360" w:lineRule="auto"/>
        <w:jc w:val="both"/>
        <w:textAlignment w:val="auto"/>
        <w:rPr>
          <w:rFonts w:hint="eastAsia" w:ascii="Times New Roman" w:hAnsi="Times New Roman" w:eastAsia="宋体"/>
          <w:b/>
          <w:bCs w:val="0"/>
          <w:caps w:val="0"/>
          <w:color w:val="000000" w:themeColor="text1"/>
          <w:sz w:val="36"/>
          <w:szCs w:val="30"/>
          <w:lang w:eastAsia="zh-CN"/>
          <w14:textFill>
            <w14:solidFill>
              <w14:schemeClr w14:val="tx1"/>
            </w14:solidFill>
          </w14:textFill>
        </w:rPr>
        <w:sectPr>
          <w:headerReference r:id="rId3" w:type="default"/>
          <w:footerReference r:id="rId5" w:type="default"/>
          <w:headerReference r:id="rId4" w:type="even"/>
          <w:footerReference r:id="rId6" w:type="even"/>
          <w:pgSz w:w="11906" w:h="16838"/>
          <w:pgMar w:top="1440" w:right="1800" w:bottom="1440" w:left="1800" w:header="1020" w:footer="964" w:gutter="0"/>
          <w:pgBorders>
            <w:top w:val="none" w:sz="0" w:space="0"/>
            <w:left w:val="none" w:sz="0" w:space="0"/>
            <w:bottom w:val="none" w:sz="0" w:space="0"/>
            <w:right w:val="none" w:sz="0" w:space="0"/>
          </w:pgBorders>
          <w:pgNumType w:fmt="upperRoman" w:start="1"/>
          <w:cols w:space="720" w:num="1"/>
          <w:titlePg/>
          <w:docGrid w:type="lines" w:linePitch="312" w:charSpace="0"/>
        </w:sectPr>
      </w:pPr>
    </w:p>
    <w:p w14:paraId="421E3215">
      <w:pPr>
        <w:pStyle w:val="53"/>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6" w:afterLines="50" w:line="360" w:lineRule="auto"/>
        <w:jc w:val="center"/>
        <w:textAlignment w:val="auto"/>
        <w:rPr>
          <w:rFonts w:ascii="Times New Roman" w:hAnsi="Times New Roman" w:eastAsia="宋体" w:cs="Times New Roman"/>
          <w:b/>
          <w:bCs w:val="0"/>
          <w:caps w:val="0"/>
          <w:color w:val="000000" w:themeColor="text1"/>
          <w:kern w:val="0"/>
          <w:sz w:val="36"/>
          <w:szCs w:val="30"/>
          <w:lang w:val="en-US" w:eastAsia="zh-CN" w:bidi="ar-SA"/>
          <w14:textFill>
            <w14:solidFill>
              <w14:schemeClr w14:val="tx1"/>
            </w14:solidFill>
          </w14:textFill>
        </w:rPr>
      </w:pPr>
      <w:r>
        <w:rPr>
          <w:rFonts w:ascii="Times New Roman" w:hAnsi="Times New Roman" w:eastAsia="宋体"/>
          <w:b/>
          <w:bCs w:val="0"/>
          <w:caps w:val="0"/>
          <w:color w:val="000000" w:themeColor="text1"/>
          <w:sz w:val="36"/>
          <w:szCs w:val="30"/>
          <w14:textFill>
            <w14:solidFill>
              <w14:schemeClr w14:val="tx1"/>
            </w14:solidFill>
          </w14:textFill>
        </w:rPr>
        <w:t>目  录</w:t>
      </w:r>
      <w:r>
        <w:rPr>
          <w:rFonts w:ascii="Times New Roman" w:hAnsi="Times New Roman" w:eastAsia="宋体"/>
          <w:b/>
          <w:bCs w:val="0"/>
          <w:caps w:val="0"/>
          <w:color w:val="000000" w:themeColor="text1"/>
          <w:sz w:val="36"/>
          <w:szCs w:val="30"/>
          <w14:textFill>
            <w14:solidFill>
              <w14:schemeClr w14:val="tx1"/>
            </w14:solidFill>
          </w14:textFill>
        </w:rPr>
        <w:fldChar w:fldCharType="begin"/>
      </w:r>
      <w:r>
        <w:rPr>
          <w:rFonts w:ascii="Times New Roman" w:hAnsi="Times New Roman" w:eastAsia="宋体"/>
          <w:b/>
          <w:bCs w:val="0"/>
          <w:caps w:val="0"/>
          <w:color w:val="000000" w:themeColor="text1"/>
          <w:sz w:val="36"/>
          <w:szCs w:val="30"/>
          <w14:textFill>
            <w14:solidFill>
              <w14:schemeClr w14:val="tx1"/>
            </w14:solidFill>
          </w14:textFill>
        </w:rPr>
        <w:instrText xml:space="preserve"> TOC \o "1-2" \h \z \u </w:instrText>
      </w:r>
      <w:r>
        <w:rPr>
          <w:rFonts w:ascii="Times New Roman" w:hAnsi="Times New Roman" w:eastAsia="宋体"/>
          <w:b/>
          <w:bCs w:val="0"/>
          <w:caps w:val="0"/>
          <w:color w:val="000000" w:themeColor="text1"/>
          <w:sz w:val="36"/>
          <w:szCs w:val="30"/>
          <w14:textFill>
            <w14:solidFill>
              <w14:schemeClr w14:val="tx1"/>
            </w14:solidFill>
          </w14:textFill>
        </w:rPr>
        <w:fldChar w:fldCharType="separate"/>
      </w:r>
    </w:p>
    <w:p w14:paraId="700549BD">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_Toc9991 </w:instrText>
      </w:r>
      <w:r>
        <w:rPr>
          <w:rFonts w:ascii="Times New Roman" w:hAnsi="Times New Roman" w:eastAsia="宋体"/>
          <w:bCs w:val="0"/>
          <w:caps w:val="0"/>
          <w:sz w:val="21"/>
          <w:szCs w:val="21"/>
        </w:rPr>
        <w:fldChar w:fldCharType="separate"/>
      </w:r>
      <w:r>
        <w:rPr>
          <w:rFonts w:ascii="Times New Roman" w:hAnsi="Times New Roman" w:eastAsia="宋体"/>
          <w:caps w:val="0"/>
          <w:sz w:val="21"/>
          <w:szCs w:val="21"/>
        </w:rPr>
        <w:t>1概述</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_Toc9991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4C75009">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_Toc16575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1.1建设项目的特点</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_Toc16575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698FB9EC">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_Toc26220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1.2环境影响评价的工作过程</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_Toc26220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6</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69DFD56C">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_Toc23193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1.3分析判定相关情况</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_Toc23193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8</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FA84E6E">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_Toc21860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1.4关注的主要环境问题及环境影响</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_Toc21860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10</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59F3C0B8">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_Toc2624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1.5报告书主要结论</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_Toc2624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11</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145399B1">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_Toc14950 </w:instrText>
      </w:r>
      <w:r>
        <w:rPr>
          <w:rFonts w:ascii="Times New Roman" w:hAnsi="Times New Roman" w:eastAsia="宋体"/>
          <w:bCs w:val="0"/>
          <w:caps w:val="0"/>
          <w:sz w:val="21"/>
          <w:szCs w:val="21"/>
        </w:rPr>
        <w:fldChar w:fldCharType="separate"/>
      </w:r>
      <w:r>
        <w:rPr>
          <w:rFonts w:ascii="Times New Roman" w:hAnsi="Times New Roman" w:eastAsia="宋体"/>
          <w:caps w:val="0"/>
          <w:sz w:val="21"/>
          <w:szCs w:val="21"/>
        </w:rPr>
        <w:t>2总则</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_Toc14950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89251A8">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_Toc17014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2.1评价原则和目的</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_Toc17014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47EC81CC">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_Toc4778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2.2编制依据</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_Toc4778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13</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3EA5595D">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_Toc4881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2.</w:t>
      </w:r>
      <w:r>
        <w:rPr>
          <w:rFonts w:hint="eastAsia" w:ascii="Times New Roman" w:hAnsi="Times New Roman" w:eastAsia="宋体"/>
          <w:bCs/>
          <w:caps w:val="0"/>
          <w:kern w:val="2"/>
          <w:sz w:val="21"/>
          <w:szCs w:val="21"/>
        </w:rPr>
        <w:t>3</w:t>
      </w:r>
      <w:r>
        <w:rPr>
          <w:rFonts w:ascii="Times New Roman" w:hAnsi="Times New Roman" w:eastAsia="宋体"/>
          <w:bCs/>
          <w:caps w:val="0"/>
          <w:kern w:val="2"/>
          <w:sz w:val="21"/>
          <w:szCs w:val="21"/>
        </w:rPr>
        <w:t>环境影响因素识别和评价因子筛选</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_Toc4881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20</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57E2438">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_Toc73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2.</w:t>
      </w:r>
      <w:r>
        <w:rPr>
          <w:rFonts w:hint="eastAsia" w:ascii="Times New Roman" w:hAnsi="Times New Roman" w:eastAsia="宋体"/>
          <w:bCs/>
          <w:caps w:val="0"/>
          <w:kern w:val="2"/>
          <w:sz w:val="21"/>
          <w:szCs w:val="21"/>
        </w:rPr>
        <w:t>4</w:t>
      </w:r>
      <w:r>
        <w:rPr>
          <w:rFonts w:ascii="Times New Roman" w:hAnsi="Times New Roman" w:eastAsia="宋体"/>
          <w:bCs/>
          <w:caps w:val="0"/>
          <w:kern w:val="2"/>
          <w:sz w:val="21"/>
          <w:szCs w:val="21"/>
        </w:rPr>
        <w:t>环境功能区规划和评价标准</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_Toc73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EBF4131">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_Toc26895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2.</w:t>
      </w:r>
      <w:r>
        <w:rPr>
          <w:rFonts w:hint="eastAsia" w:ascii="Times New Roman" w:hAnsi="Times New Roman" w:eastAsia="宋体"/>
          <w:bCs/>
          <w:caps w:val="0"/>
          <w:kern w:val="2"/>
          <w:sz w:val="21"/>
          <w:szCs w:val="21"/>
        </w:rPr>
        <w:t>5</w:t>
      </w:r>
      <w:r>
        <w:rPr>
          <w:rFonts w:ascii="Times New Roman" w:hAnsi="Times New Roman" w:eastAsia="宋体"/>
          <w:bCs/>
          <w:caps w:val="0"/>
          <w:kern w:val="2"/>
          <w:sz w:val="21"/>
          <w:szCs w:val="21"/>
        </w:rPr>
        <w:t>评价等级和评价范围</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_Toc26895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F3ACF22">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_Toc27232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2.</w:t>
      </w:r>
      <w:r>
        <w:rPr>
          <w:rFonts w:hint="eastAsia" w:ascii="Times New Roman" w:hAnsi="Times New Roman" w:eastAsia="宋体"/>
          <w:bCs/>
          <w:caps w:val="0"/>
          <w:kern w:val="2"/>
          <w:sz w:val="21"/>
          <w:szCs w:val="21"/>
        </w:rPr>
        <w:t>6</w:t>
      </w:r>
      <w:r>
        <w:rPr>
          <w:rFonts w:ascii="Times New Roman" w:hAnsi="Times New Roman" w:eastAsia="宋体"/>
          <w:bCs/>
          <w:caps w:val="0"/>
          <w:kern w:val="2"/>
          <w:sz w:val="21"/>
          <w:szCs w:val="21"/>
        </w:rPr>
        <w:t>评价重点</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_Toc27232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39</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5157AB61">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_Toc3248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2.</w:t>
      </w:r>
      <w:r>
        <w:rPr>
          <w:rFonts w:hint="eastAsia" w:ascii="Times New Roman" w:hAnsi="Times New Roman" w:eastAsia="宋体"/>
          <w:bCs/>
          <w:caps w:val="0"/>
          <w:kern w:val="2"/>
          <w:sz w:val="21"/>
          <w:szCs w:val="21"/>
        </w:rPr>
        <w:t>7</w:t>
      </w:r>
      <w:r>
        <w:rPr>
          <w:rFonts w:ascii="Times New Roman" w:hAnsi="Times New Roman" w:eastAsia="宋体"/>
          <w:bCs/>
          <w:caps w:val="0"/>
          <w:kern w:val="2"/>
          <w:sz w:val="21"/>
          <w:szCs w:val="21"/>
        </w:rPr>
        <w:t>主要环境保护目标和环境敏感目标</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_Toc3248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39</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66DC6ED7">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_Toc26471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2.</w:t>
      </w:r>
      <w:r>
        <w:rPr>
          <w:rFonts w:hint="eastAsia" w:ascii="Times New Roman" w:hAnsi="Times New Roman" w:eastAsia="宋体"/>
          <w:bCs/>
          <w:caps w:val="0"/>
          <w:kern w:val="2"/>
          <w:sz w:val="21"/>
          <w:szCs w:val="21"/>
        </w:rPr>
        <w:t>8</w:t>
      </w:r>
      <w:r>
        <w:rPr>
          <w:rFonts w:ascii="Times New Roman" w:hAnsi="Times New Roman" w:eastAsia="宋体"/>
          <w:bCs/>
          <w:caps w:val="0"/>
          <w:kern w:val="2"/>
          <w:sz w:val="21"/>
          <w:szCs w:val="21"/>
        </w:rPr>
        <w:t>评价时段</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_Toc26471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41</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3F36BCA1">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_Toc13559 </w:instrText>
      </w:r>
      <w:r>
        <w:rPr>
          <w:rFonts w:ascii="Times New Roman" w:hAnsi="Times New Roman" w:eastAsia="宋体"/>
          <w:bCs w:val="0"/>
          <w:caps w:val="0"/>
          <w:sz w:val="21"/>
          <w:szCs w:val="21"/>
        </w:rPr>
        <w:fldChar w:fldCharType="separate"/>
      </w:r>
      <w:r>
        <w:rPr>
          <w:rFonts w:hint="eastAsia" w:ascii="Times New Roman" w:hAnsi="Times New Roman" w:eastAsia="宋体"/>
          <w:caps w:val="0"/>
          <w:sz w:val="21"/>
          <w:szCs w:val="21"/>
        </w:rPr>
        <w:t>3建设项目工程分析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_Toc13559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42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DEF4BEA">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_Toc2840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3.</w:t>
      </w:r>
      <w:r>
        <w:rPr>
          <w:rFonts w:ascii="Times New Roman" w:hAnsi="Times New Roman" w:eastAsia="宋体"/>
          <w:bCs/>
          <w:caps w:val="0"/>
          <w:kern w:val="2"/>
          <w:sz w:val="21"/>
          <w:szCs w:val="21"/>
        </w:rPr>
        <w:t>1</w:t>
      </w:r>
      <w:r>
        <w:rPr>
          <w:rFonts w:hint="eastAsia" w:ascii="Times New Roman" w:hAnsi="Times New Roman" w:eastAsia="宋体"/>
          <w:bCs/>
          <w:caps w:val="0"/>
          <w:kern w:val="2"/>
          <w:sz w:val="21"/>
          <w:szCs w:val="21"/>
        </w:rPr>
        <w:t>现有工程概况</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_Toc2840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42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21660CF">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_Toc1142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3.</w:t>
      </w:r>
      <w:r>
        <w:rPr>
          <w:rFonts w:ascii="Times New Roman" w:hAnsi="Times New Roman" w:eastAsia="宋体"/>
          <w:bCs/>
          <w:caps w:val="0"/>
          <w:kern w:val="2"/>
          <w:sz w:val="21"/>
          <w:szCs w:val="21"/>
        </w:rPr>
        <w:t>2</w:t>
      </w:r>
      <w:r>
        <w:rPr>
          <w:rFonts w:hint="eastAsia" w:ascii="Times New Roman" w:hAnsi="Times New Roman" w:eastAsia="宋体"/>
          <w:bCs/>
          <w:caps w:val="0"/>
          <w:kern w:val="2"/>
          <w:sz w:val="21"/>
          <w:szCs w:val="21"/>
          <w:lang w:val="en-US" w:eastAsia="zh-CN"/>
        </w:rPr>
        <w:t>本项目</w:t>
      </w:r>
      <w:r>
        <w:rPr>
          <w:rFonts w:hint="eastAsia" w:ascii="Times New Roman" w:hAnsi="Times New Roman" w:eastAsia="宋体"/>
          <w:bCs/>
          <w:caps w:val="0"/>
          <w:kern w:val="2"/>
          <w:sz w:val="21"/>
          <w:szCs w:val="21"/>
        </w:rPr>
        <w:t>概况</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_Toc1142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54</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53802959">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_Toc15502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3.</w:t>
      </w:r>
      <w:r>
        <w:rPr>
          <w:rFonts w:ascii="Times New Roman" w:hAnsi="Times New Roman" w:eastAsia="宋体"/>
          <w:bCs/>
          <w:caps w:val="0"/>
          <w:kern w:val="2"/>
          <w:sz w:val="21"/>
          <w:szCs w:val="21"/>
        </w:rPr>
        <w:t>3</w:t>
      </w:r>
      <w:r>
        <w:rPr>
          <w:rFonts w:hint="eastAsia" w:ascii="Times New Roman" w:hAnsi="Times New Roman" w:eastAsia="宋体"/>
          <w:bCs/>
          <w:caps w:val="0"/>
          <w:kern w:val="2"/>
          <w:sz w:val="21"/>
          <w:szCs w:val="21"/>
        </w:rPr>
        <w:t>工程分析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_Toc15502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84</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95821F7">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_Toc8542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3.</w:t>
      </w:r>
      <w:r>
        <w:rPr>
          <w:rFonts w:ascii="Times New Roman" w:hAnsi="Times New Roman" w:eastAsia="宋体"/>
          <w:bCs/>
          <w:caps w:val="0"/>
          <w:kern w:val="2"/>
          <w:sz w:val="21"/>
          <w:szCs w:val="21"/>
        </w:rPr>
        <w:t>4与相关规划协调性分析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_Toc8542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105</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37FC96D7">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_Toc7830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3.</w:t>
      </w:r>
      <w:r>
        <w:rPr>
          <w:rFonts w:hint="eastAsia" w:ascii="Times New Roman" w:hAnsi="Times New Roman" w:eastAsia="宋体"/>
          <w:bCs/>
          <w:caps w:val="0"/>
          <w:kern w:val="2"/>
          <w:sz w:val="21"/>
          <w:szCs w:val="21"/>
          <w:lang w:val="en-US" w:eastAsia="zh-CN"/>
        </w:rPr>
        <w:t>5</w:t>
      </w:r>
      <w:r>
        <w:rPr>
          <w:rFonts w:hint="eastAsia" w:ascii="Times New Roman" w:hAnsi="Times New Roman" w:eastAsia="宋体"/>
          <w:bCs/>
          <w:caps w:val="0"/>
          <w:kern w:val="2"/>
          <w:sz w:val="21"/>
          <w:szCs w:val="21"/>
        </w:rPr>
        <w:t>清洁生产水平分析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_Toc7830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127</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538B421">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_Toc27429 </w:instrText>
      </w:r>
      <w:r>
        <w:rPr>
          <w:rFonts w:ascii="Times New Roman" w:hAnsi="Times New Roman" w:eastAsia="宋体"/>
          <w:bCs w:val="0"/>
          <w:caps w:val="0"/>
          <w:sz w:val="21"/>
          <w:szCs w:val="21"/>
        </w:rPr>
        <w:fldChar w:fldCharType="separate"/>
      </w:r>
      <w:r>
        <w:rPr>
          <w:rFonts w:hint="eastAsia" w:ascii="Times New Roman" w:hAnsi="Times New Roman" w:eastAsia="宋体"/>
          <w:caps w:val="0"/>
          <w:kern w:val="0"/>
          <w:sz w:val="21"/>
          <w:szCs w:val="21"/>
        </w:rPr>
        <w:t>4环境现状调查与评价</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_Toc27429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133</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5F78E06">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_Toc9027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4.1自然环境</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_Toc9027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133</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61C09CDC">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_Toc8767 </w:instrText>
      </w:r>
      <w:r>
        <w:rPr>
          <w:rFonts w:ascii="Times New Roman" w:hAnsi="Times New Roman" w:eastAsia="宋体"/>
          <w:bCs w:val="0"/>
          <w:caps w:val="0"/>
          <w:sz w:val="21"/>
          <w:szCs w:val="21"/>
        </w:rPr>
        <w:fldChar w:fldCharType="separate"/>
      </w:r>
      <w:r>
        <w:rPr>
          <w:rFonts w:ascii="Times New Roman" w:hAnsi="Times New Roman" w:eastAsia="宋体"/>
          <w:bCs/>
          <w:caps w:val="0"/>
          <w:kern w:val="2"/>
          <w:sz w:val="21"/>
          <w:szCs w:val="21"/>
        </w:rPr>
        <w:t>4.2环境质量现状调查与评价</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_Toc8767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145</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6C25F347">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_Toc27957 </w:instrText>
      </w:r>
      <w:r>
        <w:rPr>
          <w:rFonts w:ascii="Times New Roman" w:hAnsi="Times New Roman" w:eastAsia="宋体"/>
          <w:bCs w:val="0"/>
          <w:caps w:val="0"/>
          <w:sz w:val="21"/>
          <w:szCs w:val="21"/>
        </w:rPr>
        <w:fldChar w:fldCharType="separate"/>
      </w:r>
      <w:r>
        <w:rPr>
          <w:rFonts w:hint="eastAsia" w:ascii="Times New Roman" w:hAnsi="Times New Roman" w:eastAsia="宋体"/>
          <w:caps w:val="0"/>
          <w:kern w:val="0"/>
          <w:sz w:val="21"/>
          <w:szCs w:val="21"/>
          <w:lang w:val="en-US" w:eastAsia="zh-CN"/>
        </w:rPr>
        <w:t>5</w:t>
      </w:r>
      <w:r>
        <w:rPr>
          <w:rFonts w:hint="eastAsia" w:ascii="Times New Roman" w:hAnsi="Times New Roman" w:eastAsia="宋体"/>
          <w:caps w:val="0"/>
          <w:kern w:val="0"/>
          <w:sz w:val="21"/>
          <w:szCs w:val="21"/>
        </w:rPr>
        <w:t>环境</w:t>
      </w:r>
      <w:r>
        <w:rPr>
          <w:rFonts w:hint="eastAsia" w:ascii="Times New Roman" w:hAnsi="Times New Roman" w:eastAsia="宋体"/>
          <w:caps w:val="0"/>
          <w:kern w:val="0"/>
          <w:sz w:val="21"/>
          <w:szCs w:val="21"/>
          <w:lang w:eastAsia="zh-CN"/>
        </w:rPr>
        <w:t>影响预测</w:t>
      </w:r>
      <w:r>
        <w:rPr>
          <w:rFonts w:hint="eastAsia" w:ascii="Times New Roman" w:hAnsi="Times New Roman" w:eastAsia="宋体"/>
          <w:caps w:val="0"/>
          <w:kern w:val="0"/>
          <w:sz w:val="21"/>
          <w:szCs w:val="21"/>
        </w:rPr>
        <w:t>与评价</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_Toc27957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163</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C787433">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_Toc15040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lang w:val="en-US" w:eastAsia="zh-CN"/>
        </w:rPr>
        <w:t>5</w:t>
      </w:r>
      <w:r>
        <w:rPr>
          <w:rFonts w:hint="eastAsia" w:ascii="Times New Roman" w:hAnsi="Times New Roman" w:eastAsia="宋体"/>
          <w:bCs/>
          <w:caps w:val="0"/>
          <w:kern w:val="2"/>
          <w:sz w:val="21"/>
          <w:szCs w:val="21"/>
        </w:rPr>
        <w:t>.1</w:t>
      </w:r>
      <w:r>
        <w:rPr>
          <w:rFonts w:hint="eastAsia" w:ascii="Times New Roman" w:hAnsi="Times New Roman" w:eastAsia="宋体"/>
          <w:bCs/>
          <w:caps w:val="0"/>
          <w:kern w:val="2"/>
          <w:sz w:val="21"/>
          <w:szCs w:val="21"/>
          <w:lang w:eastAsia="zh-CN"/>
        </w:rPr>
        <w:t>施工期环境影响预测与评价</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_Toc15040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163</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3661E5D9">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_Toc29771 </w:instrText>
      </w:r>
      <w:r>
        <w:rPr>
          <w:rFonts w:ascii="Times New Roman" w:hAnsi="Times New Roman" w:eastAsia="宋体"/>
          <w:bCs w:val="0"/>
          <w:caps w:val="0"/>
          <w:sz w:val="21"/>
          <w:szCs w:val="21"/>
        </w:rPr>
        <w:fldChar w:fldCharType="separate"/>
      </w:r>
      <w:r>
        <w:rPr>
          <w:rFonts w:hint="default" w:ascii="Times New Roman" w:hAnsi="Times New Roman" w:eastAsia="宋体" w:cs="Times New Roman"/>
          <w:bCs/>
          <w:caps w:val="0"/>
          <w:sz w:val="21"/>
          <w:szCs w:val="21"/>
          <w:highlight w:val="none"/>
          <w:lang w:val="en-US" w:eastAsia="zh-CN"/>
        </w:rPr>
        <w:t>5.2运营期环境影响预测与评价</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_Toc29771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172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1523CFC4">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_Toc6362 </w:instrText>
      </w:r>
      <w:r>
        <w:rPr>
          <w:rFonts w:ascii="Times New Roman" w:hAnsi="Times New Roman" w:eastAsia="宋体"/>
          <w:bCs w:val="0"/>
          <w:caps w:val="0"/>
          <w:sz w:val="21"/>
          <w:szCs w:val="21"/>
        </w:rPr>
        <w:fldChar w:fldCharType="separate"/>
      </w:r>
      <w:r>
        <w:rPr>
          <w:rFonts w:hint="eastAsia" w:ascii="Times New Roman" w:hAnsi="Times New Roman" w:eastAsia="宋体"/>
          <w:caps w:val="0"/>
          <w:sz w:val="21"/>
          <w:szCs w:val="21"/>
        </w:rPr>
        <w:t>5.3</w:t>
      </w:r>
      <w:r>
        <w:rPr>
          <w:rFonts w:ascii="Times New Roman" w:hAnsi="Times New Roman" w:eastAsia="宋体"/>
          <w:caps w:val="0"/>
          <w:sz w:val="21"/>
          <w:szCs w:val="21"/>
        </w:rPr>
        <w:t>环境风险分析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_Toc6362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231</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354D482">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_Toc20615 </w:instrText>
      </w:r>
      <w:r>
        <w:rPr>
          <w:rFonts w:ascii="Times New Roman" w:hAnsi="Times New Roman" w:eastAsia="宋体"/>
          <w:bCs w:val="0"/>
          <w:caps w:val="0"/>
          <w:sz w:val="21"/>
          <w:szCs w:val="21"/>
        </w:rPr>
        <w:fldChar w:fldCharType="separate"/>
      </w:r>
      <w:r>
        <w:rPr>
          <w:rFonts w:hint="eastAsia" w:ascii="Times New Roman" w:hAnsi="Times New Roman" w:eastAsia="宋体"/>
          <w:caps w:val="0"/>
          <w:sz w:val="21"/>
          <w:szCs w:val="21"/>
        </w:rPr>
        <w:t>5.4闭矿期环境影响分析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_Toc20615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254</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6E0E367">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_Toc11935 </w:instrText>
      </w:r>
      <w:r>
        <w:rPr>
          <w:rFonts w:ascii="Times New Roman" w:hAnsi="Times New Roman" w:eastAsia="宋体"/>
          <w:bCs w:val="0"/>
          <w:caps w:val="0"/>
          <w:sz w:val="21"/>
          <w:szCs w:val="21"/>
        </w:rPr>
        <w:fldChar w:fldCharType="separate"/>
      </w:r>
      <w:r>
        <w:rPr>
          <w:rFonts w:hint="eastAsia" w:ascii="Times New Roman" w:hAnsi="Times New Roman" w:eastAsia="宋体"/>
          <w:caps w:val="0"/>
          <w:sz w:val="21"/>
          <w:szCs w:val="21"/>
        </w:rPr>
        <w:t>6环境保护措施及其可行性论证</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_Toc11935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256</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136FD12">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_Toc25968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6</w:t>
      </w:r>
      <w:r>
        <w:rPr>
          <w:rFonts w:ascii="Times New Roman" w:hAnsi="Times New Roman" w:eastAsia="宋体"/>
          <w:bCs/>
          <w:caps w:val="0"/>
          <w:kern w:val="2"/>
          <w:sz w:val="21"/>
          <w:szCs w:val="21"/>
        </w:rPr>
        <w:t>.1施工期污染防治措施分析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_Toc25968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256</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12E321B">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_Toc27749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6</w:t>
      </w:r>
      <w:r>
        <w:rPr>
          <w:rFonts w:ascii="Times New Roman" w:hAnsi="Times New Roman" w:eastAsia="宋体"/>
          <w:bCs/>
          <w:caps w:val="0"/>
          <w:kern w:val="2"/>
          <w:sz w:val="21"/>
          <w:szCs w:val="21"/>
        </w:rPr>
        <w:t>.</w:t>
      </w:r>
      <w:r>
        <w:rPr>
          <w:rFonts w:hint="eastAsia" w:ascii="Times New Roman" w:hAnsi="Times New Roman" w:eastAsia="宋体"/>
          <w:bCs/>
          <w:caps w:val="0"/>
          <w:kern w:val="2"/>
          <w:sz w:val="21"/>
          <w:szCs w:val="21"/>
        </w:rPr>
        <w:t>2运营期污染防治措施分析及可行性论证</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_Toc27749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260</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7C913DE">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_Toc14652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kern w:val="2"/>
          <w:sz w:val="21"/>
          <w:szCs w:val="21"/>
        </w:rPr>
        <w:t>6.3闭矿</w:t>
      </w:r>
      <w:r>
        <w:rPr>
          <w:rFonts w:hint="eastAsia" w:ascii="Times New Roman" w:hAnsi="Times New Roman" w:eastAsia="宋体"/>
          <w:bCs/>
          <w:caps w:val="0"/>
          <w:kern w:val="2"/>
          <w:sz w:val="21"/>
          <w:szCs w:val="21"/>
          <w:lang w:eastAsia="zh-CN"/>
        </w:rPr>
        <w:t>后生态恢复建设</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_Toc14652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276</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1AC40106">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_Toc16834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sz w:val="21"/>
          <w:szCs w:val="21"/>
          <w:highlight w:val="none"/>
          <w:lang w:val="en-US" w:eastAsia="zh-CN"/>
        </w:rPr>
        <w:t>7</w:t>
      </w:r>
      <w:r>
        <w:rPr>
          <w:rFonts w:hint="default" w:ascii="Times New Roman" w:hAnsi="Times New Roman" w:eastAsia="宋体" w:cs="Times New Roman"/>
          <w:bCs/>
          <w:caps w:val="0"/>
          <w:sz w:val="21"/>
          <w:szCs w:val="21"/>
          <w:highlight w:val="none"/>
          <w:lang w:val="en-US" w:eastAsia="zh-CN"/>
        </w:rPr>
        <w:t>环境</w:t>
      </w:r>
      <w:r>
        <w:rPr>
          <w:rFonts w:hint="eastAsia" w:ascii="Times New Roman" w:hAnsi="Times New Roman" w:eastAsia="宋体" w:cs="Times New Roman"/>
          <w:bCs/>
          <w:caps w:val="0"/>
          <w:sz w:val="21"/>
          <w:szCs w:val="21"/>
          <w:highlight w:val="none"/>
          <w:lang w:val="en-US" w:eastAsia="zh-CN"/>
        </w:rPr>
        <w:t>影响</w:t>
      </w:r>
      <w:r>
        <w:rPr>
          <w:rFonts w:hint="default" w:ascii="Times New Roman" w:hAnsi="Times New Roman" w:eastAsia="宋体" w:cs="Times New Roman"/>
          <w:bCs/>
          <w:caps w:val="0"/>
          <w:sz w:val="21"/>
          <w:szCs w:val="21"/>
          <w:highlight w:val="none"/>
          <w:lang w:val="en-US" w:eastAsia="zh-CN"/>
        </w:rPr>
        <w:t>经济损益分析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_Toc16834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279</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8846764">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_Toc24193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sz w:val="21"/>
          <w:szCs w:val="21"/>
          <w:highlight w:val="none"/>
          <w:lang w:val="en-US" w:eastAsia="zh-CN"/>
        </w:rPr>
        <w:t>7</w:t>
      </w:r>
      <w:r>
        <w:rPr>
          <w:rFonts w:hint="default" w:ascii="Times New Roman" w:hAnsi="Times New Roman" w:eastAsia="宋体" w:cs="Times New Roman"/>
          <w:bCs/>
          <w:caps w:val="0"/>
          <w:sz w:val="21"/>
          <w:szCs w:val="21"/>
          <w:highlight w:val="none"/>
        </w:rPr>
        <w:t>.1社会效益分析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_Toc24193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279</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21C9262">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_Toc6911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sz w:val="21"/>
          <w:szCs w:val="21"/>
          <w:highlight w:val="none"/>
          <w:lang w:val="en-US" w:eastAsia="zh-CN"/>
        </w:rPr>
        <w:t>7</w:t>
      </w:r>
      <w:r>
        <w:rPr>
          <w:rFonts w:hint="default" w:ascii="Times New Roman" w:hAnsi="Times New Roman" w:eastAsia="宋体" w:cs="Times New Roman"/>
          <w:bCs/>
          <w:caps w:val="0"/>
          <w:sz w:val="21"/>
          <w:szCs w:val="21"/>
          <w:highlight w:val="none"/>
        </w:rPr>
        <w:t>.2经济效益分析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_Toc6911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279</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A66205B">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_Toc26470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sz w:val="21"/>
          <w:szCs w:val="21"/>
          <w:highlight w:val="none"/>
          <w:lang w:val="en-US" w:eastAsia="zh-CN"/>
        </w:rPr>
        <w:t>7</w:t>
      </w:r>
      <w:r>
        <w:rPr>
          <w:rFonts w:hint="default" w:ascii="Times New Roman" w:hAnsi="Times New Roman" w:eastAsia="宋体" w:cs="Times New Roman"/>
          <w:bCs/>
          <w:caps w:val="0"/>
          <w:sz w:val="21"/>
          <w:szCs w:val="21"/>
          <w:highlight w:val="none"/>
        </w:rPr>
        <w:t>.3环境损益分析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_Toc26470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280</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10341840">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_Toc8091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sz w:val="21"/>
          <w:szCs w:val="21"/>
          <w:highlight w:val="none"/>
          <w:lang w:val="en-US" w:eastAsia="zh-CN"/>
        </w:rPr>
        <w:t>7</w:t>
      </w:r>
      <w:r>
        <w:rPr>
          <w:rFonts w:hint="default" w:ascii="Times New Roman" w:hAnsi="Times New Roman" w:eastAsia="宋体" w:cs="Times New Roman"/>
          <w:bCs/>
          <w:caps w:val="0"/>
          <w:sz w:val="21"/>
          <w:szCs w:val="21"/>
          <w:highlight w:val="none"/>
        </w:rPr>
        <w:t>.4结论</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_Toc8091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281</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A3A6AA5">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_Toc22245 </w:instrText>
      </w:r>
      <w:r>
        <w:rPr>
          <w:rFonts w:ascii="Times New Roman" w:hAnsi="Times New Roman" w:eastAsia="宋体"/>
          <w:bCs w:val="0"/>
          <w:caps w:val="0"/>
          <w:sz w:val="21"/>
          <w:szCs w:val="21"/>
        </w:rPr>
        <w:fldChar w:fldCharType="separate"/>
      </w:r>
      <w:r>
        <w:rPr>
          <w:rFonts w:hint="eastAsia" w:ascii="Times New Roman" w:hAnsi="Times New Roman" w:eastAsia="宋体"/>
          <w:caps w:val="0"/>
          <w:sz w:val="21"/>
          <w:szCs w:val="21"/>
        </w:rPr>
        <w:t>8环境管理与监测计划</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_Toc22245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282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19DB5799">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_Toc23353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kern w:val="2"/>
          <w:sz w:val="21"/>
          <w:szCs w:val="21"/>
        </w:rPr>
        <w:t>8.1建设项目环境管理</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_Toc23353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282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4CAD810">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_Toc12758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kern w:val="2"/>
          <w:sz w:val="21"/>
          <w:szCs w:val="21"/>
        </w:rPr>
        <w:t>8.2施工期环境管理</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_Toc12758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287</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4F76C8E">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_Toc7335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kern w:val="2"/>
          <w:sz w:val="21"/>
          <w:szCs w:val="21"/>
        </w:rPr>
        <w:t>8.3环境监测</w:t>
      </w:r>
      <w:r>
        <w:rPr>
          <w:rFonts w:hint="eastAsia" w:ascii="Times New Roman" w:hAnsi="Times New Roman" w:eastAsia="宋体" w:cs="Times New Roman"/>
          <w:bCs/>
          <w:caps w:val="0"/>
          <w:kern w:val="2"/>
          <w:sz w:val="21"/>
          <w:szCs w:val="21"/>
          <w:lang w:eastAsia="zh-CN"/>
        </w:rPr>
        <w:t>计划</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_Toc7335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288</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42CBC044">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_Toc1000 </w:instrText>
      </w:r>
      <w:r>
        <w:rPr>
          <w:rFonts w:ascii="Times New Roman" w:hAnsi="Times New Roman" w:eastAsia="宋体"/>
          <w:bCs w:val="0"/>
          <w:caps w:val="0"/>
          <w:sz w:val="21"/>
          <w:szCs w:val="21"/>
        </w:rPr>
        <w:fldChar w:fldCharType="separate"/>
      </w:r>
      <w:r>
        <w:rPr>
          <w:rFonts w:hint="eastAsia" w:ascii="Times New Roman" w:hAnsi="Times New Roman" w:eastAsia="宋体" w:cs="Times New Roman"/>
          <w:bCs/>
          <w:caps w:val="0"/>
          <w:sz w:val="21"/>
          <w:szCs w:val="21"/>
        </w:rPr>
        <w:t>8.4环境管理措施及环保行动计划</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_Toc1000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290</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5A7BB4B8">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_Toc15351 </w:instrText>
      </w:r>
      <w:r>
        <w:rPr>
          <w:rFonts w:ascii="Times New Roman" w:hAnsi="Times New Roman" w:eastAsia="宋体"/>
          <w:bCs w:val="0"/>
          <w:caps w:val="0"/>
          <w:sz w:val="21"/>
          <w:szCs w:val="21"/>
        </w:rPr>
        <w:fldChar w:fldCharType="separate"/>
      </w:r>
      <w:r>
        <w:rPr>
          <w:rFonts w:ascii="Times New Roman" w:hAnsi="Times New Roman" w:eastAsia="宋体"/>
          <w:caps w:val="0"/>
          <w:sz w:val="21"/>
          <w:szCs w:val="21"/>
        </w:rPr>
        <w:t>8.5环境保护竣工验收计划</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_Toc15351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292</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8509129">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_Toc23428 </w:instrText>
      </w:r>
      <w:r>
        <w:rPr>
          <w:rFonts w:ascii="Times New Roman" w:hAnsi="Times New Roman" w:eastAsia="宋体"/>
          <w:bCs w:val="0"/>
          <w:caps w:val="0"/>
          <w:sz w:val="21"/>
          <w:szCs w:val="21"/>
        </w:rPr>
        <w:fldChar w:fldCharType="separate"/>
      </w:r>
      <w:r>
        <w:rPr>
          <w:rFonts w:ascii="Times New Roman" w:hAnsi="Times New Roman" w:eastAsia="宋体" w:cs="Times New Roman"/>
          <w:bCs/>
          <w:caps w:val="0"/>
          <w:sz w:val="21"/>
          <w:szCs w:val="21"/>
        </w:rPr>
        <w:t>8.6</w:t>
      </w:r>
      <w:r>
        <w:rPr>
          <w:rFonts w:hint="eastAsia" w:ascii="Times New Roman" w:hAnsi="Times New Roman" w:eastAsia="宋体" w:cs="Times New Roman"/>
          <w:bCs/>
          <w:caps w:val="0"/>
          <w:sz w:val="21"/>
          <w:szCs w:val="21"/>
          <w:lang w:eastAsia="zh-CN"/>
        </w:rPr>
        <w:t>污染物排放</w:t>
      </w:r>
      <w:r>
        <w:rPr>
          <w:rFonts w:ascii="Times New Roman" w:hAnsi="Times New Roman" w:eastAsia="宋体" w:cs="Times New Roman"/>
          <w:bCs/>
          <w:caps w:val="0"/>
          <w:sz w:val="21"/>
          <w:szCs w:val="21"/>
        </w:rPr>
        <w:t>清单</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_Toc23428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293</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31325296">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_Toc12836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sz w:val="21"/>
          <w:szCs w:val="21"/>
          <w:lang w:val="en-US" w:eastAsia="zh-CN"/>
        </w:rPr>
        <w:t>8</w:t>
      </w:r>
      <w:r>
        <w:rPr>
          <w:rFonts w:hint="eastAsia" w:ascii="Times New Roman" w:hAnsi="Times New Roman" w:eastAsia="宋体"/>
          <w:bCs/>
          <w:caps w:val="0"/>
          <w:sz w:val="21"/>
          <w:szCs w:val="21"/>
        </w:rPr>
        <w:t>.7总量控制</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_Toc12836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294</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647D557">
      <w:pPr>
        <w:pStyle w:val="53"/>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_Toc10527 </w:instrText>
      </w:r>
      <w:r>
        <w:rPr>
          <w:rFonts w:ascii="Times New Roman" w:hAnsi="Times New Roman" w:eastAsia="宋体"/>
          <w:bCs w:val="0"/>
          <w:caps w:val="0"/>
          <w:sz w:val="21"/>
          <w:szCs w:val="21"/>
        </w:rPr>
        <w:fldChar w:fldCharType="separate"/>
      </w:r>
      <w:r>
        <w:rPr>
          <w:rFonts w:hint="eastAsia" w:ascii="Times New Roman" w:hAnsi="Times New Roman" w:eastAsia="宋体"/>
          <w:caps w:val="0"/>
          <w:sz w:val="21"/>
          <w:szCs w:val="21"/>
          <w:highlight w:val="none"/>
        </w:rPr>
        <w:t>9</w:t>
      </w:r>
      <w:r>
        <w:rPr>
          <w:rFonts w:hint="eastAsia" w:ascii="Times New Roman" w:hAnsi="Times New Roman" w:eastAsia="宋体"/>
          <w:caps w:val="0"/>
          <w:sz w:val="21"/>
          <w:szCs w:val="21"/>
          <w:highlight w:val="none"/>
          <w:lang w:val="en-US" w:eastAsia="zh-CN"/>
        </w:rPr>
        <w:t>环境影响评价结论</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_Toc10527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295</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4B7428B1">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_Toc17293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sz w:val="21"/>
          <w:szCs w:val="21"/>
        </w:rPr>
        <w:t>9.1工程概况</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_Toc17293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295</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CC3B30D">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_Toc26200 </w:instrText>
      </w:r>
      <w:r>
        <w:rPr>
          <w:rFonts w:ascii="Times New Roman" w:hAnsi="Times New Roman" w:eastAsia="宋体"/>
          <w:bCs w:val="0"/>
          <w:caps w:val="0"/>
          <w:sz w:val="21"/>
          <w:szCs w:val="21"/>
        </w:rPr>
        <w:fldChar w:fldCharType="separate"/>
      </w:r>
      <w:r>
        <w:rPr>
          <w:rFonts w:ascii="Times New Roman" w:hAnsi="Times New Roman" w:eastAsia="宋体"/>
          <w:bCs/>
          <w:caps w:val="0"/>
          <w:sz w:val="21"/>
          <w:szCs w:val="21"/>
        </w:rPr>
        <w:t>9.2符合性分析</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_Toc26200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296</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137D6007">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_Toc5927 </w:instrText>
      </w:r>
      <w:r>
        <w:rPr>
          <w:rFonts w:ascii="Times New Roman" w:hAnsi="Times New Roman" w:eastAsia="宋体"/>
          <w:bCs w:val="0"/>
          <w:caps w:val="0"/>
          <w:sz w:val="21"/>
          <w:szCs w:val="21"/>
        </w:rPr>
        <w:fldChar w:fldCharType="separate"/>
      </w:r>
      <w:r>
        <w:rPr>
          <w:rFonts w:ascii="Times New Roman" w:hAnsi="Times New Roman" w:eastAsia="宋体"/>
          <w:bCs/>
          <w:caps w:val="0"/>
          <w:sz w:val="21"/>
          <w:szCs w:val="21"/>
        </w:rPr>
        <w:t>9.</w:t>
      </w:r>
      <w:r>
        <w:rPr>
          <w:rFonts w:hint="eastAsia" w:ascii="Times New Roman" w:hAnsi="Times New Roman" w:eastAsia="宋体"/>
          <w:bCs/>
          <w:caps w:val="0"/>
          <w:sz w:val="21"/>
          <w:szCs w:val="21"/>
        </w:rPr>
        <w:t>3环境质量现状</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_Toc5927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296</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2848B422">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_Toc10969 </w:instrText>
      </w:r>
      <w:r>
        <w:rPr>
          <w:rFonts w:ascii="Times New Roman" w:hAnsi="Times New Roman" w:eastAsia="宋体"/>
          <w:bCs w:val="0"/>
          <w:caps w:val="0"/>
          <w:sz w:val="21"/>
          <w:szCs w:val="21"/>
        </w:rPr>
        <w:fldChar w:fldCharType="separate"/>
      </w:r>
      <w:r>
        <w:rPr>
          <w:rFonts w:ascii="Times New Roman" w:hAnsi="Times New Roman" w:eastAsia="宋体"/>
          <w:bCs/>
          <w:caps w:val="0"/>
          <w:sz w:val="21"/>
          <w:szCs w:val="21"/>
        </w:rPr>
        <w:t>9.4环境影响评价</w:t>
      </w:r>
      <w:r>
        <w:rPr>
          <w:rFonts w:hint="eastAsia" w:ascii="Times New Roman" w:hAnsi="Times New Roman" w:eastAsia="宋体"/>
          <w:bCs/>
          <w:caps w:val="0"/>
          <w:sz w:val="21"/>
          <w:szCs w:val="21"/>
        </w:rPr>
        <w:t>结论</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_Toc10969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297</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689515E">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_Toc26712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sz w:val="21"/>
          <w:szCs w:val="21"/>
        </w:rPr>
        <w:t>9.5环境风险评价结论</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_Toc26712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299</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F3F1A5D">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_Toc17736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sz w:val="21"/>
          <w:szCs w:val="21"/>
        </w:rPr>
        <w:t>9.6环境管理与监测</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_Toc17736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299</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7525A600">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_Toc12447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sz w:val="21"/>
          <w:szCs w:val="21"/>
        </w:rPr>
        <w:t>9.7总量控制</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_Toc12447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300</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32B2F03C">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_Toc24789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sz w:val="21"/>
          <w:szCs w:val="21"/>
        </w:rPr>
        <w:t>9.8公众参与</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_Toc24789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300</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2E41A7D">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ascii="Times New Roman" w:hAnsi="Times New Roman" w:eastAsia="宋体"/>
          <w:caps w:val="0"/>
          <w:sz w:val="21"/>
          <w:szCs w:val="21"/>
        </w:rPr>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_Toc20333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sz w:val="21"/>
          <w:szCs w:val="21"/>
        </w:rPr>
        <w:t>9.9总体结论</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_Toc20333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300</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5FD60D00">
      <w:pPr>
        <w:pStyle w:val="6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pPr>
      <w:r>
        <w:rPr>
          <w:rFonts w:ascii="Times New Roman" w:hAnsi="Times New Roman" w:eastAsia="宋体"/>
          <w:bCs w:val="0"/>
          <w:caps w:val="0"/>
          <w:color w:val="000000" w:themeColor="text1"/>
          <w:sz w:val="21"/>
          <w:szCs w:val="21"/>
          <w14:textFill>
            <w14:solidFill>
              <w14:schemeClr w14:val="tx1"/>
            </w14:solidFill>
          </w14:textFill>
        </w:rPr>
        <w:fldChar w:fldCharType="begin"/>
      </w:r>
      <w:r>
        <w:rPr>
          <w:rFonts w:ascii="Times New Roman" w:hAnsi="Times New Roman" w:eastAsia="宋体"/>
          <w:bCs w:val="0"/>
          <w:caps w:val="0"/>
          <w:sz w:val="21"/>
          <w:szCs w:val="21"/>
        </w:rPr>
        <w:instrText xml:space="preserve"> HYPERLINK \l _Toc17449 </w:instrText>
      </w:r>
      <w:r>
        <w:rPr>
          <w:rFonts w:ascii="Times New Roman" w:hAnsi="Times New Roman" w:eastAsia="宋体"/>
          <w:bCs w:val="0"/>
          <w:caps w:val="0"/>
          <w:sz w:val="21"/>
          <w:szCs w:val="21"/>
        </w:rPr>
        <w:fldChar w:fldCharType="separate"/>
      </w:r>
      <w:r>
        <w:rPr>
          <w:rFonts w:hint="eastAsia" w:ascii="Times New Roman" w:hAnsi="Times New Roman" w:eastAsia="宋体"/>
          <w:bCs/>
          <w:caps w:val="0"/>
          <w:sz w:val="21"/>
          <w:szCs w:val="21"/>
        </w:rPr>
        <w:t>9.</w:t>
      </w:r>
      <w:r>
        <w:rPr>
          <w:rFonts w:hint="eastAsia" w:ascii="Times New Roman" w:hAnsi="Times New Roman" w:eastAsia="宋体"/>
          <w:bCs/>
          <w:caps w:val="0"/>
          <w:sz w:val="21"/>
          <w:szCs w:val="21"/>
          <w:lang w:val="en-US" w:eastAsia="zh-CN"/>
        </w:rPr>
        <w:t>10</w:t>
      </w:r>
      <w:r>
        <w:rPr>
          <w:rFonts w:hint="eastAsia" w:ascii="Times New Roman" w:hAnsi="Times New Roman" w:eastAsia="宋体"/>
          <w:bCs/>
          <w:caps w:val="0"/>
          <w:sz w:val="21"/>
          <w:szCs w:val="21"/>
          <w:lang w:eastAsia="zh-CN"/>
        </w:rPr>
        <w:t>建议</w:t>
      </w:r>
      <w:r>
        <w:rPr>
          <w:rFonts w:ascii="Times New Roman" w:hAnsi="Times New Roman" w:eastAsia="宋体"/>
          <w:caps w:val="0"/>
          <w:sz w:val="21"/>
          <w:szCs w:val="21"/>
        </w:rPr>
        <w:tab/>
      </w:r>
      <w:r>
        <w:rPr>
          <w:rFonts w:ascii="Times New Roman" w:hAnsi="Times New Roman" w:eastAsia="宋体"/>
          <w:caps w:val="0"/>
          <w:sz w:val="21"/>
          <w:szCs w:val="21"/>
        </w:rPr>
        <w:fldChar w:fldCharType="begin"/>
      </w:r>
      <w:r>
        <w:rPr>
          <w:rFonts w:ascii="Times New Roman" w:hAnsi="Times New Roman" w:eastAsia="宋体"/>
          <w:caps w:val="0"/>
          <w:sz w:val="21"/>
          <w:szCs w:val="21"/>
        </w:rPr>
        <w:instrText xml:space="preserve"> PAGEREF _Toc17449 \h </w:instrText>
      </w:r>
      <w:r>
        <w:rPr>
          <w:rFonts w:ascii="Times New Roman" w:hAnsi="Times New Roman" w:eastAsia="宋体"/>
          <w:caps w:val="0"/>
          <w:sz w:val="21"/>
          <w:szCs w:val="21"/>
        </w:rPr>
        <w:fldChar w:fldCharType="separate"/>
      </w:r>
      <w:r>
        <w:rPr>
          <w:rFonts w:ascii="Times New Roman" w:hAnsi="Times New Roman" w:eastAsia="宋体"/>
          <w:caps w:val="0"/>
          <w:sz w:val="21"/>
          <w:szCs w:val="21"/>
        </w:rPr>
        <w:t>301</w:t>
      </w:r>
      <w:r>
        <w:rPr>
          <w:rFonts w:ascii="Times New Roman" w:hAnsi="Times New Roman" w:eastAsia="宋体"/>
          <w:caps w:val="0"/>
          <w:sz w:val="21"/>
          <w:szCs w:val="21"/>
        </w:rPr>
        <w:fldChar w:fldCharType="end"/>
      </w:r>
      <w:r>
        <w:rPr>
          <w:rFonts w:ascii="Times New Roman" w:hAnsi="Times New Roman" w:eastAsia="宋体"/>
          <w:bCs w:val="0"/>
          <w:caps w:val="0"/>
          <w:color w:val="000000" w:themeColor="text1"/>
          <w:sz w:val="21"/>
          <w:szCs w:val="21"/>
          <w14:textFill>
            <w14:solidFill>
              <w14:schemeClr w14:val="tx1"/>
            </w14:solidFill>
          </w14:textFill>
        </w:rPr>
        <w:fldChar w:fldCharType="end"/>
      </w:r>
    </w:p>
    <w:p w14:paraId="0A5D2AC7">
      <w:pPr>
        <w:pStyle w:val="53"/>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6" w:afterLines="50" w:line="440" w:lineRule="exact"/>
        <w:jc w:val="center"/>
        <w:textAlignment w:val="auto"/>
        <w:rPr>
          <w:rFonts w:ascii="Times New Roman" w:hAnsi="Times New Roman" w:eastAsia="宋体"/>
          <w:b/>
          <w:bCs w:val="0"/>
          <w:color w:val="000000" w:themeColor="text1"/>
          <w:sz w:val="36"/>
          <w:szCs w:val="30"/>
          <w14:textFill>
            <w14:solidFill>
              <w14:schemeClr w14:val="tx1"/>
            </w14:solidFill>
          </w14:textFill>
        </w:rPr>
      </w:pPr>
      <w:r>
        <w:rPr>
          <w:rFonts w:ascii="Times New Roman" w:hAnsi="Times New Roman" w:eastAsia="宋体"/>
          <w:b/>
          <w:bCs w:val="0"/>
          <w:caps w:val="0"/>
          <w:color w:val="000000" w:themeColor="text1"/>
          <w:sz w:val="36"/>
          <w:szCs w:val="30"/>
          <w14:textFill>
            <w14:solidFill>
              <w14:schemeClr w14:val="tx1"/>
            </w14:solidFill>
          </w14:textFill>
        </w:rPr>
        <w:fldChar w:fldCharType="end"/>
      </w:r>
    </w:p>
    <w:p w14:paraId="3C5726C1">
      <w:pPr>
        <w:pStyle w:val="1008"/>
        <w:spacing w:line="440" w:lineRule="exact"/>
        <w:ind w:firstLine="0" w:firstLineChars="0"/>
        <w:jc w:val="center"/>
        <w:rPr>
          <w:rFonts w:hint="eastAsia"/>
          <w:b/>
          <w:color w:val="000000" w:themeColor="text1"/>
          <w14:textFill>
            <w14:solidFill>
              <w14:schemeClr w14:val="tx1"/>
            </w14:solidFill>
          </w14:textFill>
        </w:rPr>
        <w:sectPr>
          <w:headerReference r:id="rId7" w:type="default"/>
          <w:footerReference r:id="rId9" w:type="default"/>
          <w:headerReference r:id="rId8" w:type="even"/>
          <w:footerReference r:id="rId10" w:type="even"/>
          <w:pgSz w:w="11906" w:h="16838"/>
          <w:pgMar w:top="1440" w:right="1800" w:bottom="1440" w:left="1800" w:header="1020" w:footer="964" w:gutter="0"/>
          <w:pgBorders>
            <w:top w:val="none" w:sz="0" w:space="0"/>
            <w:left w:val="none" w:sz="0" w:space="0"/>
            <w:bottom w:val="none" w:sz="0" w:space="0"/>
            <w:right w:val="none" w:sz="0" w:space="0"/>
          </w:pgBorders>
          <w:pgNumType w:fmt="upperRoman" w:start="1"/>
          <w:cols w:space="720" w:num="1"/>
          <w:docGrid w:type="lines" w:linePitch="312" w:charSpace="0"/>
        </w:sectPr>
      </w:pPr>
    </w:p>
    <w:p w14:paraId="3148DA60">
      <w:pPr>
        <w:pStyle w:val="1008"/>
        <w:spacing w:line="440" w:lineRule="exact"/>
        <w:ind w:firstLine="0" w:firstLineChars="0"/>
        <w:jc w:val="center"/>
        <w:rPr>
          <w:b/>
          <w:color w:val="000000" w:themeColor="text1"/>
          <w:sz w:val="21"/>
          <w:szCs w:val="21"/>
          <w14:textFill>
            <w14:solidFill>
              <w14:schemeClr w14:val="tx1"/>
            </w14:solidFill>
          </w14:textFill>
        </w:rPr>
      </w:pPr>
      <w:r>
        <w:rPr>
          <w:rFonts w:hint="eastAsia"/>
          <w:b/>
          <w:color w:val="000000" w:themeColor="text1"/>
          <w14:textFill>
            <w14:solidFill>
              <w14:schemeClr w14:val="tx1"/>
            </w14:solidFill>
          </w14:textFill>
        </w:rPr>
        <w:t>附图</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9"/>
        <w:gridCol w:w="7643"/>
      </w:tblGrid>
      <w:tr w14:paraId="4CBB9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6" w:type="pct"/>
            <w:noWrap w:val="0"/>
            <w:vAlign w:val="center"/>
          </w:tcPr>
          <w:p w14:paraId="2B49C3B6">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序号</w:t>
            </w:r>
          </w:p>
        </w:tc>
        <w:tc>
          <w:tcPr>
            <w:tcW w:w="4483" w:type="pct"/>
            <w:noWrap w:val="0"/>
            <w:vAlign w:val="center"/>
          </w:tcPr>
          <w:p w14:paraId="1A4B91B6">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图名</w:t>
            </w:r>
          </w:p>
        </w:tc>
      </w:tr>
      <w:tr w14:paraId="415130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5A3ACA3F">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4483" w:type="pct"/>
            <w:noWrap w:val="0"/>
            <w:vAlign w:val="center"/>
          </w:tcPr>
          <w:p w14:paraId="732D6497">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图2.</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 xml:space="preserve">  项目区域水系</w:t>
            </w:r>
            <w:r>
              <w:rPr>
                <w:rFonts w:hint="eastAsia" w:ascii="Times New Roman" w:hAnsi="Times New Roman" w:cs="Times New Roman"/>
                <w:color w:val="000000" w:themeColor="text1"/>
                <w:sz w:val="21"/>
                <w:szCs w:val="21"/>
                <w14:textFill>
                  <w14:solidFill>
                    <w14:schemeClr w14:val="tx1"/>
                  </w14:solidFill>
                </w14:textFill>
              </w:rPr>
              <w:t>图</w:t>
            </w:r>
          </w:p>
        </w:tc>
      </w:tr>
      <w:tr w14:paraId="3310B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2FA9F142">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p>
        </w:tc>
        <w:tc>
          <w:tcPr>
            <w:tcW w:w="4483" w:type="pct"/>
            <w:noWrap w:val="0"/>
            <w:vAlign w:val="center"/>
          </w:tcPr>
          <w:p w14:paraId="6D044422">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图2.</w:t>
            </w:r>
            <w:r>
              <w:rPr>
                <w:rFonts w:hint="default"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lang w:eastAsia="zh-CN"/>
                <w14:textFill>
                  <w14:solidFill>
                    <w14:schemeClr w14:val="tx1"/>
                  </w14:solidFill>
                </w14:textFill>
              </w:rPr>
              <w:t>项目</w:t>
            </w:r>
            <w:r>
              <w:rPr>
                <w:rFonts w:hint="eastAsia" w:ascii="Times New Roman" w:hAnsi="Times New Roman" w:cs="Times New Roman"/>
                <w:color w:val="000000" w:themeColor="text1"/>
                <w:sz w:val="21"/>
                <w:szCs w:val="21"/>
                <w14:textFill>
                  <w14:solidFill>
                    <w14:schemeClr w14:val="tx1"/>
                  </w14:solidFill>
                </w14:textFill>
              </w:rPr>
              <w:t>环境影响评价范围图</w:t>
            </w:r>
          </w:p>
        </w:tc>
      </w:tr>
      <w:tr w14:paraId="48992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4C8C0735">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w:t>
            </w:r>
          </w:p>
        </w:tc>
        <w:tc>
          <w:tcPr>
            <w:tcW w:w="4483" w:type="pct"/>
            <w:noWrap w:val="0"/>
            <w:vAlign w:val="center"/>
          </w:tcPr>
          <w:p w14:paraId="45882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ascii="Times New Roman" w:hAnsi="Times New Roman" w:cs="Times New Roman"/>
                <w:color w:val="000000" w:themeColor="text1"/>
                <w:sz w:val="21"/>
                <w:szCs w:val="21"/>
                <w:lang w:val="en-US" w:eastAsia="zh-CN"/>
                <w14:textFill>
                  <w14:solidFill>
                    <w14:schemeClr w14:val="tx1"/>
                  </w14:solidFill>
                </w14:textFill>
              </w:rPr>
              <w:t>3.1-2</w:t>
            </w:r>
            <w:r>
              <w:rPr>
                <w:rFonts w:hint="default" w:ascii="Times New Roman" w:hAnsi="Times New Roman" w:cs="Times New Roman"/>
                <w:color w:val="000000" w:themeColor="text1"/>
                <w:sz w:val="21"/>
                <w:szCs w:val="21"/>
                <w14:textFill>
                  <w14:solidFill>
                    <w14:schemeClr w14:val="tx1"/>
                  </w14:solidFill>
                </w14:textFill>
              </w:rPr>
              <w:t xml:space="preserve">  现有工程布局</w:t>
            </w:r>
            <w:r>
              <w:rPr>
                <w:rFonts w:hint="eastAsia" w:ascii="Times New Roman" w:hAnsi="Times New Roman" w:cs="Times New Roman"/>
                <w:color w:val="000000" w:themeColor="text1"/>
                <w:sz w:val="21"/>
                <w:szCs w:val="21"/>
                <w14:textFill>
                  <w14:solidFill>
                    <w14:schemeClr w14:val="tx1"/>
                  </w14:solidFill>
                </w14:textFill>
              </w:rPr>
              <w:t>图</w:t>
            </w:r>
          </w:p>
        </w:tc>
      </w:tr>
      <w:tr w14:paraId="65A9A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75B6510F">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w:t>
            </w:r>
          </w:p>
        </w:tc>
        <w:tc>
          <w:tcPr>
            <w:tcW w:w="4483" w:type="pct"/>
            <w:noWrap w:val="0"/>
            <w:vAlign w:val="center"/>
          </w:tcPr>
          <w:p w14:paraId="77EE0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3.2-1</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项目地理位置</w:t>
            </w:r>
            <w:r>
              <w:rPr>
                <w:rFonts w:hint="eastAsia" w:ascii="Times New Roman" w:hAnsi="Times New Roman" w:cs="Times New Roman"/>
                <w:color w:val="000000" w:themeColor="text1"/>
                <w:sz w:val="21"/>
                <w:szCs w:val="21"/>
                <w14:textFill>
                  <w14:solidFill>
                    <w14:schemeClr w14:val="tx1"/>
                  </w14:solidFill>
                </w14:textFill>
              </w:rPr>
              <w:t>图</w:t>
            </w:r>
          </w:p>
        </w:tc>
      </w:tr>
      <w:tr w14:paraId="28C00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4A058200">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w:t>
            </w:r>
          </w:p>
        </w:tc>
        <w:tc>
          <w:tcPr>
            <w:tcW w:w="4483" w:type="pct"/>
            <w:noWrap w:val="0"/>
            <w:vAlign w:val="center"/>
          </w:tcPr>
          <w:p w14:paraId="7ED7902C">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3.2-2</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项目区域位置</w:t>
            </w:r>
            <w:r>
              <w:rPr>
                <w:rFonts w:hint="eastAsia" w:ascii="Times New Roman" w:hAnsi="Times New Roman" w:cs="Times New Roman"/>
                <w:color w:val="000000" w:themeColor="text1"/>
                <w:sz w:val="21"/>
                <w:szCs w:val="21"/>
                <w14:textFill>
                  <w14:solidFill>
                    <w14:schemeClr w14:val="tx1"/>
                  </w14:solidFill>
                </w14:textFill>
              </w:rPr>
              <w:t>图</w:t>
            </w:r>
          </w:p>
        </w:tc>
      </w:tr>
      <w:tr w14:paraId="53DA3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5470B649">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w:t>
            </w:r>
          </w:p>
        </w:tc>
        <w:tc>
          <w:tcPr>
            <w:tcW w:w="4483" w:type="pct"/>
            <w:noWrap w:val="0"/>
            <w:vAlign w:val="center"/>
          </w:tcPr>
          <w:p w14:paraId="24C85B4B">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3.2-10</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矿区总平面布置</w:t>
            </w:r>
            <w:r>
              <w:rPr>
                <w:rFonts w:hint="eastAsia" w:ascii="Times New Roman" w:hAnsi="Times New Roman" w:cs="Times New Roman"/>
                <w:color w:val="000000" w:themeColor="text1"/>
                <w:sz w:val="21"/>
                <w:szCs w:val="21"/>
                <w14:textFill>
                  <w14:solidFill>
                    <w14:schemeClr w14:val="tx1"/>
                  </w14:solidFill>
                </w14:textFill>
              </w:rPr>
              <w:t>图</w:t>
            </w:r>
          </w:p>
        </w:tc>
      </w:tr>
      <w:tr w14:paraId="070CC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5040F3D6">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w:t>
            </w:r>
          </w:p>
        </w:tc>
        <w:tc>
          <w:tcPr>
            <w:tcW w:w="4483" w:type="pct"/>
            <w:noWrap w:val="0"/>
            <w:vAlign w:val="center"/>
          </w:tcPr>
          <w:p w14:paraId="77298D1D">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3.4-1</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项目与生态保护红线的位置关系图</w:t>
            </w:r>
          </w:p>
        </w:tc>
      </w:tr>
      <w:tr w14:paraId="658710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21F0BBED">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w:t>
            </w:r>
          </w:p>
        </w:tc>
        <w:tc>
          <w:tcPr>
            <w:tcW w:w="4483" w:type="pct"/>
            <w:noWrap w:val="0"/>
            <w:vAlign w:val="center"/>
          </w:tcPr>
          <w:p w14:paraId="7E7EB5CA">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3.4-2</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项目与哈密市环境管控单元分类的位置关系图</w:t>
            </w:r>
          </w:p>
        </w:tc>
      </w:tr>
      <w:tr w14:paraId="4F723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09E50457">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w:t>
            </w:r>
          </w:p>
        </w:tc>
        <w:tc>
          <w:tcPr>
            <w:tcW w:w="4483" w:type="pct"/>
            <w:noWrap w:val="0"/>
            <w:vAlign w:val="center"/>
          </w:tcPr>
          <w:p w14:paraId="5A3C06CE">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3.4-3</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项目与新疆罗布泊野骆驼国家级自然保护区的位置关系图</w:t>
            </w:r>
          </w:p>
        </w:tc>
      </w:tr>
      <w:tr w14:paraId="6ED82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3499D0BF">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w:t>
            </w:r>
          </w:p>
        </w:tc>
        <w:tc>
          <w:tcPr>
            <w:tcW w:w="4483" w:type="pct"/>
            <w:noWrap w:val="0"/>
            <w:vAlign w:val="center"/>
          </w:tcPr>
          <w:p w14:paraId="23B8222B">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4.1-3</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M1033铁矿水文地质</w:t>
            </w:r>
            <w:r>
              <w:rPr>
                <w:rFonts w:hint="eastAsia" w:cs="Times New Roman"/>
                <w:color w:val="000000" w:themeColor="text1"/>
                <w:sz w:val="21"/>
                <w:szCs w:val="21"/>
                <w:lang w:eastAsia="zh-CN"/>
                <w14:textFill>
                  <w14:solidFill>
                    <w14:schemeClr w14:val="tx1"/>
                  </w14:solidFill>
                </w14:textFill>
              </w:rPr>
              <w:t>图</w:t>
            </w:r>
          </w:p>
        </w:tc>
      </w:tr>
      <w:tr w14:paraId="3D031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0CEA2B6C">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1</w:t>
            </w:r>
          </w:p>
        </w:tc>
        <w:tc>
          <w:tcPr>
            <w:tcW w:w="4483" w:type="pct"/>
            <w:noWrap w:val="0"/>
            <w:vAlign w:val="center"/>
          </w:tcPr>
          <w:p w14:paraId="037F40E0">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4.1-4</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M1033铁矿水文地质剖面</w:t>
            </w:r>
            <w:r>
              <w:rPr>
                <w:rFonts w:hint="eastAsia" w:cs="Times New Roman"/>
                <w:color w:val="000000" w:themeColor="text1"/>
                <w:sz w:val="21"/>
                <w:szCs w:val="21"/>
                <w:lang w:eastAsia="zh-CN"/>
                <w14:textFill>
                  <w14:solidFill>
                    <w14:schemeClr w14:val="tx1"/>
                  </w14:solidFill>
                </w14:textFill>
              </w:rPr>
              <w:t>图</w:t>
            </w:r>
          </w:p>
        </w:tc>
      </w:tr>
      <w:tr w14:paraId="01D8D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695C0FF8">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2</w:t>
            </w:r>
          </w:p>
        </w:tc>
        <w:tc>
          <w:tcPr>
            <w:tcW w:w="4483" w:type="pct"/>
            <w:noWrap w:val="0"/>
            <w:vAlign w:val="center"/>
          </w:tcPr>
          <w:p w14:paraId="2CF8D83D">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4.2-1</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项目环境监测布点图</w:t>
            </w:r>
          </w:p>
        </w:tc>
      </w:tr>
      <w:tr w14:paraId="2E977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44438665">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w:t>
            </w:r>
          </w:p>
        </w:tc>
        <w:tc>
          <w:tcPr>
            <w:tcW w:w="4483" w:type="pct"/>
            <w:noWrap w:val="0"/>
            <w:vAlign w:val="center"/>
          </w:tcPr>
          <w:p w14:paraId="3C5F91E6">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4.2-2</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项目在新疆生态功能区划图中的位置</w:t>
            </w:r>
          </w:p>
        </w:tc>
      </w:tr>
      <w:tr w14:paraId="63E48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14764E98">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w:t>
            </w:r>
          </w:p>
        </w:tc>
        <w:tc>
          <w:tcPr>
            <w:tcW w:w="4483" w:type="pct"/>
            <w:noWrap w:val="0"/>
            <w:vAlign w:val="center"/>
          </w:tcPr>
          <w:p w14:paraId="4D76FE04">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4.2-3</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项目土地利用现状图</w:t>
            </w:r>
          </w:p>
        </w:tc>
      </w:tr>
      <w:tr w14:paraId="5943C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09B00891">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4483" w:type="pct"/>
            <w:noWrap w:val="0"/>
            <w:vAlign w:val="center"/>
          </w:tcPr>
          <w:p w14:paraId="684CF81E">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4.2-5</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项目土壤类型图</w:t>
            </w:r>
          </w:p>
        </w:tc>
      </w:tr>
      <w:tr w14:paraId="69F64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4DEE5FF7">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w:t>
            </w:r>
          </w:p>
        </w:tc>
        <w:tc>
          <w:tcPr>
            <w:tcW w:w="4483" w:type="pct"/>
            <w:noWrap w:val="0"/>
            <w:vAlign w:val="center"/>
          </w:tcPr>
          <w:p w14:paraId="79F76EFC">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4.2-6</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项目植被类型图</w:t>
            </w:r>
          </w:p>
        </w:tc>
      </w:tr>
      <w:tr w14:paraId="2E8BD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noWrap w:val="0"/>
            <w:vAlign w:val="center"/>
          </w:tcPr>
          <w:p w14:paraId="273BD454">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c>
          <w:tcPr>
            <w:tcW w:w="4483" w:type="pct"/>
            <w:noWrap w:val="0"/>
            <w:vAlign w:val="center"/>
          </w:tcPr>
          <w:p w14:paraId="558D1876">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6.2-3</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项目地质环境治理工程部署图</w:t>
            </w:r>
          </w:p>
        </w:tc>
      </w:tr>
    </w:tbl>
    <w:p w14:paraId="17EA46B6">
      <w:pPr>
        <w:spacing w:line="440" w:lineRule="exact"/>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附件</w:t>
      </w:r>
    </w:p>
    <w:tbl>
      <w:tblPr>
        <w:tblStyle w:val="7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1"/>
        <w:gridCol w:w="7641"/>
      </w:tblGrid>
      <w:tr w14:paraId="4954D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81" w:type="dxa"/>
            <w:noWrap w:val="0"/>
            <w:vAlign w:val="center"/>
          </w:tcPr>
          <w:p w14:paraId="2CD72767">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序号</w:t>
            </w:r>
          </w:p>
        </w:tc>
        <w:tc>
          <w:tcPr>
            <w:tcW w:w="7641" w:type="dxa"/>
            <w:noWrap w:val="0"/>
            <w:vAlign w:val="center"/>
          </w:tcPr>
          <w:p w14:paraId="538D0F7E">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附件名称</w:t>
            </w:r>
          </w:p>
        </w:tc>
      </w:tr>
      <w:tr w14:paraId="1598F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noWrap w:val="0"/>
            <w:vAlign w:val="center"/>
          </w:tcPr>
          <w:p w14:paraId="7D215500">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附件1</w:t>
            </w:r>
          </w:p>
        </w:tc>
        <w:tc>
          <w:tcPr>
            <w:tcW w:w="7641" w:type="dxa"/>
            <w:noWrap w:val="0"/>
            <w:vAlign w:val="center"/>
          </w:tcPr>
          <w:p w14:paraId="5AE4E135">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项目核准文件</w:t>
            </w:r>
          </w:p>
        </w:tc>
      </w:tr>
      <w:tr w14:paraId="21E7B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shd w:val="clear" w:color="auto" w:fill="auto"/>
            <w:noWrap w:val="0"/>
            <w:vAlign w:val="center"/>
          </w:tcPr>
          <w:p w14:paraId="4EFE3C64">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附件2</w:t>
            </w:r>
          </w:p>
        </w:tc>
        <w:tc>
          <w:tcPr>
            <w:tcW w:w="7641" w:type="dxa"/>
            <w:noWrap w:val="0"/>
            <w:vAlign w:val="center"/>
          </w:tcPr>
          <w:p w14:paraId="0C23A229">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环评委托书</w:t>
            </w:r>
          </w:p>
        </w:tc>
      </w:tr>
      <w:tr w14:paraId="646A5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shd w:val="clear" w:color="auto" w:fill="auto"/>
            <w:noWrap w:val="0"/>
            <w:vAlign w:val="center"/>
          </w:tcPr>
          <w:p w14:paraId="10BF592A">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附件3</w:t>
            </w:r>
          </w:p>
        </w:tc>
        <w:tc>
          <w:tcPr>
            <w:tcW w:w="7641" w:type="dxa"/>
            <w:noWrap w:val="0"/>
            <w:vAlign w:val="center"/>
          </w:tcPr>
          <w:p w14:paraId="27659E2E">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采矿证</w:t>
            </w:r>
          </w:p>
        </w:tc>
      </w:tr>
      <w:tr w14:paraId="59062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shd w:val="clear" w:color="auto" w:fill="auto"/>
            <w:noWrap w:val="0"/>
            <w:vAlign w:val="center"/>
          </w:tcPr>
          <w:p w14:paraId="189A8661">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附件4</w:t>
            </w:r>
          </w:p>
        </w:tc>
        <w:tc>
          <w:tcPr>
            <w:tcW w:w="7641" w:type="dxa"/>
            <w:noWrap w:val="0"/>
            <w:vAlign w:val="center"/>
          </w:tcPr>
          <w:p w14:paraId="09E7D2D9">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《关于哈密市西成矿业有限责任公司</w:t>
            </w:r>
            <w:r>
              <w:rPr>
                <w:rFonts w:hint="eastAsia" w:ascii="Times New Roman" w:hAnsi="Times New Roman" w:cs="Times New Roman"/>
                <w:color w:val="000000" w:themeColor="text1"/>
                <w:sz w:val="21"/>
                <w:szCs w:val="21"/>
                <w:lang w:val="en-US" w:eastAsia="zh-CN"/>
                <w14:textFill>
                  <w14:solidFill>
                    <w14:schemeClr w14:val="tx1"/>
                  </w14:solidFill>
                </w14:textFill>
              </w:rPr>
              <w:t>M1033矿年产30万吨铁矿采矿建设项目</w:t>
            </w:r>
            <w:r>
              <w:rPr>
                <w:rFonts w:hint="eastAsia" w:ascii="Times New Roman" w:hAnsi="Times New Roman" w:cs="Times New Roman"/>
                <w:color w:val="000000" w:themeColor="text1"/>
                <w:sz w:val="21"/>
                <w:szCs w:val="21"/>
                <w:lang w:eastAsia="zh-CN"/>
                <w14:textFill>
                  <w14:solidFill>
                    <w14:schemeClr w14:val="tx1"/>
                  </w14:solidFill>
                </w14:textFill>
              </w:rPr>
              <w:t>环境影响报告表的批复》（哈地环审批字〔2006〕</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color w:val="000000" w:themeColor="text1"/>
                <w:sz w:val="21"/>
                <w:szCs w:val="21"/>
                <w:lang w:eastAsia="zh-CN"/>
                <w14:textFill>
                  <w14:solidFill>
                    <w14:schemeClr w14:val="tx1"/>
                  </w14:solidFill>
                </w14:textFill>
              </w:rPr>
              <w:t>号）</w:t>
            </w:r>
          </w:p>
        </w:tc>
      </w:tr>
      <w:tr w14:paraId="180454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shd w:val="clear" w:color="auto" w:fill="auto"/>
            <w:noWrap w:val="0"/>
            <w:vAlign w:val="center"/>
          </w:tcPr>
          <w:p w14:paraId="1175016B">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附件5</w:t>
            </w:r>
          </w:p>
        </w:tc>
        <w:tc>
          <w:tcPr>
            <w:tcW w:w="7641" w:type="dxa"/>
            <w:noWrap w:val="0"/>
            <w:vAlign w:val="center"/>
          </w:tcPr>
          <w:p w14:paraId="7B6A5A77">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关于《新疆哈密市M1033铁矿资源储量核实报告》矿产资源储量评审备案的复函</w:t>
            </w:r>
          </w:p>
        </w:tc>
      </w:tr>
      <w:tr w14:paraId="3EA6F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shd w:val="clear" w:color="auto" w:fill="auto"/>
            <w:noWrap w:val="0"/>
            <w:vAlign w:val="center"/>
          </w:tcPr>
          <w:p w14:paraId="1B42C12F">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附件6</w:t>
            </w:r>
          </w:p>
        </w:tc>
        <w:tc>
          <w:tcPr>
            <w:tcW w:w="7641" w:type="dxa"/>
            <w:noWrap w:val="0"/>
            <w:vAlign w:val="center"/>
          </w:tcPr>
          <w:p w14:paraId="59E6EFD6">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矿产资源储量</w:t>
            </w:r>
            <w:r>
              <w:rPr>
                <w:rFonts w:hint="eastAsia" w:ascii="Times New Roman" w:hAnsi="Times New Roman" w:cs="Times New Roman"/>
                <w:color w:val="000000" w:themeColor="text1"/>
                <w:sz w:val="21"/>
                <w:szCs w:val="21"/>
                <w14:textFill>
                  <w14:solidFill>
                    <w14:schemeClr w14:val="tx1"/>
                  </w14:solidFill>
                </w14:textFill>
              </w:rPr>
              <w:t>评审意见书</w:t>
            </w:r>
          </w:p>
        </w:tc>
      </w:tr>
      <w:tr w14:paraId="38077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shd w:val="clear" w:color="auto" w:fill="auto"/>
            <w:noWrap w:val="0"/>
            <w:vAlign w:val="center"/>
          </w:tcPr>
          <w:p w14:paraId="7F13C64D">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附件7</w:t>
            </w:r>
          </w:p>
        </w:tc>
        <w:tc>
          <w:tcPr>
            <w:tcW w:w="7641" w:type="dxa"/>
            <w:noWrap w:val="0"/>
            <w:vAlign w:val="center"/>
          </w:tcPr>
          <w:p w14:paraId="0148ACB7">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土地权属证明</w:t>
            </w:r>
          </w:p>
        </w:tc>
      </w:tr>
      <w:tr w14:paraId="6C5E1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shd w:val="clear" w:color="auto" w:fill="auto"/>
            <w:noWrap w:val="0"/>
            <w:vAlign w:val="center"/>
          </w:tcPr>
          <w:p w14:paraId="03126C89">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附件8</w:t>
            </w:r>
          </w:p>
        </w:tc>
        <w:tc>
          <w:tcPr>
            <w:tcW w:w="7641" w:type="dxa"/>
            <w:noWrap w:val="0"/>
            <w:vAlign w:val="center"/>
          </w:tcPr>
          <w:p w14:paraId="6E1D2543">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开发利用方案通过审查的公示截图</w:t>
            </w:r>
          </w:p>
        </w:tc>
      </w:tr>
      <w:tr w14:paraId="7DC66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shd w:val="clear" w:color="auto" w:fill="auto"/>
            <w:noWrap w:val="0"/>
            <w:vAlign w:val="center"/>
          </w:tcPr>
          <w:p w14:paraId="595EDF1D">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附件9</w:t>
            </w:r>
          </w:p>
        </w:tc>
        <w:tc>
          <w:tcPr>
            <w:tcW w:w="7641" w:type="dxa"/>
            <w:noWrap w:val="0"/>
            <w:vAlign w:val="center"/>
          </w:tcPr>
          <w:p w14:paraId="5C48DD05">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环境质量现状监测报告</w:t>
            </w:r>
          </w:p>
        </w:tc>
      </w:tr>
      <w:tr w14:paraId="07FAC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dxa"/>
            <w:noWrap w:val="0"/>
            <w:vAlign w:val="center"/>
          </w:tcPr>
          <w:p w14:paraId="4643FAD4">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附件10</w:t>
            </w:r>
          </w:p>
        </w:tc>
        <w:tc>
          <w:tcPr>
            <w:tcW w:w="7641" w:type="dxa"/>
            <w:noWrap w:val="0"/>
            <w:vAlign w:val="center"/>
          </w:tcPr>
          <w:p w14:paraId="4804B0FC">
            <w:pPr>
              <w:pStyle w:val="10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核素检测报告</w:t>
            </w:r>
          </w:p>
        </w:tc>
      </w:tr>
    </w:tbl>
    <w:p w14:paraId="569F105C">
      <w:pPr>
        <w:pStyle w:val="1008"/>
        <w:spacing w:line="440" w:lineRule="exact"/>
        <w:rPr>
          <w:rFonts w:hint="eastAsia"/>
          <w:color w:val="000000" w:themeColor="text1"/>
          <w:sz w:val="21"/>
          <w:szCs w:val="21"/>
          <w14:textFill>
            <w14:solidFill>
              <w14:schemeClr w14:val="tx1"/>
            </w14:solidFill>
          </w14:textFill>
        </w:rPr>
      </w:pPr>
    </w:p>
    <w:p w14:paraId="40C4D112">
      <w:pPr>
        <w:ind w:firstLine="420" w:firstLineChars="200"/>
        <w:rPr>
          <w:rFonts w:hint="eastAsia"/>
          <w:color w:val="000000" w:themeColor="text1"/>
          <w:szCs w:val="24"/>
          <w14:textFill>
            <w14:solidFill>
              <w14:schemeClr w14:val="tx1"/>
            </w14:solidFill>
          </w14:textFill>
        </w:rPr>
        <w:sectPr>
          <w:footerReference r:id="rId11" w:type="default"/>
          <w:footerReference r:id="rId12" w:type="even"/>
          <w:pgSz w:w="11906" w:h="16838"/>
          <w:pgMar w:top="1440" w:right="1800" w:bottom="1440" w:left="1800" w:header="1020" w:footer="964" w:gutter="0"/>
          <w:pgBorders>
            <w:top w:val="none" w:sz="0" w:space="0"/>
            <w:left w:val="none" w:sz="0" w:space="0"/>
            <w:bottom w:val="none" w:sz="0" w:space="0"/>
            <w:right w:val="none" w:sz="0" w:space="0"/>
          </w:pgBorders>
          <w:pgNumType w:fmt="upperRoman"/>
          <w:cols w:space="720" w:num="1"/>
          <w:docGrid w:type="lines" w:linePitch="312" w:charSpace="0"/>
        </w:sectPr>
      </w:pPr>
    </w:p>
    <w:p w14:paraId="3F07647B">
      <w:pPr>
        <w:pStyle w:val="2"/>
        <w:keepNext/>
        <w:keepLines/>
        <w:spacing w:before="0" w:after="0" w:line="720" w:lineRule="exact"/>
        <w:jc w:val="both"/>
        <w:rPr>
          <w:color w:val="000000" w:themeColor="text1"/>
          <w:szCs w:val="36"/>
          <w14:textFill>
            <w14:solidFill>
              <w14:schemeClr w14:val="tx1"/>
            </w14:solidFill>
          </w14:textFill>
        </w:rPr>
      </w:pPr>
      <w:bookmarkStart w:id="9" w:name="_Toc18732"/>
      <w:bookmarkStart w:id="10" w:name="_Toc9991"/>
      <w:bookmarkStart w:id="11" w:name="_Toc7563"/>
      <w:bookmarkStart w:id="12" w:name="_Toc111767532"/>
      <w:bookmarkStart w:id="13" w:name="_Toc31996013"/>
      <w:r>
        <w:rPr>
          <w:color w:val="000000" w:themeColor="text1"/>
          <w:szCs w:val="36"/>
          <w14:textFill>
            <w14:solidFill>
              <w14:schemeClr w14:val="tx1"/>
            </w14:solidFill>
          </w14:textFill>
        </w:rPr>
        <w:t>1概述</w:t>
      </w:r>
      <w:bookmarkEnd w:id="0"/>
      <w:bookmarkEnd w:id="1"/>
      <w:bookmarkEnd w:id="2"/>
      <w:bookmarkEnd w:id="3"/>
      <w:bookmarkEnd w:id="4"/>
      <w:bookmarkEnd w:id="5"/>
      <w:bookmarkEnd w:id="6"/>
      <w:bookmarkEnd w:id="7"/>
      <w:bookmarkEnd w:id="8"/>
      <w:bookmarkEnd w:id="9"/>
      <w:bookmarkEnd w:id="10"/>
      <w:bookmarkEnd w:id="11"/>
      <w:bookmarkEnd w:id="12"/>
      <w:bookmarkEnd w:id="13"/>
    </w:p>
    <w:p w14:paraId="2AF97A87">
      <w:pPr>
        <w:pStyle w:val="3"/>
        <w:jc w:val="left"/>
        <w:rPr>
          <w:bCs/>
          <w:color w:val="000000" w:themeColor="text1"/>
          <w:kern w:val="2"/>
          <w:szCs w:val="32"/>
          <w14:textFill>
            <w14:solidFill>
              <w14:schemeClr w14:val="tx1"/>
            </w14:solidFill>
          </w14:textFill>
        </w:rPr>
      </w:pPr>
      <w:bookmarkStart w:id="14" w:name="_Toc14969"/>
      <w:bookmarkStart w:id="15" w:name="_Toc16575"/>
      <w:bookmarkStart w:id="16" w:name="_Toc1668"/>
      <w:bookmarkStart w:id="17" w:name="_Toc111767533"/>
      <w:bookmarkStart w:id="18" w:name="_Toc6791"/>
      <w:bookmarkStart w:id="19" w:name="_Toc19357"/>
      <w:bookmarkStart w:id="20" w:name="_Toc397"/>
      <w:bookmarkStart w:id="21" w:name="_Toc484105079"/>
      <w:bookmarkStart w:id="22" w:name="_Toc493523083"/>
      <w:bookmarkStart w:id="23" w:name="_Toc30407"/>
      <w:bookmarkStart w:id="24" w:name="_Toc31996014"/>
      <w:bookmarkStart w:id="25" w:name="_Toc6152"/>
      <w:bookmarkStart w:id="26" w:name="_Toc29135"/>
      <w:bookmarkStart w:id="27" w:name="_Toc7135"/>
      <w:r>
        <w:rPr>
          <w:bCs/>
          <w:color w:val="000000" w:themeColor="text1"/>
          <w:kern w:val="2"/>
          <w:szCs w:val="32"/>
          <w14:textFill>
            <w14:solidFill>
              <w14:schemeClr w14:val="tx1"/>
            </w14:solidFill>
          </w14:textFill>
        </w:rPr>
        <w:t>1.1建设项目的特点</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EA64449">
      <w:pPr>
        <w:pStyle w:val="4"/>
        <w:spacing w:before="60" w:after="60" w:line="480" w:lineRule="exact"/>
        <w:rPr>
          <w:color w:val="000000" w:themeColor="text1"/>
          <w:kern w:val="2"/>
          <w14:textFill>
            <w14:solidFill>
              <w14:schemeClr w14:val="tx1"/>
            </w14:solidFill>
          </w14:textFill>
        </w:rPr>
      </w:pPr>
      <w:bookmarkStart w:id="28" w:name="_Toc10110"/>
      <w:r>
        <w:rPr>
          <w:rFonts w:hint="eastAsia"/>
          <w:color w:val="000000" w:themeColor="text1"/>
          <w:kern w:val="2"/>
          <w14:textFill>
            <w14:solidFill>
              <w14:schemeClr w14:val="tx1"/>
            </w14:solidFill>
          </w14:textFill>
        </w:rPr>
        <w:t>1.1.1</w:t>
      </w:r>
      <w:r>
        <w:rPr>
          <w:color w:val="000000" w:themeColor="text1"/>
          <w:kern w:val="2"/>
          <w14:textFill>
            <w14:solidFill>
              <w14:schemeClr w14:val="tx1"/>
            </w14:solidFill>
          </w14:textFill>
        </w:rPr>
        <w:t>项目背景</w:t>
      </w:r>
      <w:bookmarkEnd w:id="28"/>
    </w:p>
    <w:p w14:paraId="699336BC">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哈密市西成矿业有限责任公司（以下简称“西成矿业”）成立于2001年6月，主要经营铁矿开采，矿产品加工、销售等。西成矿业持有矿权为M1033铁矿，</w:t>
      </w:r>
      <w:r>
        <w:rPr>
          <w:rFonts w:hint="eastAsia"/>
          <w:color w:val="000000" w:themeColor="text1"/>
          <w:sz w:val="24"/>
          <w:szCs w:val="24"/>
          <w:lang w:val="en-US" w:eastAsia="zh-CN"/>
          <w14:textFill>
            <w14:solidFill>
              <w14:schemeClr w14:val="tx1"/>
            </w14:solidFill>
          </w14:textFill>
        </w:rPr>
        <w:t>于2008年首次取得采矿许可证（许可证证号：6500000811691），许可生产规模28.8</w:t>
      </w:r>
      <w:r>
        <w:rPr>
          <w:rFonts w:hint="eastAsia"/>
          <w:color w:val="000000" w:themeColor="text1"/>
          <w:sz w:val="24"/>
          <w:szCs w:val="24"/>
          <w14:textFill>
            <w14:solidFill>
              <w14:schemeClr w14:val="tx1"/>
            </w14:solidFill>
          </w14:textFill>
        </w:rPr>
        <w:t>万t/a。M1033铁矿位于新疆维吾尔自治区哈密市168</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方位（与哈密市直线距离约179km），哈密市伊州区雅满苏镇以南约7</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km处，行政区划属于雅满苏镇管辖。矿区中心地理坐标：</w:t>
      </w:r>
      <w:r>
        <w:rPr>
          <w:color w:val="000000" w:themeColor="text1"/>
          <w:sz w:val="24"/>
          <w:szCs w:val="24"/>
          <w14:textFill>
            <w14:solidFill>
              <w14:schemeClr w14:val="tx1"/>
            </w14:solidFill>
          </w14:textFill>
        </w:rPr>
        <w:t>E</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N</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（2000地理坐标）。</w:t>
      </w:r>
    </w:p>
    <w:p w14:paraId="0DB62D3D">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2006年8月，西成矿业委托新疆昌吉回族自治州水利科学技术研究所</w:t>
      </w:r>
      <w:r>
        <w:rPr>
          <w:rFonts w:hint="eastAsia"/>
          <w:color w:val="000000" w:themeColor="text1"/>
          <w:sz w:val="24"/>
          <w:szCs w:val="24"/>
          <w:lang w:eastAsia="zh-CN"/>
          <w14:textFill>
            <w14:solidFill>
              <w14:schemeClr w14:val="tx1"/>
            </w14:solidFill>
          </w14:textFill>
        </w:rPr>
        <w:t>同时</w:t>
      </w:r>
      <w:r>
        <w:rPr>
          <w:rFonts w:hint="eastAsia"/>
          <w:color w:val="000000" w:themeColor="text1"/>
          <w:sz w:val="24"/>
          <w:szCs w:val="24"/>
          <w14:textFill>
            <w14:solidFill>
              <w14:schemeClr w14:val="tx1"/>
            </w14:solidFill>
          </w14:textFill>
        </w:rPr>
        <w:t>编制完成了</w:t>
      </w:r>
      <w:r>
        <w:rPr>
          <w:rFonts w:hint="eastAsia"/>
          <w:color w:val="000000" w:themeColor="text1"/>
          <w:sz w:val="24"/>
          <w:szCs w:val="24"/>
          <w:lang w:eastAsia="zh-CN"/>
          <w14:textFill>
            <w14:solidFill>
              <w14:schemeClr w14:val="tx1"/>
            </w14:solidFill>
          </w14:textFill>
        </w:rPr>
        <w:t>《哈密市西成矿业有限责任公司</w:t>
      </w:r>
      <w:r>
        <w:rPr>
          <w:rFonts w:hint="eastAsia"/>
          <w:color w:val="000000" w:themeColor="text1"/>
          <w:sz w:val="24"/>
          <w:szCs w:val="24"/>
          <w:lang w:val="en-US" w:eastAsia="zh-CN"/>
          <w14:textFill>
            <w14:solidFill>
              <w14:schemeClr w14:val="tx1"/>
            </w14:solidFill>
          </w14:textFill>
        </w:rPr>
        <w:t>M1033矿年产30万吨铁矿采矿项目环境影响报告表</w:t>
      </w:r>
      <w:r>
        <w:rPr>
          <w:rFonts w:hint="eastAsia"/>
          <w:color w:val="000000" w:themeColor="text1"/>
          <w:sz w:val="24"/>
          <w:szCs w:val="24"/>
          <w:lang w:eastAsia="zh-CN"/>
          <w14:textFill>
            <w14:solidFill>
              <w14:schemeClr w14:val="tx1"/>
            </w14:solidFill>
          </w14:textFill>
        </w:rPr>
        <w:t>》及</w:t>
      </w:r>
      <w:r>
        <w:rPr>
          <w:rFonts w:hint="eastAsia"/>
          <w:color w:val="000000" w:themeColor="text1"/>
          <w:sz w:val="24"/>
          <w:szCs w:val="24"/>
          <w14:textFill>
            <w14:solidFill>
              <w14:schemeClr w14:val="tx1"/>
            </w14:solidFill>
          </w14:textFill>
        </w:rPr>
        <w:t>《哈密市西成矿业有限责任公司年产30万吨铁精粉项目环境影响报告表》；2006年9月20日，原哈密地区环境保护局以</w:t>
      </w:r>
      <w:r>
        <w:rPr>
          <w:rFonts w:hint="eastAsia"/>
          <w:color w:val="000000" w:themeColor="text1"/>
          <w:sz w:val="24"/>
          <w:szCs w:val="24"/>
          <w:lang w:eastAsia="zh-CN"/>
          <w14:textFill>
            <w14:solidFill>
              <w14:schemeClr w14:val="tx1"/>
            </w14:solidFill>
          </w14:textFill>
        </w:rPr>
        <w:t>《关于哈密市西成矿业有限责任公司</w:t>
      </w:r>
      <w:r>
        <w:rPr>
          <w:rFonts w:hint="eastAsia"/>
          <w:color w:val="000000" w:themeColor="text1"/>
          <w:sz w:val="24"/>
          <w:szCs w:val="24"/>
          <w:lang w:val="en-US" w:eastAsia="zh-CN"/>
          <w14:textFill>
            <w14:solidFill>
              <w14:schemeClr w14:val="tx1"/>
            </w14:solidFill>
          </w14:textFill>
        </w:rPr>
        <w:t>M1033矿年产30万吨铁矿采矿建设项目</w:t>
      </w:r>
      <w:r>
        <w:rPr>
          <w:rFonts w:hint="eastAsia"/>
          <w:color w:val="000000" w:themeColor="text1"/>
          <w:sz w:val="24"/>
          <w:szCs w:val="24"/>
          <w:lang w:eastAsia="zh-CN"/>
          <w14:textFill>
            <w14:solidFill>
              <w14:schemeClr w14:val="tx1"/>
            </w14:solidFill>
          </w14:textFill>
        </w:rPr>
        <w:t>环境影响报告表的批复》（哈地环审批字〔2006〕</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号）及</w:t>
      </w:r>
      <w:r>
        <w:rPr>
          <w:rFonts w:hint="eastAsia"/>
          <w:color w:val="000000" w:themeColor="text1"/>
          <w:sz w:val="24"/>
          <w:szCs w:val="24"/>
          <w14:textFill>
            <w14:solidFill>
              <w14:schemeClr w14:val="tx1"/>
            </w14:solidFill>
          </w14:textFill>
        </w:rPr>
        <w:t>《关于哈密市西成矿业有限责任公司年产30万吨铁精粉建设项目环境影响报告表的批复》（哈地环审批字〔2006〕</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号）予以批复。</w:t>
      </w:r>
      <w:r>
        <w:rPr>
          <w:rFonts w:hint="eastAsia"/>
          <w:color w:val="000000" w:themeColor="text1"/>
          <w:sz w:val="24"/>
          <w:szCs w:val="24"/>
          <w:lang w:eastAsia="zh-CN"/>
          <w14:textFill>
            <w14:solidFill>
              <w14:schemeClr w14:val="tx1"/>
            </w14:solidFill>
          </w14:textFill>
        </w:rPr>
        <w:t>哈密市西成矿业有限责任公司</w:t>
      </w:r>
      <w:r>
        <w:rPr>
          <w:rFonts w:hint="eastAsia"/>
          <w:color w:val="000000" w:themeColor="text1"/>
          <w:sz w:val="24"/>
          <w:szCs w:val="24"/>
          <w:lang w:val="en-US" w:eastAsia="zh-CN"/>
          <w14:textFill>
            <w14:solidFill>
              <w14:schemeClr w14:val="tx1"/>
            </w14:solidFill>
          </w14:textFill>
        </w:rPr>
        <w:t>M1033矿年产30万吨铁矿采矿项目环评</w:t>
      </w:r>
      <w:r>
        <w:rPr>
          <w:rFonts w:hint="eastAsia"/>
          <w:color w:val="000000" w:themeColor="text1"/>
          <w:sz w:val="24"/>
          <w:szCs w:val="24"/>
          <w14:textFill>
            <w14:solidFill>
              <w14:schemeClr w14:val="tx1"/>
            </w14:solidFill>
          </w14:textFill>
        </w:rPr>
        <w:t>批复的</w:t>
      </w:r>
      <w:r>
        <w:rPr>
          <w:rFonts w:hint="eastAsia"/>
          <w:color w:val="000000" w:themeColor="text1"/>
          <w:sz w:val="24"/>
          <w:szCs w:val="24"/>
          <w:lang w:eastAsia="zh-CN"/>
          <w14:textFill>
            <w14:solidFill>
              <w14:schemeClr w14:val="tx1"/>
            </w14:solidFill>
          </w14:textFill>
        </w:rPr>
        <w:t>生产能力为年产</w:t>
      </w:r>
      <w:r>
        <w:rPr>
          <w:rFonts w:hint="eastAsia"/>
          <w:color w:val="000000" w:themeColor="text1"/>
          <w:sz w:val="24"/>
          <w:szCs w:val="24"/>
          <w:lang w:val="en-US" w:eastAsia="zh-CN"/>
          <w14:textFill>
            <w14:solidFill>
              <w14:schemeClr w14:val="tx1"/>
            </w14:solidFill>
          </w14:textFill>
        </w:rPr>
        <w:t>30万吨铁矿石，总用地面积300000m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，主建筑面积2520m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。根据</w:t>
      </w:r>
      <w:r>
        <w:rPr>
          <w:rFonts w:hint="eastAsia"/>
          <w:color w:val="000000" w:themeColor="text1"/>
          <w:sz w:val="24"/>
          <w:szCs w:val="24"/>
          <w:lang w:val="en-US" w:eastAsia="zh-CN"/>
          <w14:textFill>
            <w14:solidFill>
              <w14:schemeClr w14:val="tx1"/>
            </w14:solidFill>
          </w14:textFill>
        </w:rPr>
        <w:t>该</w:t>
      </w:r>
      <w:r>
        <w:rPr>
          <w:rFonts w:hint="eastAsia"/>
          <w:color w:val="000000" w:themeColor="text1"/>
          <w:sz w:val="24"/>
          <w:szCs w:val="24"/>
          <w:lang w:eastAsia="zh-CN"/>
          <w14:textFill>
            <w14:solidFill>
              <w14:schemeClr w14:val="tx1"/>
            </w14:solidFill>
          </w14:textFill>
        </w:rPr>
        <w:t>项目环评报告表，哈密市西成矿业有限责任公司</w:t>
      </w:r>
      <w:r>
        <w:rPr>
          <w:rFonts w:hint="eastAsia"/>
          <w:color w:val="000000" w:themeColor="text1"/>
          <w:sz w:val="24"/>
          <w:szCs w:val="24"/>
          <w:lang w:val="en-US" w:eastAsia="zh-CN"/>
          <w14:textFill>
            <w14:solidFill>
              <w14:schemeClr w14:val="tx1"/>
            </w14:solidFill>
          </w14:textFill>
        </w:rPr>
        <w:t>M1033矿年产30万吨铁矿采矿项目</w:t>
      </w:r>
      <w:r>
        <w:rPr>
          <w:rFonts w:hint="eastAsia"/>
          <w:color w:val="000000" w:themeColor="text1"/>
          <w:sz w:val="24"/>
          <w:szCs w:val="24"/>
          <w:lang w:eastAsia="zh-CN"/>
          <w14:textFill>
            <w14:solidFill>
              <w14:schemeClr w14:val="tx1"/>
            </w14:solidFill>
          </w14:textFill>
        </w:rPr>
        <w:t>建设内容包括采矿生产工程（开拓、采准切割、通风等）、公用工程以及辅助工程（空压机房、发电机房等）。</w:t>
      </w:r>
    </w:p>
    <w:p w14:paraId="3C44678B">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西成矿业</w:t>
      </w:r>
      <w:r>
        <w:rPr>
          <w:color w:val="000000" w:themeColor="text1"/>
          <w:sz w:val="24"/>
          <w:szCs w:val="24"/>
          <w14:textFill>
            <w14:solidFill>
              <w14:schemeClr w14:val="tx1"/>
            </w14:solidFill>
          </w14:textFill>
        </w:rPr>
        <w:t>M1033</w:t>
      </w:r>
      <w:r>
        <w:rPr>
          <w:rFonts w:hint="eastAsia"/>
          <w:color w:val="000000" w:themeColor="text1"/>
          <w:sz w:val="24"/>
          <w:szCs w:val="24"/>
          <w14:textFill>
            <w14:solidFill>
              <w14:schemeClr w14:val="tx1"/>
            </w14:solidFill>
          </w14:textFill>
        </w:rPr>
        <w:t>铁矿自200</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年起开始建设，2</w:t>
      </w:r>
      <w:r>
        <w:rPr>
          <w:color w:val="000000" w:themeColor="text1"/>
          <w:sz w:val="24"/>
          <w:szCs w:val="24"/>
          <w14:textFill>
            <w14:solidFill>
              <w14:schemeClr w14:val="tx1"/>
            </w14:solidFill>
          </w14:textFill>
        </w:rPr>
        <w:t>001</w:t>
      </w:r>
      <w:r>
        <w:rPr>
          <w:rFonts w:hint="eastAsia"/>
          <w:color w:val="000000" w:themeColor="text1"/>
          <w:sz w:val="24"/>
          <w:szCs w:val="24"/>
          <w14:textFill>
            <w14:solidFill>
              <w14:schemeClr w14:val="tx1"/>
            </w14:solidFill>
          </w14:textFill>
        </w:rPr>
        <w:t>年～2</w:t>
      </w:r>
      <w:r>
        <w:rPr>
          <w:color w:val="000000" w:themeColor="text1"/>
          <w:sz w:val="24"/>
          <w:szCs w:val="24"/>
          <w14:textFill>
            <w14:solidFill>
              <w14:schemeClr w14:val="tx1"/>
            </w14:solidFill>
          </w14:textFill>
        </w:rPr>
        <w:t>007</w:t>
      </w:r>
      <w:r>
        <w:rPr>
          <w:rFonts w:hint="eastAsia"/>
          <w:color w:val="000000" w:themeColor="text1"/>
          <w:sz w:val="24"/>
          <w:szCs w:val="24"/>
          <w14:textFill>
            <w14:solidFill>
              <w14:schemeClr w14:val="tx1"/>
            </w14:solidFill>
          </w14:textFill>
        </w:rPr>
        <w:t>年，矿山完成了部分地面设施及地下巷道等设施的建设工程，并进行了</w:t>
      </w:r>
      <w:r>
        <w:rPr>
          <w:rFonts w:hint="eastAsia"/>
          <w:color w:val="000000" w:themeColor="text1"/>
          <w:sz w:val="24"/>
          <w:szCs w:val="24"/>
          <w:lang w:val="en-US" w:eastAsia="zh-CN"/>
          <w14:textFill>
            <w14:solidFill>
              <w14:schemeClr w14:val="tx1"/>
            </w14:solidFill>
          </w14:textFill>
        </w:rPr>
        <w:t>试生产</w:t>
      </w:r>
      <w:r>
        <w:rPr>
          <w:rFonts w:hint="eastAsia"/>
          <w:color w:val="000000" w:themeColor="text1"/>
          <w:sz w:val="24"/>
          <w:szCs w:val="24"/>
          <w14:textFill>
            <w14:solidFill>
              <w14:schemeClr w14:val="tx1"/>
            </w14:solidFill>
          </w14:textFill>
        </w:rPr>
        <w:t>；2008年～2012年，矿山处于停产状态；20</w:t>
      </w:r>
      <w:r>
        <w:rPr>
          <w:color w:val="000000" w:themeColor="text1"/>
          <w:sz w:val="24"/>
          <w:szCs w:val="24"/>
          <w14:textFill>
            <w14:solidFill>
              <w14:schemeClr w14:val="tx1"/>
            </w14:solidFill>
          </w14:textFill>
        </w:rPr>
        <w:t>13</w:t>
      </w:r>
      <w:r>
        <w:rPr>
          <w:rFonts w:hint="eastAsia"/>
          <w:color w:val="000000" w:themeColor="text1"/>
          <w:sz w:val="24"/>
          <w:szCs w:val="24"/>
          <w14:textFill>
            <w14:solidFill>
              <w14:schemeClr w14:val="tx1"/>
            </w14:solidFill>
          </w14:textFill>
        </w:rPr>
        <w:t>年～2014年，矿山做恢复生产前的技术改造及清理工作，其中，三中段1080m标高和四中段1030m标高作为回风巷道使用，同时作为矿山开拓工程进行了基建建设并作为以后采矿巷道进行采矿；</w:t>
      </w:r>
      <w:r>
        <w:rPr>
          <w:color w:val="000000" w:themeColor="text1"/>
          <w:sz w:val="24"/>
          <w:szCs w:val="24"/>
          <w14:textFill>
            <w14:solidFill>
              <w14:schemeClr w14:val="tx1"/>
            </w14:solidFill>
          </w14:textFill>
        </w:rPr>
        <w:t>2015</w:t>
      </w:r>
      <w:r>
        <w:rPr>
          <w:rFonts w:hint="eastAsia"/>
          <w:color w:val="000000" w:themeColor="text1"/>
          <w:sz w:val="24"/>
          <w:szCs w:val="24"/>
          <w14:textFill>
            <w14:solidFill>
              <w14:schemeClr w14:val="tx1"/>
            </w14:solidFill>
          </w14:textFill>
        </w:rPr>
        <w:t>年至今，矿山处于停产状态</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故年产30万吨铁矿采矿项目和</w:t>
      </w:r>
      <w:r>
        <w:rPr>
          <w:rFonts w:hint="eastAsia"/>
          <w:color w:val="000000" w:themeColor="text1"/>
          <w:sz w:val="24"/>
          <w:szCs w:val="24"/>
          <w14:textFill>
            <w14:solidFill>
              <w14:schemeClr w14:val="tx1"/>
            </w14:solidFill>
          </w14:textFill>
        </w:rPr>
        <w:t>年产30万吨铁精粉项目</w:t>
      </w:r>
      <w:r>
        <w:rPr>
          <w:rFonts w:hint="eastAsia"/>
          <w:color w:val="000000" w:themeColor="text1"/>
          <w:sz w:val="24"/>
          <w:szCs w:val="24"/>
          <w:lang w:val="en-US" w:eastAsia="zh-CN"/>
          <w14:textFill>
            <w14:solidFill>
              <w14:schemeClr w14:val="tx1"/>
            </w14:solidFill>
          </w14:textFill>
        </w:rPr>
        <w:t>均未进行竣工环境保护验收。</w:t>
      </w:r>
    </w:p>
    <w:p w14:paraId="28CCAD41">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截至</w:t>
      </w:r>
      <w:r>
        <w:rPr>
          <w:rFonts w:hint="eastAsia"/>
          <w:color w:val="000000" w:themeColor="text1"/>
          <w:sz w:val="24"/>
          <w:szCs w:val="24"/>
          <w14:textFill>
            <w14:solidFill>
              <w14:schemeClr w14:val="tx1"/>
            </w14:solidFill>
          </w14:textFill>
        </w:rPr>
        <w:t>目前，矿山共动用矿石量约245.07万</w:t>
      </w:r>
      <w:r>
        <w:rPr>
          <w:rFonts w:hint="eastAsia"/>
          <w:color w:val="000000" w:themeColor="text1"/>
          <w:sz w:val="24"/>
          <w:szCs w:val="24"/>
          <w:lang w:val="en-US" w:eastAsia="zh-CN"/>
          <w14:textFill>
            <w14:solidFill>
              <w14:schemeClr w14:val="tx1"/>
            </w14:solidFill>
          </w14:textFill>
        </w:rPr>
        <w:t>吨，其中2007年以前动用</w:t>
      </w:r>
      <w:r>
        <w:rPr>
          <w:rFonts w:hint="eastAsia"/>
          <w:color w:val="000000" w:themeColor="text1"/>
          <w:sz w:val="24"/>
          <w:szCs w:val="24"/>
          <w14:textFill>
            <w14:solidFill>
              <w14:schemeClr w14:val="tx1"/>
            </w14:solidFill>
          </w14:textFill>
        </w:rPr>
        <w:t>矿石量</w:t>
      </w:r>
      <w:r>
        <w:rPr>
          <w:rFonts w:hint="eastAsia"/>
          <w:color w:val="000000" w:themeColor="text1"/>
          <w:sz w:val="24"/>
          <w:szCs w:val="24"/>
          <w:lang w:val="en-US" w:eastAsia="zh-CN"/>
          <w14:textFill>
            <w14:solidFill>
              <w14:schemeClr w14:val="tx1"/>
            </w14:solidFill>
          </w14:textFill>
        </w:rPr>
        <w:t>191.32万吨，2013~2014年动用</w:t>
      </w:r>
      <w:r>
        <w:rPr>
          <w:rFonts w:hint="eastAsia"/>
          <w:color w:val="000000" w:themeColor="text1"/>
          <w:sz w:val="24"/>
          <w:szCs w:val="24"/>
          <w14:textFill>
            <w14:solidFill>
              <w14:schemeClr w14:val="tx1"/>
            </w14:solidFill>
          </w14:textFill>
        </w:rPr>
        <w:t>矿石量</w:t>
      </w:r>
      <w:r>
        <w:rPr>
          <w:rFonts w:hint="eastAsia"/>
          <w:color w:val="000000" w:themeColor="text1"/>
          <w:sz w:val="24"/>
          <w:szCs w:val="24"/>
          <w:lang w:val="en-US" w:eastAsia="zh-CN"/>
          <w14:textFill>
            <w14:solidFill>
              <w14:schemeClr w14:val="tx1"/>
            </w14:solidFill>
          </w14:textFill>
        </w:rPr>
        <w:t>53.75万吨</w:t>
      </w:r>
      <w:r>
        <w:rPr>
          <w:rFonts w:hint="eastAsia"/>
          <w:color w:val="000000" w:themeColor="text1"/>
          <w:sz w:val="24"/>
          <w:szCs w:val="24"/>
          <w14:textFill>
            <w14:solidFill>
              <w14:schemeClr w14:val="tx1"/>
            </w14:solidFill>
          </w14:textFill>
        </w:rPr>
        <w:t>。矿山现已有1个采空区，位于Ⅰ-1号矿体。2007年以前一中段（1187m标高）2-1线至东部采矿权边界、二中段（1144m标高）2-1线至1-1线之间及00号勘查线至采矿权东部边界已采空，2013年-2014年三中段（1080m标高）00线至01线、四中段（1030m标高）00线以东至01线已采空；采空区平面投影面积4764</w:t>
      </w:r>
      <w:r>
        <w:rPr>
          <w:rFonts w:hint="eastAsia"/>
          <w:color w:val="000000" w:themeColor="text1"/>
          <w:sz w:val="24"/>
          <w:szCs w:val="24"/>
          <w:lang w:val="en-US" w:eastAsia="zh-CN"/>
          <w14:textFill>
            <w14:solidFill>
              <w14:schemeClr w14:val="tx1"/>
            </w14:solidFill>
          </w14:textFill>
        </w:rPr>
        <w:t>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w:t>
      </w:r>
    </w:p>
    <w:p w14:paraId="12431544">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哈密市西成矿业有限责任公司年产30万吨铁精粉建设项目批复的生产规模为年处理原矿石90万吨（原矿石部分为采购外部企业原矿），年产铁精粉3</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万吨，总用地面积3</w:t>
      </w:r>
      <w:r>
        <w:rPr>
          <w:color w:val="000000" w:themeColor="text1"/>
          <w:sz w:val="24"/>
          <w:szCs w:val="24"/>
          <w14:textFill>
            <w14:solidFill>
              <w14:schemeClr w14:val="tx1"/>
            </w14:solidFill>
          </w14:textFill>
        </w:rPr>
        <w:t>00000</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，主建筑面积2</w:t>
      </w:r>
      <w:r>
        <w:rPr>
          <w:color w:val="000000" w:themeColor="text1"/>
          <w:sz w:val="24"/>
          <w:szCs w:val="24"/>
          <w14:textFill>
            <w14:solidFill>
              <w14:schemeClr w14:val="tx1"/>
            </w14:solidFill>
          </w14:textFill>
        </w:rPr>
        <w:t>700</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，选矿生产区占地面积为9</w:t>
      </w:r>
      <w:r>
        <w:rPr>
          <w:color w:val="000000" w:themeColor="text1"/>
          <w:sz w:val="24"/>
          <w:szCs w:val="24"/>
          <w14:textFill>
            <w14:solidFill>
              <w14:schemeClr w14:val="tx1"/>
            </w14:solidFill>
          </w14:textFill>
        </w:rPr>
        <w:t>0000</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项目环评</w:t>
      </w:r>
      <w:r>
        <w:rPr>
          <w:rFonts w:hint="eastAsia"/>
          <w:color w:val="000000" w:themeColor="text1"/>
          <w:sz w:val="24"/>
          <w:szCs w:val="24"/>
          <w14:textFill>
            <w14:solidFill>
              <w14:schemeClr w14:val="tx1"/>
            </w14:solidFill>
          </w14:textFill>
        </w:rPr>
        <w:t>报告表，哈密市西成矿业有限责任公司年产30万吨铁精粉建设项目建设内容包括选矿厂、尾矿库、公用工程以及辅助工程，设计服务年限为1</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年。</w:t>
      </w:r>
    </w:p>
    <w:p w14:paraId="5000BA6D">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2021年，建设单位拟将M1033矿采矿生产规模由年产30万吨</w:t>
      </w:r>
      <w:r>
        <w:rPr>
          <w:rFonts w:hint="eastAsia"/>
          <w:color w:val="000000" w:themeColor="text1"/>
          <w:sz w:val="24"/>
          <w:szCs w:val="24"/>
          <w14:textFill>
            <w14:solidFill>
              <w14:schemeClr w14:val="tx1"/>
            </w14:solidFill>
          </w14:textFill>
        </w:rPr>
        <w:t>变更为</w:t>
      </w:r>
      <w:r>
        <w:rPr>
          <w:rFonts w:hint="eastAsia"/>
          <w:color w:val="000000" w:themeColor="text1"/>
          <w:sz w:val="24"/>
          <w:szCs w:val="24"/>
          <w:lang w:val="en-US" w:eastAsia="zh-CN"/>
          <w14:textFill>
            <w14:solidFill>
              <w14:schemeClr w14:val="tx1"/>
            </w14:solidFill>
          </w14:textFill>
        </w:rPr>
        <w:t>年产</w:t>
      </w:r>
      <w:r>
        <w:rPr>
          <w:rFonts w:hint="eastAsia"/>
          <w:color w:val="000000" w:themeColor="text1"/>
          <w:sz w:val="24"/>
          <w:szCs w:val="24"/>
          <w14:textFill>
            <w14:solidFill>
              <w14:schemeClr w14:val="tx1"/>
            </w14:solidFill>
          </w14:textFill>
        </w:rPr>
        <w:t>60万</w:t>
      </w:r>
      <w:r>
        <w:rPr>
          <w:rFonts w:hint="eastAsia"/>
          <w:color w:val="000000" w:themeColor="text1"/>
          <w:sz w:val="24"/>
          <w:szCs w:val="24"/>
          <w:lang w:val="en-US" w:eastAsia="zh-CN"/>
          <w14:textFill>
            <w14:solidFill>
              <w14:schemeClr w14:val="tx1"/>
            </w14:solidFill>
          </w14:textFill>
        </w:rPr>
        <w:t>吨</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为了详细查明采矿权内主要矿体</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资源储量</w:t>
      </w:r>
      <w:r>
        <w:rPr>
          <w:rFonts w:hint="eastAsia"/>
          <w:color w:val="000000" w:themeColor="text1"/>
          <w:sz w:val="24"/>
          <w:szCs w:val="24"/>
          <w14:textFill>
            <w14:solidFill>
              <w14:schemeClr w14:val="tx1"/>
            </w14:solidFill>
          </w14:textFill>
        </w:rPr>
        <w:t>，西成矿业委托</w:t>
      </w:r>
      <w:r>
        <w:rPr>
          <w:rFonts w:hint="eastAsia" w:ascii="宋体" w:cs="宋体"/>
          <w:color w:val="000000" w:themeColor="text1"/>
          <w:sz w:val="24"/>
          <w14:textFill>
            <w14:solidFill>
              <w14:schemeClr w14:val="tx1"/>
            </w14:solidFill>
          </w14:textFill>
        </w:rPr>
        <w:t>新疆普勘地矿技术有限公司哈密分公司对</w:t>
      </w:r>
      <w:r>
        <w:rPr>
          <w:rFonts w:hint="eastAsia"/>
          <w:color w:val="000000" w:themeColor="text1"/>
          <w:sz w:val="24"/>
          <w:szCs w:val="24"/>
          <w14:textFill>
            <w14:solidFill>
              <w14:schemeClr w14:val="tx1"/>
            </w14:solidFill>
          </w14:textFill>
        </w:rPr>
        <w:t>西成矿业M1033铁矿进行资源储量核实工作，</w:t>
      </w:r>
      <w:r>
        <w:rPr>
          <w:color w:val="000000" w:themeColor="text1"/>
          <w:sz w:val="24"/>
          <w:szCs w:val="24"/>
          <w14:textFill>
            <w14:solidFill>
              <w14:schemeClr w14:val="tx1"/>
            </w14:solidFill>
          </w14:textFill>
        </w:rPr>
        <w:t>编制</w:t>
      </w:r>
      <w:r>
        <w:rPr>
          <w:rFonts w:hint="eastAsia"/>
          <w:color w:val="000000" w:themeColor="text1"/>
          <w:sz w:val="24"/>
          <w:szCs w:val="24"/>
          <w14:textFill>
            <w14:solidFill>
              <w14:schemeClr w14:val="tx1"/>
            </w14:solidFill>
          </w14:textFill>
        </w:rPr>
        <w:t>完成了《新疆哈密市M1033铁矿资源储量核实报告》，已于</w:t>
      </w:r>
      <w:r>
        <w:rPr>
          <w:color w:val="000000" w:themeColor="text1"/>
          <w:sz w:val="24"/>
          <w:szCs w:val="24"/>
          <w14:textFill>
            <w14:solidFill>
              <w14:schemeClr w14:val="tx1"/>
            </w14:solidFill>
          </w14:textFill>
        </w:rPr>
        <w:t>2022年经新疆维吾尔自治区资源储量评审中心评审，新疆维吾尔自治区</w:t>
      </w:r>
      <w:r>
        <w:rPr>
          <w:rFonts w:hint="eastAsia"/>
          <w:color w:val="000000" w:themeColor="text1"/>
          <w:sz w:val="24"/>
          <w:szCs w:val="24"/>
          <w14:textFill>
            <w14:solidFill>
              <w14:schemeClr w14:val="tx1"/>
            </w14:solidFill>
          </w14:textFill>
        </w:rPr>
        <w:t>自然资源厅</w:t>
      </w:r>
      <w:r>
        <w:rPr>
          <w:rFonts w:hint="eastAsia"/>
          <w:color w:val="000000" w:themeColor="text1"/>
          <w:sz w:val="24"/>
          <w:szCs w:val="24"/>
          <w:lang w:eastAsia="zh-CN"/>
          <w14:textFill>
            <w14:solidFill>
              <w14:schemeClr w14:val="tx1"/>
            </w14:solidFill>
          </w14:textFill>
        </w:rPr>
        <w:t>出具《关于</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新疆哈密市M1033铁矿资源储量核实报告</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矿产资源储量评审备案的复函》（新自然资储备字〔2022〕19号）</w:t>
      </w:r>
      <w:r>
        <w:rPr>
          <w:rFonts w:hint="eastAsia"/>
          <w:color w:val="000000" w:themeColor="text1"/>
          <w:sz w:val="24"/>
          <w:szCs w:val="24"/>
          <w:lang w:val="en-US" w:eastAsia="zh-CN"/>
          <w14:textFill>
            <w14:solidFill>
              <w14:schemeClr w14:val="tx1"/>
            </w14:solidFill>
          </w14:textFill>
        </w:rPr>
        <w:t>和《〈</w:t>
      </w:r>
      <w:r>
        <w:rPr>
          <w:rFonts w:hint="eastAsia"/>
          <w:color w:val="000000" w:themeColor="text1"/>
          <w:sz w:val="24"/>
          <w:szCs w:val="24"/>
          <w:lang w:eastAsia="zh-CN"/>
          <w14:textFill>
            <w14:solidFill>
              <w14:schemeClr w14:val="tx1"/>
            </w14:solidFill>
          </w14:textFill>
        </w:rPr>
        <w:t>新疆哈密市M1033铁矿资源储量核实报告</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矿产资源储量评审</w:t>
      </w:r>
      <w:r>
        <w:rPr>
          <w:rFonts w:hint="eastAsia"/>
          <w:color w:val="000000" w:themeColor="text1"/>
          <w:sz w:val="24"/>
          <w:szCs w:val="24"/>
          <w:lang w:val="en-US" w:eastAsia="zh-CN"/>
          <w14:textFill>
            <w14:solidFill>
              <w14:schemeClr w14:val="tx1"/>
            </w14:solidFill>
          </w14:textFill>
        </w:rPr>
        <w:t>意见书》</w:t>
      </w:r>
      <w:r>
        <w:rPr>
          <w:rFonts w:hint="eastAsia"/>
          <w:color w:val="000000" w:themeColor="text1"/>
          <w:sz w:val="24"/>
          <w:szCs w:val="24"/>
          <w:lang w:eastAsia="zh-CN"/>
          <w14:textFill>
            <w14:solidFill>
              <w14:schemeClr w14:val="tx1"/>
            </w14:solidFill>
          </w14:textFill>
        </w:rPr>
        <w:t>（新</w:t>
      </w:r>
      <w:r>
        <w:rPr>
          <w:rFonts w:hint="eastAsia"/>
          <w:color w:val="000000" w:themeColor="text1"/>
          <w:sz w:val="24"/>
          <w:szCs w:val="24"/>
          <w:lang w:val="en-US" w:eastAsia="zh-CN"/>
          <w14:textFill>
            <w14:solidFill>
              <w14:schemeClr w14:val="tx1"/>
            </w14:solidFill>
          </w14:textFill>
        </w:rPr>
        <w:t>矿评</w:t>
      </w:r>
      <w:r>
        <w:rPr>
          <w:rFonts w:hint="eastAsia"/>
          <w:color w:val="000000" w:themeColor="text1"/>
          <w:sz w:val="24"/>
          <w:szCs w:val="24"/>
          <w:lang w:eastAsia="zh-CN"/>
          <w14:textFill>
            <w14:solidFill>
              <w14:schemeClr w14:val="tx1"/>
            </w14:solidFill>
          </w14:textFill>
        </w:rPr>
        <w:t>储字〔</w:t>
      </w:r>
      <w:r>
        <w:rPr>
          <w:rFonts w:hint="eastAsia"/>
          <w:color w:val="000000" w:themeColor="text1"/>
          <w:sz w:val="24"/>
          <w:szCs w:val="24"/>
          <w:lang w:val="en-US" w:eastAsia="zh-CN"/>
          <w14:textFill>
            <w14:solidFill>
              <w14:schemeClr w14:val="tx1"/>
            </w14:solidFill>
          </w14:textFill>
        </w:rPr>
        <w:t>2022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19</w:t>
      </w:r>
      <w:r>
        <w:rPr>
          <w:rFonts w:hint="eastAsia"/>
          <w:color w:val="000000" w:themeColor="text1"/>
          <w:sz w:val="24"/>
          <w:szCs w:val="24"/>
          <w:lang w:eastAsia="zh-CN"/>
          <w14:textFill>
            <w14:solidFill>
              <w14:schemeClr w14:val="tx1"/>
            </w14:solidFill>
          </w14:textFill>
        </w:rPr>
        <w:t>号）</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新疆哈密市M1033铁矿资源储量核实报告</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矿产资源储量评审</w:t>
      </w:r>
      <w:r>
        <w:rPr>
          <w:rFonts w:hint="eastAsia"/>
          <w:color w:val="000000" w:themeColor="text1"/>
          <w:sz w:val="24"/>
          <w:szCs w:val="24"/>
          <w:lang w:val="en-US" w:eastAsia="zh-CN"/>
          <w14:textFill>
            <w14:solidFill>
              <w14:schemeClr w14:val="tx1"/>
            </w14:solidFill>
          </w14:textFill>
        </w:rPr>
        <w:t>意见书》</w:t>
      </w:r>
      <w:r>
        <w:rPr>
          <w:rFonts w:hint="eastAsia"/>
          <w:color w:val="000000" w:themeColor="text1"/>
          <w:sz w:val="24"/>
          <w:szCs w:val="24"/>
          <w:lang w:eastAsia="zh-CN"/>
          <w14:textFill>
            <w14:solidFill>
              <w14:schemeClr w14:val="tx1"/>
            </w14:solidFill>
          </w14:textFill>
        </w:rPr>
        <w:t>（新</w:t>
      </w:r>
      <w:r>
        <w:rPr>
          <w:rFonts w:hint="eastAsia"/>
          <w:color w:val="000000" w:themeColor="text1"/>
          <w:sz w:val="24"/>
          <w:szCs w:val="24"/>
          <w:lang w:val="en-US" w:eastAsia="zh-CN"/>
          <w14:textFill>
            <w14:solidFill>
              <w14:schemeClr w14:val="tx1"/>
            </w14:solidFill>
          </w14:textFill>
        </w:rPr>
        <w:t>矿评</w:t>
      </w:r>
      <w:r>
        <w:rPr>
          <w:rFonts w:hint="eastAsia"/>
          <w:color w:val="000000" w:themeColor="text1"/>
          <w:sz w:val="24"/>
          <w:szCs w:val="24"/>
          <w:lang w:eastAsia="zh-CN"/>
          <w14:textFill>
            <w14:solidFill>
              <w14:schemeClr w14:val="tx1"/>
            </w14:solidFill>
          </w14:textFill>
        </w:rPr>
        <w:t>储字〔</w:t>
      </w:r>
      <w:r>
        <w:rPr>
          <w:rFonts w:hint="eastAsia"/>
          <w:color w:val="000000" w:themeColor="text1"/>
          <w:sz w:val="24"/>
          <w:szCs w:val="24"/>
          <w:lang w:val="en-US" w:eastAsia="zh-CN"/>
          <w14:textFill>
            <w14:solidFill>
              <w14:schemeClr w14:val="tx1"/>
            </w14:solidFill>
          </w14:textFill>
        </w:rPr>
        <w:t>2022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19</w:t>
      </w:r>
      <w:r>
        <w:rPr>
          <w:rFonts w:hint="eastAsia"/>
          <w:color w:val="000000" w:themeColor="text1"/>
          <w:sz w:val="24"/>
          <w:szCs w:val="24"/>
          <w:lang w:eastAsia="zh-CN"/>
          <w14:textFill>
            <w14:solidFill>
              <w14:schemeClr w14:val="tx1"/>
            </w14:solidFill>
          </w14:textFill>
        </w:rPr>
        <w:t>号），</w:t>
      </w:r>
      <w:r>
        <w:rPr>
          <w:rFonts w:hint="eastAsia"/>
          <w:color w:val="000000" w:themeColor="text1"/>
          <w:sz w:val="24"/>
          <w:szCs w:val="24"/>
          <w:lang w:val="en-US" w:eastAsia="zh-CN"/>
          <w14:textFill>
            <w14:solidFill>
              <w14:schemeClr w14:val="tx1"/>
            </w14:solidFill>
          </w14:textFill>
        </w:rPr>
        <w:t>矿区内最近一次评审备案的报告为2007年提交的《新疆哈密市M1033铁矿0VI-I线生产地质报告》和本次核实报告资源量估算范围不一致（见图1.1-1），累计查明资源量矿石量增加552.86万吨，变化量59.02%，资源量变化原因为工业指标改变后矿体规模变大（矿区范围不变）。</w:t>
      </w:r>
    </w:p>
    <w:p w14:paraId="465CA917">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47B246CC">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20817688">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1D841C58">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47ED2BD4">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4837F0E5">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5554ACE8">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70932A09">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63CCB1A6">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45C31E31">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6122414D">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0457BD6E">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5D4638A2">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67774242">
      <w:pPr>
        <w:keepNext w:val="0"/>
        <w:keepLines w:val="0"/>
        <w:pageBreakBefore w:val="0"/>
        <w:widowControl w:val="0"/>
        <w:kinsoku/>
        <w:wordWrap/>
        <w:overflowPunct w:val="0"/>
        <w:topLinePunct/>
        <w:autoSpaceDE/>
        <w:autoSpaceDN/>
        <w:bidi w:val="0"/>
        <w:adjustRightInd/>
        <w:snapToGrid/>
        <w:spacing w:line="240" w:lineRule="auto"/>
        <w:ind w:left="-630" w:leftChars="-300" w:right="-630" w:rightChars="-300" w:firstLine="0" w:firstLineChars="0"/>
        <w:jc w:val="center"/>
        <w:textAlignment w:val="auto"/>
        <w:rPr>
          <w:rFonts w:hint="eastAsia" w:eastAsia="宋体"/>
          <w:color w:val="000000" w:themeColor="text1"/>
          <w:sz w:val="24"/>
          <w:szCs w:val="24"/>
          <w:lang w:eastAsia="zh-CN"/>
          <w14:textFill>
            <w14:solidFill>
              <w14:schemeClr w14:val="tx1"/>
            </w14:solidFill>
          </w14:textFill>
        </w:rPr>
      </w:pPr>
    </w:p>
    <w:p w14:paraId="55C4EF4A">
      <w:pPr>
        <w:keepNext w:val="0"/>
        <w:keepLines w:val="0"/>
        <w:pageBreakBefore w:val="0"/>
        <w:widowControl w:val="0"/>
        <w:kinsoku/>
        <w:wordWrap/>
        <w:overflowPunct w:val="0"/>
        <w:topLinePunct/>
        <w:autoSpaceDE/>
        <w:autoSpaceDN/>
        <w:bidi w:val="0"/>
        <w:adjustRightInd/>
        <w:snapToGrid/>
        <w:spacing w:line="480" w:lineRule="exact"/>
        <w:jc w:val="center"/>
        <w:textAlignment w:val="auto"/>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图1.1-1    储量核实报告与2007年报告资源量估算范围关系叠合图</w:t>
      </w:r>
    </w:p>
    <w:p w14:paraId="7066BFB6">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2022年7月，西成矿业委托乌鲁木齐天瑞博源矿业有限公司承担《哈密市西成矿业有限责任公司新疆哈密市M1033铁矿矿产资源开发利用与生态保护修复方案》（以下简称：开发利用方案）的编制工作，</w:t>
      </w:r>
      <w:r>
        <w:rPr>
          <w:rFonts w:hint="eastAsia"/>
          <w:color w:val="000000" w:themeColor="text1"/>
          <w:sz w:val="24"/>
          <w:szCs w:val="24"/>
          <w:lang w:eastAsia="zh-CN"/>
          <w14:textFill>
            <w14:solidFill>
              <w14:schemeClr w14:val="tx1"/>
            </w14:solidFill>
          </w14:textFill>
        </w:rPr>
        <w:t>并于</w:t>
      </w:r>
      <w:r>
        <w:rPr>
          <w:rFonts w:hint="eastAsia"/>
          <w:color w:val="000000" w:themeColor="text1"/>
          <w:sz w:val="24"/>
          <w:szCs w:val="24"/>
          <w:lang w:val="en-US" w:eastAsia="zh-CN"/>
          <w14:textFill>
            <w14:solidFill>
              <w14:schemeClr w14:val="tx1"/>
            </w14:solidFill>
          </w14:textFill>
        </w:rPr>
        <w:t>2023年5月26日通过审查，随后办理了采矿许可证的延续手续。最新延续后的采矿许可证号：C6500002010122120107454（有效期为2023年12月22日至2028年12月22日），</w:t>
      </w:r>
      <w:r>
        <w:rPr>
          <w:rFonts w:hint="eastAsia"/>
          <w:color w:val="000000" w:themeColor="text1"/>
          <w:sz w:val="24"/>
          <w:szCs w:val="24"/>
          <w14:textFill>
            <w14:solidFill>
              <w14:schemeClr w14:val="tx1"/>
            </w14:solidFill>
          </w14:textFill>
        </w:rPr>
        <w:t>采矿许可证列明的生产规模为</w:t>
      </w:r>
      <w:r>
        <w:rPr>
          <w:rFonts w:hint="eastAsia"/>
          <w:color w:val="000000" w:themeColor="text1"/>
          <w:sz w:val="24"/>
          <w:szCs w:val="24"/>
          <w:lang w:val="en-US" w:eastAsia="zh-CN"/>
          <w14:textFill>
            <w14:solidFill>
              <w14:schemeClr w14:val="tx1"/>
            </w14:solidFill>
          </w14:textFill>
        </w:rPr>
        <w:t>60</w:t>
      </w:r>
      <w:r>
        <w:rPr>
          <w:rFonts w:hint="eastAsia"/>
          <w:color w:val="000000" w:themeColor="text1"/>
          <w:sz w:val="24"/>
          <w:szCs w:val="24"/>
          <w14:textFill>
            <w14:solidFill>
              <w14:schemeClr w14:val="tx1"/>
            </w14:solidFill>
          </w14:textFill>
        </w:rPr>
        <w:t>万</w:t>
      </w:r>
      <w:r>
        <w:rPr>
          <w:color w:val="000000" w:themeColor="text1"/>
          <w:sz w:val="24"/>
          <w:szCs w:val="24"/>
          <w14:textFill>
            <w14:solidFill>
              <w14:schemeClr w14:val="tx1"/>
            </w14:solidFill>
          </w14:textFill>
        </w:rPr>
        <w:t>t</w:t>
      </w:r>
      <w:r>
        <w:rPr>
          <w:rFonts w:hint="eastAsia"/>
          <w:color w:val="000000" w:themeColor="text1"/>
          <w:sz w:val="24"/>
          <w:szCs w:val="24"/>
          <w14:textFill>
            <w14:solidFill>
              <w14:schemeClr w14:val="tx1"/>
            </w14:solidFill>
          </w14:textFill>
        </w:rPr>
        <w:t>/a，开采方式为地下开采，矿区范围由4个拐点圈定，矿区面积1.0401km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，开采标高为1240～900m</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开采对象主要是Ⅰ-2、Ⅰ-1和Ⅲ号矿体。</w:t>
      </w:r>
    </w:p>
    <w:p w14:paraId="0A327E8D">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ascii="Times New Roman" w:hAnsi="Times New Roman" w:cs="Times New Roman"/>
          <w:color w:val="000000" w:themeColor="text1"/>
          <w:spacing w:val="0"/>
          <w:w w:val="100"/>
          <w:position w:val="0"/>
          <w:sz w:val="24"/>
          <w:szCs w:val="24"/>
          <w:highlight w:val="none"/>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哈密市西成矿业有限责任公司</w:t>
      </w:r>
      <w:r>
        <w:rPr>
          <w:rFonts w:hint="eastAsia"/>
          <w:color w:val="000000" w:themeColor="text1"/>
          <w:sz w:val="24"/>
          <w:szCs w:val="24"/>
          <w:lang w:val="en-US" w:eastAsia="zh-CN"/>
          <w14:textFill>
            <w14:solidFill>
              <w14:schemeClr w14:val="tx1"/>
            </w14:solidFill>
          </w14:textFill>
        </w:rPr>
        <w:t>M1033矿年产30万吨铁矿采矿项目（以下简称：原项目）未投产、未进行竣工环境保护验收，建设规模由30万吨/年变更为60万吨/年，且矿山设备因老旧问题无法使用还需技改，对照《关于印发〈污染影响类建设项目重大变动清单（试行）〉的通知》（环办环评函〔2020〕688号），原项目规模增大100%，符合《污染影响类建设项目重大变动清单（试行）》中的“生产、处置或储存能力增大30%及以上的”情形，属于重大变动。因此，根据《中华人民共和国环境保护法》《中华人民共和国环境影响评价法》《建设项目环境保护管理条例》《关于印发〈污染影响类建设项目重大变动清单（试行）〉的通知》（环办环评函〔2020〕688号）及有关法律法规要求，原项目需要重新进行环境影响评价并报批。为办理环境影响评价手续，建设单位委托编制单位新疆绿境天宸环保科技有限公司编制</w:t>
      </w:r>
      <w:r>
        <w:rPr>
          <w:rFonts w:hint="eastAsia" w:ascii="Times New Roman" w:hAnsi="Times New Roman" w:cs="Times New Roman"/>
          <w:color w:val="000000" w:themeColor="text1"/>
          <w:spacing w:val="0"/>
          <w:w w:val="100"/>
          <w:position w:val="0"/>
          <w:sz w:val="24"/>
          <w:szCs w:val="24"/>
          <w:highlight w:val="none"/>
          <w:lang w:val="en-US" w:eastAsia="zh-CN"/>
          <w14:textFill>
            <w14:solidFill>
              <w14:schemeClr w14:val="tx1"/>
            </w14:solidFill>
          </w14:textFill>
        </w:rPr>
        <w:t>《</w:t>
      </w:r>
      <w:r>
        <w:rPr>
          <w:rFonts w:hint="eastAsia" w:cs="Times New Roman"/>
          <w:color w:val="000000" w:themeColor="text1"/>
          <w:spacing w:val="0"/>
          <w:w w:val="100"/>
          <w:position w:val="0"/>
          <w:sz w:val="24"/>
          <w:szCs w:val="24"/>
          <w:highlight w:val="none"/>
          <w:lang w:val="en-US" w:eastAsia="zh-CN"/>
          <w14:textFill>
            <w14:solidFill>
              <w14:schemeClr w14:val="tx1"/>
            </w14:solidFill>
          </w14:textFill>
        </w:rPr>
        <w:t>哈密市西成矿业有限责任公司M1033矿年产30万吨铁矿采矿建设项目（重大变动）</w:t>
      </w:r>
      <w:r>
        <w:rPr>
          <w:rFonts w:hint="eastAsia" w:ascii="Times New Roman" w:hAnsi="Times New Roman" w:cs="Times New Roman"/>
          <w:color w:val="000000" w:themeColor="text1"/>
          <w:spacing w:val="0"/>
          <w:w w:val="100"/>
          <w:position w:val="0"/>
          <w:sz w:val="24"/>
          <w:szCs w:val="24"/>
          <w:highlight w:val="none"/>
          <w:lang w:val="en-US" w:eastAsia="zh-CN"/>
          <w14:textFill>
            <w14:solidFill>
              <w14:schemeClr w14:val="tx1"/>
            </w14:solidFill>
          </w14:textFill>
        </w:rPr>
        <w:t>环境影响报告书》。</w:t>
      </w:r>
    </w:p>
    <w:p w14:paraId="78A56A8B">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cs="Times New Roman"/>
          <w:color w:val="000000" w:themeColor="text1"/>
          <w:spacing w:val="0"/>
          <w:w w:val="100"/>
          <w:position w:val="0"/>
          <w:sz w:val="24"/>
          <w:szCs w:val="24"/>
          <w:highlight w:val="none"/>
          <w:lang w:val="en-US" w:eastAsia="zh-CN"/>
          <w14:textFill>
            <w14:solidFill>
              <w14:schemeClr w14:val="tx1"/>
            </w14:solidFill>
          </w14:textFill>
        </w:rPr>
        <w:sectPr>
          <w:headerReference r:id="rId13" w:type="default"/>
          <w:footerReference r:id="rId14" w:type="default"/>
          <w:footerReference r:id="rId15"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cs="Times New Roman"/>
          <w:color w:val="000000" w:themeColor="text1"/>
          <w:spacing w:val="0"/>
          <w:w w:val="100"/>
          <w:position w:val="0"/>
          <w:sz w:val="24"/>
          <w:szCs w:val="24"/>
          <w:highlight w:val="none"/>
          <w:lang w:val="en-US" w:eastAsia="zh-CN"/>
          <w14:textFill>
            <w14:solidFill>
              <w14:schemeClr w14:val="tx1"/>
            </w14:solidFill>
          </w14:textFill>
        </w:rPr>
        <w:t>本项目具体变动情况见表1.1-1。</w:t>
      </w:r>
    </w:p>
    <w:p w14:paraId="6FE20B1C">
      <w:pPr>
        <w:keepNext w:val="0"/>
        <w:keepLines w:val="0"/>
        <w:pageBreakBefore w:val="0"/>
        <w:widowControl w:val="0"/>
        <w:kinsoku/>
        <w:wordWrap/>
        <w:overflowPunct w:val="0"/>
        <w:topLinePunct/>
        <w:autoSpaceDE/>
        <w:autoSpaceDN/>
        <w:bidi w:val="0"/>
        <w:adjustRightInd/>
        <w:snapToGrid/>
        <w:spacing w:line="480" w:lineRule="exact"/>
        <w:jc w:val="center"/>
        <w:textAlignment w:val="auto"/>
        <w:rPr>
          <w:rFonts w:hint="default" w:cs="Times New Roman"/>
          <w:b/>
          <w:bCs/>
          <w:color w:val="000000" w:themeColor="text1"/>
          <w:spacing w:val="0"/>
          <w:w w:val="100"/>
          <w:position w:val="0"/>
          <w:sz w:val="24"/>
          <w:szCs w:val="24"/>
          <w:highlight w:val="none"/>
          <w:lang w:val="en-US" w:eastAsia="zh-CN"/>
          <w14:textFill>
            <w14:solidFill>
              <w14:schemeClr w14:val="tx1"/>
            </w14:solidFill>
          </w14:textFill>
        </w:rPr>
      </w:pPr>
      <w:r>
        <w:rPr>
          <w:rFonts w:hint="eastAsia" w:cs="Times New Roman"/>
          <w:b/>
          <w:bCs/>
          <w:color w:val="000000" w:themeColor="text1"/>
          <w:spacing w:val="0"/>
          <w:w w:val="100"/>
          <w:position w:val="0"/>
          <w:sz w:val="24"/>
          <w:szCs w:val="24"/>
          <w:highlight w:val="none"/>
          <w:lang w:val="en-US" w:eastAsia="zh-CN"/>
          <w14:textFill>
            <w14:solidFill>
              <w14:schemeClr w14:val="tx1"/>
            </w14:solidFill>
          </w14:textFill>
        </w:rPr>
        <w:t>表1.1-1    本项目变动情况一览表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88"/>
        <w:gridCol w:w="1024"/>
        <w:gridCol w:w="3788"/>
        <w:gridCol w:w="5199"/>
        <w:gridCol w:w="2440"/>
        <w:gridCol w:w="943"/>
      </w:tblGrid>
      <w:tr w14:paraId="68CEA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10" w:type="pct"/>
            <w:tcBorders>
              <w:tl2br w:val="nil"/>
              <w:tr2bl w:val="nil"/>
            </w:tcBorders>
            <w:noWrap w:val="0"/>
            <w:vAlign w:val="center"/>
          </w:tcPr>
          <w:p w14:paraId="7B146E05">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bCs/>
                <w:color w:val="000000" w:themeColor="text1"/>
                <w:sz w:val="21"/>
                <w:highlight w:val="none"/>
                <w:lang w:val="en-US" w:eastAsia="zh-CN"/>
                <w14:textFill>
                  <w14:solidFill>
                    <w14:schemeClr w14:val="tx1"/>
                  </w14:solidFill>
                </w14:textFill>
              </w:rPr>
            </w:pPr>
            <w:bookmarkStart w:id="29" w:name="OLE_LINK307" w:colFirst="0" w:colLast="0"/>
            <w:bookmarkStart w:id="30" w:name="OLE_LINK288" w:colFirst="4" w:colLast="4"/>
            <w:r>
              <w:rPr>
                <w:rFonts w:hint="eastAsia" w:ascii="Times New Roman" w:hAnsi="Times New Roman" w:eastAsia="宋体"/>
                <w:b/>
                <w:bCs/>
                <w:color w:val="000000" w:themeColor="text1"/>
                <w:sz w:val="21"/>
                <w:highlight w:val="none"/>
                <w:lang w:val="en-US" w:eastAsia="zh-CN"/>
                <w14:textFill>
                  <w14:solidFill>
                    <w14:schemeClr w14:val="tx1"/>
                  </w14:solidFill>
                </w14:textFill>
              </w:rPr>
              <w:t>序号</w:t>
            </w:r>
          </w:p>
        </w:tc>
        <w:tc>
          <w:tcPr>
            <w:tcW w:w="366" w:type="pct"/>
            <w:tcBorders>
              <w:tl2br w:val="nil"/>
              <w:tr2bl w:val="nil"/>
            </w:tcBorders>
            <w:noWrap w:val="0"/>
            <w:vAlign w:val="center"/>
          </w:tcPr>
          <w:p w14:paraId="66295E4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bCs/>
                <w:color w:val="000000" w:themeColor="text1"/>
                <w:sz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highlight w:val="none"/>
                <w:lang w:val="en-US" w:eastAsia="zh-CN"/>
                <w14:textFill>
                  <w14:solidFill>
                    <w14:schemeClr w14:val="tx1"/>
                  </w14:solidFill>
                </w14:textFill>
              </w:rPr>
              <w:t>项目</w:t>
            </w:r>
          </w:p>
        </w:tc>
        <w:tc>
          <w:tcPr>
            <w:tcW w:w="1354" w:type="pct"/>
            <w:tcBorders>
              <w:tl2br w:val="nil"/>
              <w:tr2bl w:val="nil"/>
            </w:tcBorders>
            <w:noWrap w:val="0"/>
            <w:vAlign w:val="center"/>
          </w:tcPr>
          <w:p w14:paraId="6821F5E2">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bCs/>
                <w:color w:val="000000" w:themeColor="text1"/>
                <w:sz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highlight w:val="none"/>
                <w:lang w:val="en-US" w:eastAsia="zh-CN"/>
                <w14:textFill>
                  <w14:solidFill>
                    <w14:schemeClr w14:val="tx1"/>
                  </w14:solidFill>
                </w14:textFill>
              </w:rPr>
              <w:t>原项目内容</w:t>
            </w:r>
          </w:p>
        </w:tc>
        <w:tc>
          <w:tcPr>
            <w:tcW w:w="1858" w:type="pct"/>
            <w:tcBorders>
              <w:tl2br w:val="nil"/>
              <w:tr2bl w:val="nil"/>
            </w:tcBorders>
            <w:noWrap w:val="0"/>
            <w:vAlign w:val="center"/>
          </w:tcPr>
          <w:p w14:paraId="26F4B5B9">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bCs/>
                <w:color w:val="000000" w:themeColor="text1"/>
                <w:sz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highlight w:val="none"/>
                <w:lang w:val="en-US" w:eastAsia="zh-CN"/>
                <w14:textFill>
                  <w14:solidFill>
                    <w14:schemeClr w14:val="tx1"/>
                  </w14:solidFill>
                </w14:textFill>
              </w:rPr>
              <w:t>本项目内容</w:t>
            </w:r>
          </w:p>
        </w:tc>
        <w:tc>
          <w:tcPr>
            <w:tcW w:w="872" w:type="pct"/>
            <w:tcBorders>
              <w:tl2br w:val="nil"/>
              <w:tr2bl w:val="nil"/>
            </w:tcBorders>
            <w:shd w:val="clear" w:color="auto" w:fill="auto"/>
            <w:noWrap w:val="0"/>
            <w:vAlign w:val="center"/>
          </w:tcPr>
          <w:p w14:paraId="5D7255D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s="宋体"/>
                <w:b/>
                <w:bCs/>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b/>
                <w:bCs/>
                <w:color w:val="000000" w:themeColor="text1"/>
                <w:sz w:val="21"/>
                <w:highlight w:val="none"/>
                <w:lang w:val="en-US" w:eastAsia="zh-CN"/>
                <w14:textFill>
                  <w14:solidFill>
                    <w14:schemeClr w14:val="tx1"/>
                  </w14:solidFill>
                </w14:textFill>
              </w:rPr>
              <w:t>变动情况</w:t>
            </w:r>
          </w:p>
        </w:tc>
        <w:tc>
          <w:tcPr>
            <w:tcW w:w="337" w:type="pct"/>
            <w:tcBorders>
              <w:tl2br w:val="nil"/>
              <w:tr2bl w:val="nil"/>
            </w:tcBorders>
            <w:noWrap w:val="0"/>
            <w:vAlign w:val="center"/>
          </w:tcPr>
          <w:p w14:paraId="38CE0532">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bCs/>
                <w:color w:val="000000" w:themeColor="text1"/>
                <w:sz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highlight w:val="none"/>
                <w:lang w:val="en-US" w:eastAsia="zh-CN"/>
                <w14:textFill>
                  <w14:solidFill>
                    <w14:schemeClr w14:val="tx1"/>
                  </w14:solidFill>
                </w14:textFill>
              </w:rPr>
              <w:t>是否属于重大变动</w:t>
            </w:r>
          </w:p>
        </w:tc>
      </w:tr>
      <w:tr w14:paraId="28ADA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0154C2CB">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bookmarkStart w:id="31" w:name="OLE_LINK305" w:colFirst="1" w:colLast="4"/>
            <w:bookmarkStart w:id="32" w:name="OLE_LINK297" w:colFirst="3" w:colLast="4"/>
            <w:r>
              <w:rPr>
                <w:rFonts w:hint="eastAsia" w:ascii="Times New Roman" w:hAnsi="Times New Roman" w:eastAsia="宋体"/>
                <w:color w:val="000000" w:themeColor="text1"/>
                <w:sz w:val="21"/>
                <w:highlight w:val="none"/>
                <w:lang w:val="en-US" w:eastAsia="zh-CN"/>
                <w14:textFill>
                  <w14:solidFill>
                    <w14:schemeClr w14:val="tx1"/>
                  </w14:solidFill>
                </w14:textFill>
              </w:rPr>
              <w:t>1</w:t>
            </w:r>
          </w:p>
        </w:tc>
        <w:tc>
          <w:tcPr>
            <w:tcW w:w="366" w:type="pct"/>
            <w:tcBorders>
              <w:tl2br w:val="nil"/>
              <w:tr2bl w:val="nil"/>
            </w:tcBorders>
            <w:noWrap w:val="0"/>
            <w:vAlign w:val="center"/>
          </w:tcPr>
          <w:p w14:paraId="2963B656">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建设性质</w:t>
            </w:r>
          </w:p>
        </w:tc>
        <w:tc>
          <w:tcPr>
            <w:tcW w:w="1354" w:type="pct"/>
            <w:tcBorders>
              <w:tl2br w:val="nil"/>
              <w:tr2bl w:val="nil"/>
            </w:tcBorders>
            <w:noWrap w:val="0"/>
            <w:vAlign w:val="center"/>
          </w:tcPr>
          <w:p w14:paraId="112B5D4F">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新建，功能为</w:t>
            </w: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铁矿石开采</w:t>
            </w:r>
          </w:p>
        </w:tc>
        <w:tc>
          <w:tcPr>
            <w:tcW w:w="1858" w:type="pct"/>
            <w:tcBorders>
              <w:tl2br w:val="nil"/>
              <w:tr2bl w:val="nil"/>
            </w:tcBorders>
            <w:noWrap w:val="0"/>
            <w:vAlign w:val="center"/>
          </w:tcPr>
          <w:p w14:paraId="50A6B35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新建，功能为</w:t>
            </w: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铁矿石开采</w:t>
            </w:r>
          </w:p>
        </w:tc>
        <w:tc>
          <w:tcPr>
            <w:tcW w:w="872" w:type="pct"/>
            <w:tcBorders>
              <w:tl2br w:val="nil"/>
              <w:tr2bl w:val="nil"/>
            </w:tcBorders>
            <w:shd w:val="clear" w:color="auto" w:fill="auto"/>
            <w:noWrap w:val="0"/>
            <w:vAlign w:val="center"/>
          </w:tcPr>
          <w:p w14:paraId="758FC557">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t>不变</w:t>
            </w:r>
          </w:p>
        </w:tc>
        <w:tc>
          <w:tcPr>
            <w:tcW w:w="337" w:type="pct"/>
            <w:tcBorders>
              <w:tl2br w:val="nil"/>
              <w:tr2bl w:val="nil"/>
            </w:tcBorders>
            <w:noWrap w:val="0"/>
            <w:vAlign w:val="center"/>
          </w:tcPr>
          <w:p w14:paraId="789D1F4E">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bCs/>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tr w14:paraId="148C8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6B7AE793">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2</w:t>
            </w:r>
          </w:p>
        </w:tc>
        <w:tc>
          <w:tcPr>
            <w:tcW w:w="366" w:type="pct"/>
            <w:vMerge w:val="restart"/>
            <w:tcBorders>
              <w:tl2br w:val="nil"/>
              <w:tr2bl w:val="nil"/>
            </w:tcBorders>
            <w:noWrap w:val="0"/>
            <w:vAlign w:val="center"/>
          </w:tcPr>
          <w:p w14:paraId="098F971B">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规模</w:t>
            </w:r>
          </w:p>
        </w:tc>
        <w:tc>
          <w:tcPr>
            <w:tcW w:w="1354" w:type="pct"/>
            <w:tcBorders>
              <w:tl2br w:val="nil"/>
              <w:tr2bl w:val="nil"/>
            </w:tcBorders>
            <w:noWrap w:val="0"/>
            <w:vAlign w:val="center"/>
          </w:tcPr>
          <w:p w14:paraId="039273C5">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生产规模：年产30万吨铁矿石</w:t>
            </w:r>
          </w:p>
        </w:tc>
        <w:tc>
          <w:tcPr>
            <w:tcW w:w="1858" w:type="pct"/>
            <w:tcBorders>
              <w:tl2br w:val="nil"/>
              <w:tr2bl w:val="nil"/>
            </w:tcBorders>
            <w:noWrap w:val="0"/>
            <w:vAlign w:val="center"/>
          </w:tcPr>
          <w:p w14:paraId="01DA4C1A">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生产规模：年产60万吨铁矿石</w:t>
            </w:r>
          </w:p>
        </w:tc>
        <w:tc>
          <w:tcPr>
            <w:tcW w:w="872" w:type="pct"/>
            <w:tcBorders>
              <w:tl2br w:val="nil"/>
              <w:tr2bl w:val="nil"/>
            </w:tcBorders>
            <w:shd w:val="clear" w:color="auto" w:fill="auto"/>
            <w:noWrap w:val="0"/>
            <w:vAlign w:val="center"/>
          </w:tcPr>
          <w:p w14:paraId="5A2A7E5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t>生产能力增大30%及以上</w:t>
            </w:r>
          </w:p>
        </w:tc>
        <w:tc>
          <w:tcPr>
            <w:tcW w:w="337" w:type="pct"/>
            <w:tcBorders>
              <w:tl2br w:val="nil"/>
              <w:tr2bl w:val="nil"/>
            </w:tcBorders>
            <w:noWrap w:val="0"/>
            <w:vAlign w:val="center"/>
          </w:tcPr>
          <w:p w14:paraId="3F91D62E">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bCs/>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bCs/>
                <w:snapToGrid w:val="0"/>
                <w:color w:val="000000" w:themeColor="text1"/>
                <w:kern w:val="0"/>
                <w:sz w:val="21"/>
                <w:szCs w:val="24"/>
                <w:highlight w:val="none"/>
                <w:lang w:val="en-US" w:eastAsia="zh-CN" w:bidi="ar-SA"/>
                <w14:textFill>
                  <w14:solidFill>
                    <w14:schemeClr w14:val="tx1"/>
                  </w14:solidFill>
                </w14:textFill>
              </w:rPr>
              <w:t>是</w:t>
            </w:r>
          </w:p>
        </w:tc>
      </w:tr>
      <w:bookmarkEnd w:id="31"/>
      <w:tr w14:paraId="451DC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2913CA1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3</w:t>
            </w:r>
          </w:p>
        </w:tc>
        <w:tc>
          <w:tcPr>
            <w:tcW w:w="366" w:type="pct"/>
            <w:vMerge w:val="continue"/>
            <w:tcBorders>
              <w:tl2br w:val="nil"/>
              <w:tr2bl w:val="nil"/>
            </w:tcBorders>
            <w:noWrap w:val="0"/>
            <w:vAlign w:val="center"/>
          </w:tcPr>
          <w:p w14:paraId="6D6D066E">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p>
        </w:tc>
        <w:tc>
          <w:tcPr>
            <w:tcW w:w="1354" w:type="pct"/>
            <w:tcBorders>
              <w:tl2br w:val="nil"/>
              <w:tr2bl w:val="nil"/>
            </w:tcBorders>
            <w:noWrap w:val="0"/>
            <w:vAlign w:val="center"/>
          </w:tcPr>
          <w:p w14:paraId="6F338E03">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t>不涉及第一类污染物排放</w:t>
            </w:r>
          </w:p>
        </w:tc>
        <w:tc>
          <w:tcPr>
            <w:tcW w:w="1858" w:type="pct"/>
            <w:tcBorders>
              <w:tl2br w:val="nil"/>
              <w:tr2bl w:val="nil"/>
            </w:tcBorders>
            <w:shd w:val="clear" w:color="auto" w:fill="auto"/>
            <w:noWrap w:val="0"/>
            <w:vAlign w:val="center"/>
          </w:tcPr>
          <w:p w14:paraId="487AF153">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不涉及第一类污染物排放</w:t>
            </w:r>
          </w:p>
        </w:tc>
        <w:tc>
          <w:tcPr>
            <w:tcW w:w="872" w:type="pct"/>
            <w:tcBorders>
              <w:tl2br w:val="nil"/>
              <w:tr2bl w:val="nil"/>
            </w:tcBorders>
            <w:shd w:val="clear" w:color="auto" w:fill="auto"/>
            <w:noWrap w:val="0"/>
            <w:vAlign w:val="center"/>
          </w:tcPr>
          <w:p w14:paraId="3252BB9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不变</w:t>
            </w:r>
          </w:p>
        </w:tc>
        <w:tc>
          <w:tcPr>
            <w:tcW w:w="337" w:type="pct"/>
            <w:tcBorders>
              <w:tl2br w:val="nil"/>
              <w:tr2bl w:val="nil"/>
            </w:tcBorders>
            <w:noWrap w:val="0"/>
            <w:vAlign w:val="center"/>
          </w:tcPr>
          <w:p w14:paraId="5165CB4D">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tr w14:paraId="3080E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3CD7AF5C">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4</w:t>
            </w:r>
          </w:p>
        </w:tc>
        <w:tc>
          <w:tcPr>
            <w:tcW w:w="366" w:type="pct"/>
            <w:vMerge w:val="continue"/>
            <w:tcBorders>
              <w:tl2br w:val="nil"/>
              <w:tr2bl w:val="nil"/>
            </w:tcBorders>
            <w:noWrap w:val="0"/>
            <w:vAlign w:val="center"/>
          </w:tcPr>
          <w:p w14:paraId="63E63916">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p>
        </w:tc>
        <w:tc>
          <w:tcPr>
            <w:tcW w:w="1354" w:type="pct"/>
            <w:tcBorders>
              <w:tl2br w:val="nil"/>
              <w:tr2bl w:val="nil"/>
            </w:tcBorders>
            <w:noWrap w:val="0"/>
            <w:vAlign w:val="center"/>
          </w:tcPr>
          <w:p w14:paraId="42E23519">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t>位于环境空气质量达标区，年产30万吨铁矿石</w:t>
            </w: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，颗粒物排放量6.35t/a</w:t>
            </w:r>
          </w:p>
        </w:tc>
        <w:tc>
          <w:tcPr>
            <w:tcW w:w="1858" w:type="pct"/>
            <w:tcBorders>
              <w:tl2br w:val="nil"/>
              <w:tr2bl w:val="nil"/>
            </w:tcBorders>
            <w:noWrap w:val="0"/>
            <w:vAlign w:val="center"/>
          </w:tcPr>
          <w:p w14:paraId="0E69C61C">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t>位于环境空气质量达标区，年产30万吨铁矿石</w:t>
            </w: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，颗粒物排放量12.7t/a</w:t>
            </w:r>
          </w:p>
        </w:tc>
        <w:tc>
          <w:tcPr>
            <w:tcW w:w="872" w:type="pct"/>
            <w:tcBorders>
              <w:tl2br w:val="nil"/>
              <w:tr2bl w:val="nil"/>
            </w:tcBorders>
            <w:shd w:val="clear" w:color="auto" w:fill="auto"/>
            <w:noWrap w:val="0"/>
            <w:vAlign w:val="center"/>
          </w:tcPr>
          <w:p w14:paraId="3107B501">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t>污染物排放量增加10%及以上</w:t>
            </w:r>
          </w:p>
        </w:tc>
        <w:tc>
          <w:tcPr>
            <w:tcW w:w="337" w:type="pct"/>
            <w:tcBorders>
              <w:tl2br w:val="nil"/>
              <w:tr2bl w:val="nil"/>
            </w:tcBorders>
            <w:noWrap w:val="0"/>
            <w:vAlign w:val="center"/>
          </w:tcPr>
          <w:p w14:paraId="0359065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bCs/>
                <w:snapToGrid w:val="0"/>
                <w:color w:val="000000" w:themeColor="text1"/>
                <w:kern w:val="0"/>
                <w:sz w:val="21"/>
                <w:szCs w:val="24"/>
                <w:highlight w:val="none"/>
                <w:lang w:val="en-US" w:eastAsia="zh-CN" w:bidi="ar-SA"/>
                <w14:textFill>
                  <w14:solidFill>
                    <w14:schemeClr w14:val="tx1"/>
                  </w14:solidFill>
                </w14:textFill>
              </w:rPr>
              <w:t>是</w:t>
            </w:r>
          </w:p>
        </w:tc>
      </w:tr>
      <w:tr w14:paraId="344E0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7FB861AA">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5</w:t>
            </w:r>
          </w:p>
        </w:tc>
        <w:tc>
          <w:tcPr>
            <w:tcW w:w="366" w:type="pct"/>
            <w:tcBorders>
              <w:tl2br w:val="nil"/>
              <w:tr2bl w:val="nil"/>
            </w:tcBorders>
            <w:noWrap w:val="0"/>
            <w:vAlign w:val="center"/>
          </w:tcPr>
          <w:p w14:paraId="283BFF22">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建设地点</w:t>
            </w:r>
          </w:p>
        </w:tc>
        <w:tc>
          <w:tcPr>
            <w:tcW w:w="1354" w:type="pct"/>
            <w:tcBorders>
              <w:tl2br w:val="nil"/>
              <w:tr2bl w:val="nil"/>
            </w:tcBorders>
            <w:noWrap w:val="0"/>
            <w:vAlign w:val="center"/>
          </w:tcPr>
          <w:p w14:paraId="678AD275">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哈密市伊州区雅满苏镇以南约70km处</w:t>
            </w:r>
          </w:p>
        </w:tc>
        <w:tc>
          <w:tcPr>
            <w:tcW w:w="1858" w:type="pct"/>
            <w:tcBorders>
              <w:tl2br w:val="nil"/>
              <w:tr2bl w:val="nil"/>
            </w:tcBorders>
            <w:noWrap w:val="0"/>
            <w:vAlign w:val="center"/>
          </w:tcPr>
          <w:p w14:paraId="270619AB">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哈密市伊州区雅满苏镇以南约70km处</w:t>
            </w:r>
          </w:p>
        </w:tc>
        <w:tc>
          <w:tcPr>
            <w:tcW w:w="872" w:type="pct"/>
            <w:tcBorders>
              <w:tl2br w:val="nil"/>
              <w:tr2bl w:val="nil"/>
            </w:tcBorders>
            <w:shd w:val="clear" w:color="auto" w:fill="auto"/>
            <w:noWrap w:val="0"/>
            <w:vAlign w:val="center"/>
          </w:tcPr>
          <w:p w14:paraId="44BBB153">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cs="Calibri"/>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不变</w:t>
            </w:r>
          </w:p>
        </w:tc>
        <w:tc>
          <w:tcPr>
            <w:tcW w:w="337" w:type="pct"/>
            <w:tcBorders>
              <w:tl2br w:val="nil"/>
              <w:tr2bl w:val="nil"/>
            </w:tcBorders>
            <w:shd w:val="clear" w:color="auto" w:fill="auto"/>
            <w:noWrap w:val="0"/>
            <w:vAlign w:val="center"/>
          </w:tcPr>
          <w:p w14:paraId="04FBE8B7">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tr w14:paraId="6A6BD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1C90CF5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6</w:t>
            </w:r>
          </w:p>
        </w:tc>
        <w:tc>
          <w:tcPr>
            <w:tcW w:w="366" w:type="pct"/>
            <w:vMerge w:val="restart"/>
            <w:tcBorders>
              <w:tl2br w:val="nil"/>
              <w:tr2bl w:val="nil"/>
            </w:tcBorders>
            <w:noWrap w:val="0"/>
            <w:vAlign w:val="center"/>
          </w:tcPr>
          <w:p w14:paraId="36D77109">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t>生产工艺</w:t>
            </w:r>
          </w:p>
        </w:tc>
        <w:tc>
          <w:tcPr>
            <w:tcW w:w="1354" w:type="pct"/>
            <w:tcBorders>
              <w:tl2br w:val="nil"/>
              <w:tr2bl w:val="nil"/>
            </w:tcBorders>
            <w:noWrap w:val="0"/>
            <w:vAlign w:val="center"/>
          </w:tcPr>
          <w:p w14:paraId="19C346EE">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产品：铁矿石原矿，生产工艺：竖井开拓方案，采矿方法为无底柱分段崩落法</w:t>
            </w:r>
          </w:p>
        </w:tc>
        <w:tc>
          <w:tcPr>
            <w:tcW w:w="1858" w:type="pct"/>
            <w:tcBorders>
              <w:tl2br w:val="nil"/>
              <w:tr2bl w:val="nil"/>
            </w:tcBorders>
            <w:noWrap w:val="0"/>
            <w:vAlign w:val="center"/>
          </w:tcPr>
          <w:p w14:paraId="1AA26A21">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产品：铁矿石原矿，生产工艺：竖井开拓方案，采矿方法为无底柱分段崩落法</w:t>
            </w:r>
          </w:p>
        </w:tc>
        <w:tc>
          <w:tcPr>
            <w:tcW w:w="872" w:type="pct"/>
            <w:tcBorders>
              <w:tl2br w:val="nil"/>
              <w:tr2bl w:val="nil"/>
            </w:tcBorders>
            <w:shd w:val="clear" w:color="auto" w:fill="auto"/>
            <w:noWrap w:val="0"/>
            <w:vAlign w:val="center"/>
          </w:tcPr>
          <w:p w14:paraId="52D3D56D">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default" w:ascii="Times New Roman" w:hAnsi="Times New Roman" w:eastAsia="宋体" w:cs="Calibri"/>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不变</w:t>
            </w:r>
          </w:p>
        </w:tc>
        <w:tc>
          <w:tcPr>
            <w:tcW w:w="337" w:type="pct"/>
            <w:tcBorders>
              <w:tl2br w:val="nil"/>
              <w:tr2bl w:val="nil"/>
            </w:tcBorders>
            <w:shd w:val="clear" w:color="auto" w:fill="auto"/>
            <w:noWrap w:val="0"/>
            <w:vAlign w:val="center"/>
          </w:tcPr>
          <w:p w14:paraId="00601E41">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tr w14:paraId="1C6E1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7C22DF50">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bookmarkStart w:id="33" w:name="OLE_LINK341" w:colFirst="4" w:colLast="5"/>
            <w:bookmarkStart w:id="34" w:name="OLE_LINK293" w:colFirst="2" w:colLast="5"/>
            <w:r>
              <w:rPr>
                <w:rFonts w:hint="eastAsia" w:ascii="Times New Roman" w:hAnsi="Times New Roman" w:eastAsia="宋体"/>
                <w:color w:val="000000" w:themeColor="text1"/>
                <w:sz w:val="21"/>
                <w:highlight w:val="none"/>
                <w:lang w:val="en-US" w:eastAsia="zh-CN"/>
                <w14:textFill>
                  <w14:solidFill>
                    <w14:schemeClr w14:val="tx1"/>
                  </w14:solidFill>
                </w14:textFill>
              </w:rPr>
              <w:t>7</w:t>
            </w:r>
          </w:p>
        </w:tc>
        <w:tc>
          <w:tcPr>
            <w:tcW w:w="366" w:type="pct"/>
            <w:vMerge w:val="continue"/>
            <w:tcBorders>
              <w:tl2br w:val="nil"/>
              <w:tr2bl w:val="nil"/>
            </w:tcBorders>
            <w:noWrap w:val="0"/>
            <w:vAlign w:val="center"/>
          </w:tcPr>
          <w:p w14:paraId="2F880D0D">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p>
        </w:tc>
        <w:tc>
          <w:tcPr>
            <w:tcW w:w="1354" w:type="pct"/>
            <w:tcBorders>
              <w:tl2br w:val="nil"/>
              <w:tr2bl w:val="nil"/>
            </w:tcBorders>
            <w:noWrap w:val="0"/>
            <w:vAlign w:val="center"/>
          </w:tcPr>
          <w:p w14:paraId="69760AAE">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废石堆存于废石堆场，矿石堆存于矿石堆场，颗粒物无组织排放量6.35t/a</w:t>
            </w:r>
          </w:p>
        </w:tc>
        <w:tc>
          <w:tcPr>
            <w:tcW w:w="1858" w:type="pct"/>
            <w:tcBorders>
              <w:tl2br w:val="nil"/>
              <w:tr2bl w:val="nil"/>
            </w:tcBorders>
            <w:noWrap w:val="0"/>
            <w:vAlign w:val="center"/>
          </w:tcPr>
          <w:p w14:paraId="324089E3">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废石堆存于废石堆场，不设置矿石堆场，颗粒物无组织排放量12.7t/a</w:t>
            </w:r>
          </w:p>
        </w:tc>
        <w:tc>
          <w:tcPr>
            <w:tcW w:w="872" w:type="pct"/>
            <w:tcBorders>
              <w:tl2br w:val="nil"/>
              <w:tr2bl w:val="nil"/>
            </w:tcBorders>
            <w:shd w:val="clear" w:color="auto" w:fill="auto"/>
            <w:noWrap w:val="0"/>
            <w:vAlign w:val="center"/>
          </w:tcPr>
          <w:p w14:paraId="56444284">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大气污染物无组织排放量增加10%</w:t>
            </w:r>
            <w:r>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t>以上</w:t>
            </w:r>
          </w:p>
        </w:tc>
        <w:tc>
          <w:tcPr>
            <w:tcW w:w="337" w:type="pct"/>
            <w:tcBorders>
              <w:tl2br w:val="nil"/>
              <w:tr2bl w:val="nil"/>
            </w:tcBorders>
            <w:shd w:val="clear" w:color="auto" w:fill="auto"/>
            <w:noWrap w:val="0"/>
            <w:vAlign w:val="center"/>
          </w:tcPr>
          <w:p w14:paraId="7267F1A7">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bCs/>
                <w:snapToGrid w:val="0"/>
                <w:color w:val="000000" w:themeColor="text1"/>
                <w:kern w:val="0"/>
                <w:sz w:val="21"/>
                <w:szCs w:val="24"/>
                <w:highlight w:val="none"/>
                <w:lang w:val="en-US" w:eastAsia="zh-CN" w:bidi="ar-SA"/>
                <w14:textFill>
                  <w14:solidFill>
                    <w14:schemeClr w14:val="tx1"/>
                  </w14:solidFill>
                </w14:textFill>
              </w:rPr>
              <w:t>是</w:t>
            </w:r>
          </w:p>
        </w:tc>
      </w:tr>
      <w:bookmarkEnd w:id="32"/>
      <w:tr w14:paraId="12C3B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restart"/>
            <w:tcBorders>
              <w:tl2br w:val="nil"/>
              <w:tr2bl w:val="nil"/>
            </w:tcBorders>
            <w:noWrap w:val="0"/>
            <w:vAlign w:val="center"/>
          </w:tcPr>
          <w:p w14:paraId="4504F9BF">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8</w:t>
            </w:r>
          </w:p>
        </w:tc>
        <w:tc>
          <w:tcPr>
            <w:tcW w:w="366" w:type="pct"/>
            <w:vMerge w:val="restart"/>
            <w:tcBorders>
              <w:tl2br w:val="nil"/>
              <w:tr2bl w:val="nil"/>
            </w:tcBorders>
            <w:noWrap w:val="0"/>
            <w:vAlign w:val="center"/>
          </w:tcPr>
          <w:p w14:paraId="66133347">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环境保护措施</w:t>
            </w:r>
          </w:p>
        </w:tc>
        <w:tc>
          <w:tcPr>
            <w:tcW w:w="1354" w:type="pct"/>
            <w:tcBorders>
              <w:tl2br w:val="nil"/>
              <w:tr2bl w:val="nil"/>
            </w:tcBorders>
            <w:noWrap w:val="0"/>
            <w:vAlign w:val="center"/>
          </w:tcPr>
          <w:p w14:paraId="3CCBEB02">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废气污染防治措施：采用湿式凿岩、爆破后作业面洒水喷雾除尘、风机井下通风，路面</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洒水抑尘、路面碎石铺设等</w:t>
            </w:r>
          </w:p>
        </w:tc>
        <w:tc>
          <w:tcPr>
            <w:tcW w:w="1858" w:type="pct"/>
            <w:tcBorders>
              <w:tl2br w:val="nil"/>
              <w:tr2bl w:val="nil"/>
            </w:tcBorders>
            <w:noWrap w:val="0"/>
            <w:vAlign w:val="center"/>
          </w:tcPr>
          <w:p w14:paraId="2F6258F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废气污染防治措施：采用湿式凿岩、爆破后作业面洒水喷雾除尘、风机井下通风，路面</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洒水抑尘、路面碎石铺设等</w:t>
            </w:r>
          </w:p>
        </w:tc>
        <w:tc>
          <w:tcPr>
            <w:tcW w:w="872" w:type="pct"/>
            <w:tcBorders>
              <w:tl2br w:val="nil"/>
              <w:tr2bl w:val="nil"/>
            </w:tcBorders>
            <w:shd w:val="clear" w:color="auto" w:fill="auto"/>
            <w:noWrap w:val="0"/>
            <w:vAlign w:val="center"/>
          </w:tcPr>
          <w:p w14:paraId="23B88D77">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不变</w:t>
            </w:r>
          </w:p>
        </w:tc>
        <w:tc>
          <w:tcPr>
            <w:tcW w:w="337" w:type="pct"/>
            <w:tcBorders>
              <w:tl2br w:val="nil"/>
              <w:tr2bl w:val="nil"/>
            </w:tcBorders>
            <w:noWrap w:val="0"/>
            <w:vAlign w:val="center"/>
          </w:tcPr>
          <w:p w14:paraId="09232FB6">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tr w14:paraId="53E40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continue"/>
            <w:tcBorders>
              <w:tl2br w:val="nil"/>
              <w:tr2bl w:val="nil"/>
            </w:tcBorders>
            <w:noWrap w:val="0"/>
            <w:vAlign w:val="center"/>
          </w:tcPr>
          <w:p w14:paraId="3B619257">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bookmarkStart w:id="35" w:name="OLE_LINK302" w:colFirst="1" w:colLast="1"/>
            <w:bookmarkStart w:id="36" w:name="OLE_LINK299" w:colFirst="1" w:colLast="3"/>
          </w:p>
        </w:tc>
        <w:tc>
          <w:tcPr>
            <w:tcW w:w="366" w:type="pct"/>
            <w:vMerge w:val="continue"/>
            <w:tcBorders>
              <w:tl2br w:val="nil"/>
              <w:tr2bl w:val="nil"/>
            </w:tcBorders>
            <w:noWrap w:val="0"/>
            <w:vAlign w:val="center"/>
          </w:tcPr>
          <w:p w14:paraId="6DC6713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p>
        </w:tc>
        <w:tc>
          <w:tcPr>
            <w:tcW w:w="1354" w:type="pct"/>
            <w:tcBorders>
              <w:tl2br w:val="nil"/>
              <w:tr2bl w:val="nil"/>
            </w:tcBorders>
            <w:shd w:val="clear" w:color="auto" w:fill="auto"/>
            <w:noWrap w:val="0"/>
            <w:vAlign w:val="center"/>
          </w:tcPr>
          <w:p w14:paraId="4D314DF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废水污染防治措施：</w:t>
            </w:r>
            <w:r>
              <w:rPr>
                <w:rFonts w:hint="eastAsia" w:cs="Times New Roman"/>
                <w:color w:val="000000" w:themeColor="text1"/>
                <w:kern w:val="0"/>
                <w:szCs w:val="21"/>
                <w:lang w:val="en-US" w:eastAsia="zh-CN"/>
                <w14:textFill>
                  <w14:solidFill>
                    <w14:schemeClr w14:val="tx1"/>
                  </w14:solidFill>
                </w14:textFill>
              </w:rPr>
              <w:t>生活污水采用</w:t>
            </w:r>
            <w:r>
              <w:rPr>
                <w:rFonts w:hint="eastAsia" w:ascii="Times New Roman" w:hAnsi="Times New Roman" w:cs="Times New Roman"/>
                <w:color w:val="000000" w:themeColor="text1"/>
                <w:kern w:val="0"/>
                <w:szCs w:val="21"/>
                <w14:textFill>
                  <w14:solidFill>
                    <w14:schemeClr w14:val="tx1"/>
                  </w14:solidFill>
                </w14:textFill>
              </w:rPr>
              <w:t>地埋式一体化污水处理设备</w:t>
            </w:r>
            <w:r>
              <w:rPr>
                <w:rFonts w:hint="eastAsia" w:cs="Times New Roman"/>
                <w:color w:val="000000" w:themeColor="text1"/>
                <w:kern w:val="0"/>
                <w:szCs w:val="21"/>
                <w:lang w:val="en-US" w:eastAsia="zh-CN"/>
                <w14:textFill>
                  <w14:solidFill>
                    <w14:schemeClr w14:val="tx1"/>
                  </w14:solidFill>
                </w14:textFill>
              </w:rPr>
              <w:t>处理后用于生活区绿化，冬季贮存不外排，作为来年绿化用水。矿井涌水汇集到中心水仓，通过水泵抽送至地面，供选矿循环使用，不外排</w:t>
            </w:r>
          </w:p>
        </w:tc>
        <w:tc>
          <w:tcPr>
            <w:tcW w:w="1858" w:type="pct"/>
            <w:tcBorders>
              <w:tl2br w:val="nil"/>
              <w:tr2bl w:val="nil"/>
            </w:tcBorders>
            <w:shd w:val="clear" w:color="auto" w:fill="auto"/>
            <w:noWrap w:val="0"/>
            <w:vAlign w:val="center"/>
          </w:tcPr>
          <w:p w14:paraId="6AF4CD4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废水污染防治措施：</w:t>
            </w:r>
            <w:r>
              <w:rPr>
                <w:rFonts w:hint="eastAsia" w:ascii="Times New Roman" w:hAnsi="Times New Roman" w:cs="Times New Roman"/>
                <w:color w:val="000000" w:themeColor="text1"/>
                <w:kern w:val="0"/>
                <w:szCs w:val="21"/>
                <w14:textFill>
                  <w14:solidFill>
                    <w14:schemeClr w14:val="tx1"/>
                  </w14:solidFill>
                </w14:textFill>
              </w:rPr>
              <w:t>生活污水经地埋式一体化污水处理设备处理满足《农村生活污水处理排放标准》（DB65 4275-2019）中A级标准后，灌溉期全部用于矿区绿化，非灌溉期输送至选厂生产使用</w:t>
            </w:r>
            <w:r>
              <w:rPr>
                <w:rFonts w:hint="eastAsia" w:cs="Times New Roman"/>
                <w:color w:val="000000" w:themeColor="text1"/>
                <w:kern w:val="0"/>
                <w:szCs w:val="21"/>
                <w:lang w:eastAsia="zh-CN"/>
                <w14:textFill>
                  <w14:solidFill>
                    <w14:schemeClr w14:val="tx1"/>
                  </w14:solidFill>
                </w14:textFill>
              </w:rPr>
              <w:t>。矿井涌水经混凝沉淀处理后，一部分用于采矿生产用水、工业场地及道路降尘等，其余泵送至选厂生产新水水池供生产使用，不外排</w:t>
            </w:r>
          </w:p>
        </w:tc>
        <w:tc>
          <w:tcPr>
            <w:tcW w:w="872" w:type="pct"/>
            <w:tcBorders>
              <w:tl2br w:val="nil"/>
              <w:tr2bl w:val="nil"/>
            </w:tcBorders>
            <w:shd w:val="clear" w:color="auto" w:fill="auto"/>
            <w:noWrap w:val="0"/>
            <w:vAlign w:val="center"/>
          </w:tcPr>
          <w:p w14:paraId="29FA7901">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优化了废水污染防治措施，未导致不利环境影响加重</w:t>
            </w:r>
          </w:p>
        </w:tc>
        <w:tc>
          <w:tcPr>
            <w:tcW w:w="337" w:type="pct"/>
            <w:tcBorders>
              <w:tl2br w:val="nil"/>
              <w:tr2bl w:val="nil"/>
            </w:tcBorders>
            <w:noWrap w:val="0"/>
            <w:vAlign w:val="center"/>
          </w:tcPr>
          <w:p w14:paraId="162B3109">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bookmarkEnd w:id="33"/>
      <w:bookmarkEnd w:id="34"/>
      <w:bookmarkEnd w:id="35"/>
      <w:tr w14:paraId="3A746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600458E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bookmarkStart w:id="37" w:name="OLE_LINK295" w:colFirst="2" w:colLast="2"/>
            <w:r>
              <w:rPr>
                <w:rFonts w:hint="eastAsia" w:ascii="Times New Roman" w:hAnsi="Times New Roman" w:eastAsia="宋体"/>
                <w:color w:val="000000" w:themeColor="text1"/>
                <w:sz w:val="21"/>
                <w:highlight w:val="none"/>
                <w:lang w:val="en-US" w:eastAsia="zh-CN"/>
                <w14:textFill>
                  <w14:solidFill>
                    <w14:schemeClr w14:val="tx1"/>
                  </w14:solidFill>
                </w14:textFill>
              </w:rPr>
              <w:t>9</w:t>
            </w:r>
          </w:p>
        </w:tc>
        <w:tc>
          <w:tcPr>
            <w:tcW w:w="366" w:type="pct"/>
            <w:vMerge w:val="continue"/>
            <w:tcBorders>
              <w:tl2br w:val="nil"/>
              <w:tr2bl w:val="nil"/>
            </w:tcBorders>
            <w:noWrap w:val="0"/>
            <w:vAlign w:val="center"/>
          </w:tcPr>
          <w:p w14:paraId="626BC5B0">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p>
        </w:tc>
        <w:tc>
          <w:tcPr>
            <w:tcW w:w="1354" w:type="pct"/>
            <w:tcBorders>
              <w:tl2br w:val="nil"/>
              <w:tr2bl w:val="nil"/>
            </w:tcBorders>
            <w:noWrap w:val="0"/>
            <w:vAlign w:val="center"/>
          </w:tcPr>
          <w:p w14:paraId="5CDCE3DD">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废水不外排，无废水排放口</w:t>
            </w:r>
          </w:p>
        </w:tc>
        <w:tc>
          <w:tcPr>
            <w:tcW w:w="1858" w:type="pct"/>
            <w:tcBorders>
              <w:tl2br w:val="nil"/>
              <w:tr2bl w:val="nil"/>
            </w:tcBorders>
            <w:noWrap w:val="0"/>
            <w:vAlign w:val="center"/>
          </w:tcPr>
          <w:p w14:paraId="092FE2F6">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废水不外排，无废水排放口</w:t>
            </w:r>
          </w:p>
        </w:tc>
        <w:tc>
          <w:tcPr>
            <w:tcW w:w="872" w:type="pct"/>
            <w:tcBorders>
              <w:tl2br w:val="nil"/>
              <w:tr2bl w:val="nil"/>
            </w:tcBorders>
            <w:shd w:val="clear" w:color="auto" w:fill="auto"/>
            <w:noWrap w:val="0"/>
            <w:vAlign w:val="center"/>
          </w:tcPr>
          <w:p w14:paraId="1CB8A93E">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不变</w:t>
            </w:r>
          </w:p>
        </w:tc>
        <w:tc>
          <w:tcPr>
            <w:tcW w:w="337" w:type="pct"/>
            <w:tcBorders>
              <w:tl2br w:val="nil"/>
              <w:tr2bl w:val="nil"/>
            </w:tcBorders>
            <w:shd w:val="clear" w:color="auto" w:fill="auto"/>
            <w:noWrap w:val="0"/>
            <w:vAlign w:val="center"/>
          </w:tcPr>
          <w:p w14:paraId="380E703A">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default" w:ascii="Times New Roman" w:hAnsi="Times New Roman" w:eastAsia="宋体" w:cs="Calibri"/>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bookmarkEnd w:id="36"/>
      <w:tr w14:paraId="493AC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5077B89E">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10</w:t>
            </w:r>
          </w:p>
        </w:tc>
        <w:tc>
          <w:tcPr>
            <w:tcW w:w="366" w:type="pct"/>
            <w:vMerge w:val="continue"/>
            <w:tcBorders>
              <w:tl2br w:val="nil"/>
              <w:tr2bl w:val="nil"/>
            </w:tcBorders>
            <w:noWrap w:val="0"/>
            <w:vAlign w:val="center"/>
          </w:tcPr>
          <w:p w14:paraId="07A52107">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p>
        </w:tc>
        <w:tc>
          <w:tcPr>
            <w:tcW w:w="1354" w:type="pct"/>
            <w:tcBorders>
              <w:tl2br w:val="nil"/>
              <w:tr2bl w:val="nil"/>
            </w:tcBorders>
            <w:noWrap w:val="0"/>
            <w:vAlign w:val="center"/>
          </w:tcPr>
          <w:p w14:paraId="0839106A">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无废气排放口</w:t>
            </w:r>
          </w:p>
        </w:tc>
        <w:tc>
          <w:tcPr>
            <w:tcW w:w="1858" w:type="pct"/>
            <w:tcBorders>
              <w:tl2br w:val="nil"/>
              <w:tr2bl w:val="nil"/>
            </w:tcBorders>
            <w:noWrap w:val="0"/>
            <w:vAlign w:val="center"/>
          </w:tcPr>
          <w:p w14:paraId="0649EA25">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无废气排放口</w:t>
            </w:r>
          </w:p>
        </w:tc>
        <w:tc>
          <w:tcPr>
            <w:tcW w:w="872" w:type="pct"/>
            <w:tcBorders>
              <w:tl2br w:val="nil"/>
              <w:tr2bl w:val="nil"/>
            </w:tcBorders>
            <w:shd w:val="clear" w:color="auto" w:fill="auto"/>
            <w:noWrap w:val="0"/>
            <w:vAlign w:val="center"/>
          </w:tcPr>
          <w:p w14:paraId="5295269C">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不变</w:t>
            </w:r>
          </w:p>
        </w:tc>
        <w:tc>
          <w:tcPr>
            <w:tcW w:w="337" w:type="pct"/>
            <w:tcBorders>
              <w:tl2br w:val="nil"/>
              <w:tr2bl w:val="nil"/>
            </w:tcBorders>
            <w:shd w:val="clear" w:color="auto" w:fill="auto"/>
            <w:noWrap w:val="0"/>
            <w:vAlign w:val="center"/>
          </w:tcPr>
          <w:p w14:paraId="25DEBBEE">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default" w:ascii="Times New Roman" w:hAnsi="Times New Roman" w:eastAsia="宋体" w:cs="Calibri"/>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bookmarkEnd w:id="37"/>
      <w:tr w14:paraId="4C08F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restart"/>
            <w:tcBorders>
              <w:tl2br w:val="nil"/>
              <w:tr2bl w:val="nil"/>
            </w:tcBorders>
            <w:noWrap w:val="0"/>
            <w:vAlign w:val="center"/>
          </w:tcPr>
          <w:p w14:paraId="005A1669">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bookmarkStart w:id="38" w:name="OLE_LINK296" w:colFirst="2" w:colLast="2"/>
            <w:bookmarkStart w:id="39" w:name="OLE_LINK325" w:colFirst="3" w:colLast="3"/>
            <w:r>
              <w:rPr>
                <w:rFonts w:hint="eastAsia" w:ascii="Times New Roman" w:hAnsi="Times New Roman" w:eastAsia="宋体"/>
                <w:color w:val="000000" w:themeColor="text1"/>
                <w:sz w:val="21"/>
                <w:highlight w:val="none"/>
                <w:lang w:val="en-US" w:eastAsia="zh-CN"/>
                <w14:textFill>
                  <w14:solidFill>
                    <w14:schemeClr w14:val="tx1"/>
                  </w14:solidFill>
                </w14:textFill>
              </w:rPr>
              <w:t>11</w:t>
            </w:r>
          </w:p>
        </w:tc>
        <w:tc>
          <w:tcPr>
            <w:tcW w:w="366" w:type="pct"/>
            <w:vMerge w:val="continue"/>
            <w:tcBorders>
              <w:tl2br w:val="nil"/>
              <w:tr2bl w:val="nil"/>
            </w:tcBorders>
            <w:noWrap w:val="0"/>
            <w:vAlign w:val="center"/>
          </w:tcPr>
          <w:p w14:paraId="36B3A076">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p>
        </w:tc>
        <w:tc>
          <w:tcPr>
            <w:tcW w:w="1354" w:type="pct"/>
            <w:tcBorders>
              <w:tl2br w:val="nil"/>
              <w:tr2bl w:val="nil"/>
            </w:tcBorders>
            <w:noWrap w:val="0"/>
            <w:vAlign w:val="center"/>
          </w:tcPr>
          <w:p w14:paraId="4BAB13D6">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噪声措施：采用低噪声设备，对噪声源进行隔声、设置减振装置</w:t>
            </w:r>
          </w:p>
        </w:tc>
        <w:tc>
          <w:tcPr>
            <w:tcW w:w="1858" w:type="pct"/>
            <w:tcBorders>
              <w:tl2br w:val="nil"/>
              <w:tr2bl w:val="nil"/>
            </w:tcBorders>
            <w:noWrap w:val="0"/>
            <w:vAlign w:val="center"/>
          </w:tcPr>
          <w:p w14:paraId="732B996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噪声措施：采用低噪声设备，对噪声源进行隔声、设置减振装置</w:t>
            </w:r>
          </w:p>
        </w:tc>
        <w:tc>
          <w:tcPr>
            <w:tcW w:w="872" w:type="pct"/>
            <w:tcBorders>
              <w:tl2br w:val="nil"/>
              <w:tr2bl w:val="nil"/>
            </w:tcBorders>
            <w:shd w:val="clear" w:color="auto" w:fill="auto"/>
            <w:noWrap w:val="0"/>
            <w:vAlign w:val="center"/>
          </w:tcPr>
          <w:p w14:paraId="2F6860AE">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不变</w:t>
            </w:r>
          </w:p>
        </w:tc>
        <w:tc>
          <w:tcPr>
            <w:tcW w:w="337" w:type="pct"/>
            <w:tcBorders>
              <w:tl2br w:val="nil"/>
              <w:tr2bl w:val="nil"/>
            </w:tcBorders>
            <w:shd w:val="clear" w:color="auto" w:fill="auto"/>
            <w:noWrap w:val="0"/>
            <w:vAlign w:val="center"/>
          </w:tcPr>
          <w:p w14:paraId="4FF409EE">
            <w:pPr>
              <w:pStyle w:val="183"/>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textAlignment w:val="auto"/>
              <w:rPr>
                <w:rFonts w:hint="eastAsia" w:ascii="Times New Roman" w:hAnsi="Times New Roman" w:eastAsia="宋体" w:cs="Calibri"/>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tr w14:paraId="6F3E5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continue"/>
            <w:tcBorders>
              <w:tl2br w:val="nil"/>
              <w:tr2bl w:val="nil"/>
            </w:tcBorders>
            <w:noWrap w:val="0"/>
            <w:vAlign w:val="center"/>
          </w:tcPr>
          <w:p w14:paraId="39973F3C">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p>
        </w:tc>
        <w:tc>
          <w:tcPr>
            <w:tcW w:w="366" w:type="pct"/>
            <w:vMerge w:val="continue"/>
            <w:tcBorders>
              <w:tl2br w:val="nil"/>
              <w:tr2bl w:val="nil"/>
            </w:tcBorders>
            <w:noWrap w:val="0"/>
            <w:vAlign w:val="center"/>
          </w:tcPr>
          <w:p w14:paraId="01624A1C">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color w:val="000000" w:themeColor="text1"/>
                <w:sz w:val="21"/>
                <w:highlight w:val="none"/>
                <w:lang w:val="en-US" w:eastAsia="zh-CN"/>
                <w14:textFill>
                  <w14:solidFill>
                    <w14:schemeClr w14:val="tx1"/>
                  </w14:solidFill>
                </w14:textFill>
              </w:rPr>
            </w:pPr>
          </w:p>
        </w:tc>
        <w:tc>
          <w:tcPr>
            <w:tcW w:w="1354" w:type="pct"/>
            <w:tcBorders>
              <w:tl2br w:val="nil"/>
              <w:tr2bl w:val="nil"/>
            </w:tcBorders>
            <w:noWrap w:val="0"/>
            <w:vAlign w:val="center"/>
          </w:tcPr>
          <w:p w14:paraId="69E60FA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土壤及地下水污染防治措施：无</w:t>
            </w:r>
          </w:p>
        </w:tc>
        <w:tc>
          <w:tcPr>
            <w:tcW w:w="1858" w:type="pct"/>
            <w:tcBorders>
              <w:tl2br w:val="nil"/>
              <w:tr2bl w:val="nil"/>
            </w:tcBorders>
            <w:noWrap w:val="0"/>
            <w:vAlign w:val="center"/>
          </w:tcPr>
          <w:p w14:paraId="7295D74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土壤及地下水污染防治措施：采取地下水及土壤跟踪监测措施、源头控制措施、过程防控措施、分区防渗措施</w:t>
            </w:r>
          </w:p>
        </w:tc>
        <w:tc>
          <w:tcPr>
            <w:tcW w:w="872" w:type="pct"/>
            <w:tcBorders>
              <w:tl2br w:val="nil"/>
              <w:tr2bl w:val="nil"/>
            </w:tcBorders>
            <w:shd w:val="clear" w:color="auto" w:fill="auto"/>
            <w:noWrap w:val="0"/>
            <w:vAlign w:val="center"/>
          </w:tcPr>
          <w:p w14:paraId="5CCBE61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t>优化了</w:t>
            </w: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土壤及地下水污染防治措施</w:t>
            </w:r>
          </w:p>
        </w:tc>
        <w:tc>
          <w:tcPr>
            <w:tcW w:w="337" w:type="pct"/>
            <w:tcBorders>
              <w:tl2br w:val="nil"/>
              <w:tr2bl w:val="nil"/>
            </w:tcBorders>
            <w:noWrap w:val="0"/>
            <w:vAlign w:val="center"/>
          </w:tcPr>
          <w:p w14:paraId="662F2BD7">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bookmarkEnd w:id="38"/>
      <w:bookmarkEnd w:id="39"/>
      <w:tr w14:paraId="5DD46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7F63A57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12</w:t>
            </w:r>
          </w:p>
        </w:tc>
        <w:tc>
          <w:tcPr>
            <w:tcW w:w="366" w:type="pct"/>
            <w:vMerge w:val="continue"/>
            <w:tcBorders>
              <w:tl2br w:val="nil"/>
              <w:tr2bl w:val="nil"/>
            </w:tcBorders>
            <w:noWrap w:val="0"/>
            <w:vAlign w:val="center"/>
          </w:tcPr>
          <w:p w14:paraId="01A23E66">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highlight w:val="none"/>
                <w14:textFill>
                  <w14:solidFill>
                    <w14:schemeClr w14:val="tx1"/>
                  </w14:solidFill>
                </w14:textFill>
              </w:rPr>
            </w:pPr>
          </w:p>
        </w:tc>
        <w:tc>
          <w:tcPr>
            <w:tcW w:w="1354" w:type="pct"/>
            <w:tcBorders>
              <w:tl2br w:val="nil"/>
              <w:tr2bl w:val="nil"/>
            </w:tcBorders>
            <w:noWrap w:val="0"/>
            <w:vAlign w:val="center"/>
          </w:tcPr>
          <w:p w14:paraId="5ECEAA89">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固体废物处置方式：生活垃圾定点堆放，有效处置；废石堆存于废石堆场</w:t>
            </w:r>
          </w:p>
        </w:tc>
        <w:tc>
          <w:tcPr>
            <w:tcW w:w="1858" w:type="pct"/>
            <w:tcBorders>
              <w:tl2br w:val="nil"/>
              <w:tr2bl w:val="nil"/>
            </w:tcBorders>
            <w:noWrap w:val="0"/>
            <w:vAlign w:val="center"/>
          </w:tcPr>
          <w:p w14:paraId="493A322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固体废物处置方式：</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生活垃圾集中收集，拉运至雅满苏镇生活垃圾填埋场处置；污水站污泥集中收集，拉运至雅满苏镇生活垃圾填埋场处置；废石堆存于废石堆场，定期洒水，压实平整处理，待沉稳后回填井下采空区；沉淀池底泥堆存于废石堆场，回填于采空区或综合利用；废矿物油、废油桶收集至矿区防渗危废贮存点，定期委托有危废处置资质的单位回收</w:t>
            </w:r>
          </w:p>
        </w:tc>
        <w:tc>
          <w:tcPr>
            <w:tcW w:w="872" w:type="pct"/>
            <w:tcBorders>
              <w:tl2br w:val="nil"/>
              <w:tr2bl w:val="nil"/>
            </w:tcBorders>
            <w:shd w:val="clear" w:color="auto" w:fill="auto"/>
            <w:noWrap w:val="0"/>
            <w:vAlign w:val="center"/>
          </w:tcPr>
          <w:p w14:paraId="33D1373C">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t>优化了</w:t>
            </w: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固体废物处置方式，未导致不利环境影响加重</w:t>
            </w:r>
          </w:p>
        </w:tc>
        <w:tc>
          <w:tcPr>
            <w:tcW w:w="337" w:type="pct"/>
            <w:tcBorders>
              <w:tl2br w:val="nil"/>
              <w:tr2bl w:val="nil"/>
            </w:tcBorders>
            <w:noWrap w:val="0"/>
            <w:vAlign w:val="center"/>
          </w:tcPr>
          <w:p w14:paraId="0B6594D7">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tr w14:paraId="3FF13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tcBorders>
              <w:tl2br w:val="nil"/>
              <w:tr2bl w:val="nil"/>
            </w:tcBorders>
            <w:noWrap w:val="0"/>
            <w:vAlign w:val="center"/>
          </w:tcPr>
          <w:p w14:paraId="13D482A0">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eastAsia="宋体"/>
                <w:color w:val="000000" w:themeColor="text1"/>
                <w:sz w:val="21"/>
                <w:highlight w:val="none"/>
                <w:lang w:val="en-US" w:eastAsia="zh-CN"/>
                <w14:textFill>
                  <w14:solidFill>
                    <w14:schemeClr w14:val="tx1"/>
                  </w14:solidFill>
                </w14:textFill>
              </w:rPr>
              <w:t>13</w:t>
            </w:r>
          </w:p>
        </w:tc>
        <w:tc>
          <w:tcPr>
            <w:tcW w:w="366" w:type="pct"/>
            <w:vMerge w:val="continue"/>
            <w:tcBorders>
              <w:tl2br w:val="nil"/>
              <w:tr2bl w:val="nil"/>
            </w:tcBorders>
            <w:noWrap w:val="0"/>
            <w:vAlign w:val="center"/>
          </w:tcPr>
          <w:p w14:paraId="2CE9F7A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highlight w:val="none"/>
                <w14:textFill>
                  <w14:solidFill>
                    <w14:schemeClr w14:val="tx1"/>
                  </w14:solidFill>
                </w14:textFill>
              </w:rPr>
            </w:pPr>
          </w:p>
        </w:tc>
        <w:tc>
          <w:tcPr>
            <w:tcW w:w="1354" w:type="pct"/>
            <w:tcBorders>
              <w:tl2br w:val="nil"/>
              <w:tr2bl w:val="nil"/>
            </w:tcBorders>
            <w:noWrap w:val="0"/>
            <w:vAlign w:val="center"/>
          </w:tcPr>
          <w:p w14:paraId="6C4672C0">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事故废水暂存能力或拦截设施：无</w:t>
            </w:r>
          </w:p>
        </w:tc>
        <w:tc>
          <w:tcPr>
            <w:tcW w:w="1858" w:type="pct"/>
            <w:tcBorders>
              <w:tl2br w:val="nil"/>
              <w:tr2bl w:val="nil"/>
            </w:tcBorders>
            <w:noWrap w:val="0"/>
            <w:vAlign w:val="center"/>
          </w:tcPr>
          <w:p w14:paraId="642464F3">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t>项目区设置有800m</w:t>
            </w:r>
            <w:r>
              <w:rPr>
                <w:rFonts w:hint="default" w:ascii="Times New Roman" w:hAnsi="Times New Roman" w:eastAsia="宋体"/>
                <w:b w:val="0"/>
                <w:bCs w:val="0"/>
                <w:color w:val="000000" w:themeColor="text1"/>
                <w:sz w:val="21"/>
                <w:highlight w:val="none"/>
                <w:vertAlign w:val="superscript"/>
                <w:lang w:val="en-US" w:eastAsia="zh-CN"/>
                <w14:textFill>
                  <w14:solidFill>
                    <w14:schemeClr w14:val="tx1"/>
                  </w14:solidFill>
                </w14:textFill>
              </w:rPr>
              <w:t>3</w:t>
            </w:r>
            <w:r>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t>蓄水收集池，</w:t>
            </w: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用于</w:t>
            </w:r>
            <w:r>
              <w:rPr>
                <w:rFonts w:hint="default" w:ascii="Times New Roman" w:hAnsi="Times New Roman" w:eastAsia="宋体"/>
                <w:b w:val="0"/>
                <w:bCs w:val="0"/>
                <w:color w:val="000000" w:themeColor="text1"/>
                <w:sz w:val="21"/>
                <w:highlight w:val="none"/>
                <w:lang w:val="en-US" w:eastAsia="zh-CN"/>
                <w14:textFill>
                  <w14:solidFill>
                    <w14:schemeClr w14:val="tx1"/>
                  </w14:solidFill>
                </w14:textFill>
              </w:rPr>
              <w:t>收集</w:t>
            </w: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事故涌水</w:t>
            </w:r>
          </w:p>
        </w:tc>
        <w:tc>
          <w:tcPr>
            <w:tcW w:w="872" w:type="pct"/>
            <w:tcBorders>
              <w:tl2br w:val="nil"/>
              <w:tr2bl w:val="nil"/>
            </w:tcBorders>
            <w:shd w:val="clear" w:color="auto" w:fill="auto"/>
            <w:noWrap w:val="0"/>
            <w:vAlign w:val="center"/>
          </w:tcPr>
          <w:p w14:paraId="097E7FF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宋体"/>
                <w:snapToGrid w:val="0"/>
                <w:color w:val="000000" w:themeColor="text1"/>
                <w:kern w:val="0"/>
                <w:sz w:val="21"/>
                <w:szCs w:val="24"/>
                <w:highlight w:val="none"/>
                <w:lang w:val="en-US" w:eastAsia="zh-CN" w:bidi="ar-SA"/>
                <w14:textFill>
                  <w14:solidFill>
                    <w14:schemeClr w14:val="tx1"/>
                  </w14:solidFill>
                </w14:textFill>
              </w:rPr>
              <w:t>优化了</w:t>
            </w: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事故废水暂存能力或拦截设施</w:t>
            </w:r>
          </w:p>
        </w:tc>
        <w:tc>
          <w:tcPr>
            <w:tcW w:w="337" w:type="pct"/>
            <w:tcBorders>
              <w:tl2br w:val="nil"/>
              <w:tr2bl w:val="nil"/>
            </w:tcBorders>
            <w:noWrap w:val="0"/>
            <w:vAlign w:val="center"/>
          </w:tcPr>
          <w:p w14:paraId="456A97D1">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bCs w:val="0"/>
                <w:snapToGrid w:val="0"/>
                <w:color w:val="000000" w:themeColor="text1"/>
                <w:kern w:val="0"/>
                <w:sz w:val="21"/>
                <w:szCs w:val="24"/>
                <w:highlight w:val="none"/>
                <w:lang w:val="en-US" w:eastAsia="zh-CN" w:bidi="ar-SA"/>
                <w14:textFill>
                  <w14:solidFill>
                    <w14:schemeClr w14:val="tx1"/>
                  </w14:solidFill>
                </w14:textFill>
              </w:rPr>
              <w:t>否</w:t>
            </w:r>
          </w:p>
        </w:tc>
      </w:tr>
      <w:bookmarkEnd w:id="29"/>
      <w:bookmarkEnd w:id="30"/>
    </w:tbl>
    <w:p w14:paraId="47D563D5">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cs="Times New Roman"/>
          <w:color w:val="000000" w:themeColor="text1"/>
          <w:spacing w:val="0"/>
          <w:w w:val="100"/>
          <w:position w:val="0"/>
          <w:sz w:val="24"/>
          <w:szCs w:val="24"/>
          <w:highlight w:val="none"/>
          <w:lang w:val="en-US" w:eastAsia="zh-CN"/>
          <w14:textFill>
            <w14:solidFill>
              <w14:schemeClr w14:val="tx1"/>
            </w14:solidFill>
          </w14:textFill>
        </w:rPr>
      </w:pPr>
    </w:p>
    <w:p w14:paraId="4E57A4A8">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default" w:cs="Times New Roman"/>
          <w:color w:val="000000" w:themeColor="text1"/>
          <w:spacing w:val="0"/>
          <w:w w:val="100"/>
          <w:position w:val="0"/>
          <w:sz w:val="24"/>
          <w:szCs w:val="24"/>
          <w:highlight w:val="none"/>
          <w:lang w:val="en-US" w:eastAsia="zh-CN"/>
          <w14:textFill>
            <w14:solidFill>
              <w14:schemeClr w14:val="tx1"/>
            </w14:solidFill>
          </w14:textFill>
        </w:rPr>
        <w:sectPr>
          <w:footerReference r:id="rId16" w:type="default"/>
          <w:footerReference r:id="rId17" w:type="even"/>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2D9D896">
      <w:pPr>
        <w:pStyle w:val="4"/>
        <w:spacing w:before="60" w:after="60" w:line="480" w:lineRule="exact"/>
        <w:rPr>
          <w:color w:val="000000" w:themeColor="text1"/>
          <w:kern w:val="2"/>
          <w14:textFill>
            <w14:solidFill>
              <w14:schemeClr w14:val="tx1"/>
            </w14:solidFill>
          </w14:textFill>
        </w:rPr>
      </w:pPr>
      <w:bookmarkStart w:id="40" w:name="_Toc30031"/>
      <w:r>
        <w:rPr>
          <w:rFonts w:hint="eastAsia"/>
          <w:color w:val="000000" w:themeColor="text1"/>
          <w:kern w:val="2"/>
          <w14:textFill>
            <w14:solidFill>
              <w14:schemeClr w14:val="tx1"/>
            </w14:solidFill>
          </w14:textFill>
        </w:rPr>
        <w:t>1.1.2</w:t>
      </w:r>
      <w:r>
        <w:rPr>
          <w:color w:val="000000" w:themeColor="text1"/>
          <w:kern w:val="2"/>
          <w14:textFill>
            <w14:solidFill>
              <w14:schemeClr w14:val="tx1"/>
            </w14:solidFill>
          </w14:textFill>
        </w:rPr>
        <w:t>项目特点</w:t>
      </w:r>
      <w:bookmarkEnd w:id="40"/>
    </w:p>
    <w:p w14:paraId="6C8BD81D">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）哈密市西成矿业有限责任公司M1033矿年产30万吨铁矿采矿建设项目（重大变动）</w:t>
      </w:r>
      <w:r>
        <w:rPr>
          <w:rFonts w:hint="eastAsia"/>
          <w:color w:val="000000" w:themeColor="text1"/>
          <w:sz w:val="24"/>
          <w:szCs w:val="24"/>
          <w:highlight w:val="none"/>
          <w14:textFill>
            <w14:solidFill>
              <w14:schemeClr w14:val="tx1"/>
            </w14:solidFill>
          </w14:textFill>
        </w:rPr>
        <w:t>（以下简称：本项目）建设性质为</w:t>
      </w:r>
      <w:r>
        <w:rPr>
          <w:rFonts w:hint="eastAsia"/>
          <w:color w:val="000000" w:themeColor="text1"/>
          <w:sz w:val="24"/>
          <w:szCs w:val="24"/>
          <w:highlight w:val="none"/>
          <w:lang w:val="en-US" w:eastAsia="zh-CN"/>
          <w14:textFill>
            <w14:solidFill>
              <w14:schemeClr w14:val="tx1"/>
            </w14:solidFill>
          </w14:textFill>
        </w:rPr>
        <w:t>新建</w:t>
      </w:r>
      <w:r>
        <w:rPr>
          <w:rFonts w:hint="eastAsia"/>
          <w:color w:val="000000" w:themeColor="text1"/>
          <w:sz w:val="24"/>
          <w:szCs w:val="24"/>
          <w:highlight w:val="none"/>
          <w14:textFill>
            <w14:solidFill>
              <w14:schemeClr w14:val="tx1"/>
            </w14:solidFill>
          </w14:textFill>
        </w:rPr>
        <w:t>。</w:t>
      </w:r>
    </w:p>
    <w:p w14:paraId="3E67FF1A">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按照开发利用方案，</w:t>
      </w:r>
      <w:r>
        <w:rPr>
          <w:rFonts w:hint="eastAsia"/>
          <w:color w:val="000000" w:themeColor="text1"/>
          <w:sz w:val="24"/>
          <w:szCs w:val="24"/>
          <w:highlight w:val="none"/>
          <w14:textFill>
            <w14:solidFill>
              <w14:schemeClr w14:val="tx1"/>
            </w14:solidFill>
          </w14:textFill>
        </w:rPr>
        <w:t>本项目</w:t>
      </w:r>
      <w:r>
        <w:rPr>
          <w:rFonts w:hint="eastAsia"/>
          <w:color w:val="000000" w:themeColor="text1"/>
          <w:sz w:val="24"/>
          <w:szCs w:val="24"/>
          <w14:textFill>
            <w14:solidFill>
              <w14:schemeClr w14:val="tx1"/>
            </w14:solidFill>
          </w14:textFill>
        </w:rPr>
        <w:t>生产能力为</w:t>
      </w:r>
      <w:r>
        <w:rPr>
          <w:color w:val="000000" w:themeColor="text1"/>
          <w:sz w:val="24"/>
          <w:szCs w:val="24"/>
          <w14:textFill>
            <w14:solidFill>
              <w14:schemeClr w14:val="tx1"/>
            </w14:solidFill>
          </w14:textFill>
        </w:rPr>
        <w:t>60</w:t>
      </w:r>
      <w:r>
        <w:rPr>
          <w:rFonts w:hint="eastAsia"/>
          <w:color w:val="000000" w:themeColor="text1"/>
          <w:sz w:val="24"/>
          <w:szCs w:val="24"/>
          <w14:textFill>
            <w14:solidFill>
              <w14:schemeClr w14:val="tx1"/>
            </w14:solidFill>
          </w14:textFill>
        </w:rPr>
        <w:t>万t/a矿石，块度≤350mm，产品方案为原矿石，开采标高为1240～900m，矿区面积1.0401km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，土地类型为其他草地、采矿用地、裸岩石砾地、公路用地。</w:t>
      </w:r>
      <w:r>
        <w:rPr>
          <w:rFonts w:hint="eastAsia"/>
          <w:color w:val="000000" w:themeColor="text1"/>
          <w:sz w:val="24"/>
          <w:szCs w:val="24"/>
          <w:lang w:val="en-US" w:eastAsia="zh-CN"/>
          <w14:textFill>
            <w14:solidFill>
              <w14:schemeClr w14:val="tx1"/>
            </w14:solidFill>
          </w14:textFill>
        </w:rPr>
        <w:t>矿山</w:t>
      </w:r>
      <w:r>
        <w:rPr>
          <w:rFonts w:hint="eastAsia"/>
          <w:color w:val="000000" w:themeColor="text1"/>
          <w:sz w:val="24"/>
          <w:szCs w:val="24"/>
          <w14:textFill>
            <w14:solidFill>
              <w14:schemeClr w14:val="tx1"/>
            </w14:solidFill>
          </w14:textFill>
        </w:rPr>
        <w:t>采用地下开采方式，生产服务年限</w:t>
      </w:r>
      <w:r>
        <w:rPr>
          <w:rFonts w:hint="eastAsia"/>
          <w:color w:val="000000" w:themeColor="text1"/>
          <w:sz w:val="24"/>
          <w:szCs w:val="24"/>
          <w:lang w:val="en-US" w:eastAsia="zh-CN"/>
          <w14:textFill>
            <w14:solidFill>
              <w14:schemeClr w14:val="tx1"/>
            </w14:solidFill>
          </w14:textFill>
        </w:rPr>
        <w:t>13.31</w:t>
      </w:r>
      <w:r>
        <w:rPr>
          <w:rFonts w:hint="eastAsia"/>
          <w:color w:val="000000" w:themeColor="text1"/>
          <w:sz w:val="24"/>
          <w:szCs w:val="24"/>
          <w14:textFill>
            <w14:solidFill>
              <w14:schemeClr w14:val="tx1"/>
            </w14:solidFill>
          </w14:textFill>
        </w:rPr>
        <w:t>a（约</w:t>
      </w:r>
      <w:r>
        <w:rPr>
          <w:rFonts w:hint="eastAsia"/>
          <w:color w:val="000000" w:themeColor="text1"/>
          <w:sz w:val="24"/>
          <w:szCs w:val="24"/>
          <w:lang w:val="en-US" w:eastAsia="zh-CN"/>
          <w14:textFill>
            <w14:solidFill>
              <w14:schemeClr w14:val="tx1"/>
            </w14:solidFill>
          </w14:textFill>
        </w:rPr>
        <w:t>13</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个月）。</w:t>
      </w:r>
      <w:r>
        <w:rPr>
          <w:rFonts w:hint="eastAsia"/>
          <w:color w:val="000000" w:themeColor="text1"/>
          <w:sz w:val="24"/>
          <w:szCs w:val="24"/>
          <w:highlight w:val="none"/>
          <w14:textFill>
            <w14:solidFill>
              <w14:schemeClr w14:val="tx1"/>
            </w14:solidFill>
          </w14:textFill>
        </w:rPr>
        <w:t>采矿方法为无底柱</w:t>
      </w:r>
      <w:r>
        <w:rPr>
          <w:rFonts w:hint="eastAsia"/>
          <w:color w:val="000000" w:themeColor="text1"/>
          <w:sz w:val="24"/>
          <w:szCs w:val="24"/>
          <w:highlight w:val="none"/>
          <w:lang w:val="en-US" w:eastAsia="zh-CN"/>
          <w14:textFill>
            <w14:solidFill>
              <w14:schemeClr w14:val="tx1"/>
            </w14:solidFill>
          </w14:textFill>
        </w:rPr>
        <w:t>分段崩落法</w:t>
      </w:r>
      <w:r>
        <w:rPr>
          <w:rFonts w:hint="eastAsia"/>
          <w:color w:val="000000" w:themeColor="text1"/>
          <w:sz w:val="24"/>
          <w:szCs w:val="24"/>
          <w:highlight w:val="none"/>
          <w14:textFill>
            <w14:solidFill>
              <w14:schemeClr w14:val="tx1"/>
            </w14:solidFill>
          </w14:textFill>
        </w:rPr>
        <w:t>，采矿回采率</w:t>
      </w:r>
      <w:r>
        <w:rPr>
          <w:rFonts w:hint="eastAsia"/>
          <w:color w:val="000000" w:themeColor="text1"/>
          <w:sz w:val="24"/>
          <w:szCs w:val="24"/>
          <w:highlight w:val="none"/>
          <w:lang w:val="en-US" w:eastAsia="zh-CN"/>
          <w14:textFill>
            <w14:solidFill>
              <w14:schemeClr w14:val="tx1"/>
            </w14:solidFill>
          </w14:textFill>
        </w:rPr>
        <w:t>85</w:t>
      </w:r>
      <w:r>
        <w:rPr>
          <w:rFonts w:hint="eastAsia"/>
          <w:color w:val="000000" w:themeColor="text1"/>
          <w:sz w:val="24"/>
          <w:szCs w:val="24"/>
          <w:highlight w:val="none"/>
          <w14:textFill>
            <w14:solidFill>
              <w14:schemeClr w14:val="tx1"/>
            </w14:solidFill>
          </w14:textFill>
        </w:rPr>
        <w:t>%，贫化率1</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14:textFill>
            <w14:solidFill>
              <w14:schemeClr w14:val="tx1"/>
            </w14:solidFill>
          </w14:textFill>
        </w:rPr>
        <w:t>采用竖井开拓方案。</w:t>
      </w:r>
      <w:r>
        <w:rPr>
          <w:rFonts w:hint="eastAsia"/>
          <w:color w:val="000000" w:themeColor="text1"/>
          <w:sz w:val="24"/>
          <w:szCs w:val="24"/>
          <w:lang w:val="en-US" w:eastAsia="zh-CN"/>
          <w14:textFill>
            <w14:solidFill>
              <w14:schemeClr w14:val="tx1"/>
            </w14:solidFill>
          </w14:textFill>
        </w:rPr>
        <w:t>本项目</w:t>
      </w:r>
      <w:r>
        <w:rPr>
          <w:rFonts w:hint="eastAsia"/>
          <w:color w:val="000000" w:themeColor="text1"/>
          <w:sz w:val="24"/>
          <w:szCs w:val="24"/>
          <w14:textFill>
            <w14:solidFill>
              <w14:schemeClr w14:val="tx1"/>
            </w14:solidFill>
          </w14:textFill>
        </w:rPr>
        <w:t>已建工程包括办公生活区、主竖井工业广场、副竖井工业广场、</w:t>
      </w:r>
      <w:r>
        <w:rPr>
          <w:rFonts w:hint="eastAsia"/>
          <w:color w:val="000000" w:themeColor="text1"/>
          <w:sz w:val="24"/>
          <w:szCs w:val="24"/>
          <w:lang w:val="en-US" w:eastAsia="zh-CN"/>
          <w14:textFill>
            <w14:solidFill>
              <w14:schemeClr w14:val="tx1"/>
            </w14:solidFill>
          </w14:textFill>
        </w:rPr>
        <w:t>变电站、</w:t>
      </w:r>
      <w:r>
        <w:rPr>
          <w:rFonts w:hint="eastAsia"/>
          <w:color w:val="000000" w:themeColor="text1"/>
          <w:sz w:val="24"/>
          <w:szCs w:val="24"/>
          <w14:textFill>
            <w14:solidFill>
              <w14:schemeClr w14:val="tx1"/>
            </w14:solidFill>
          </w14:textFill>
        </w:rPr>
        <w:t>选矿厂、尾矿库、爆破器材库、辅助生产区、</w:t>
      </w:r>
      <w:r>
        <w:rPr>
          <w:rFonts w:hint="eastAsia"/>
          <w:color w:val="000000" w:themeColor="text1"/>
          <w:sz w:val="24"/>
          <w:szCs w:val="24"/>
          <w:lang w:val="en-US" w:eastAsia="zh-CN"/>
          <w14:textFill>
            <w14:solidFill>
              <w14:schemeClr w14:val="tx1"/>
            </w14:solidFill>
          </w14:textFill>
        </w:rPr>
        <w:t>2处</w:t>
      </w:r>
      <w:r>
        <w:rPr>
          <w:rFonts w:hint="eastAsia"/>
          <w:color w:val="000000" w:themeColor="text1"/>
          <w:sz w:val="24"/>
          <w:szCs w:val="24"/>
          <w14:textFill>
            <w14:solidFill>
              <w14:schemeClr w14:val="tx1"/>
            </w14:solidFill>
          </w14:textFill>
        </w:rPr>
        <w:t>废石</w:t>
      </w:r>
      <w:r>
        <w:rPr>
          <w:rFonts w:hint="eastAsia"/>
          <w:color w:val="000000" w:themeColor="text1"/>
          <w:sz w:val="24"/>
          <w:szCs w:val="24"/>
          <w:lang w:val="en-US" w:eastAsia="zh-CN"/>
          <w14:textFill>
            <w14:solidFill>
              <w14:schemeClr w14:val="tx1"/>
            </w14:solidFill>
          </w14:textFill>
        </w:rPr>
        <w:t>堆场</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2处</w:t>
      </w:r>
      <w:r>
        <w:rPr>
          <w:rFonts w:hint="eastAsia"/>
          <w:color w:val="000000" w:themeColor="text1"/>
          <w:sz w:val="24"/>
          <w:szCs w:val="24"/>
          <w14:textFill>
            <w14:solidFill>
              <w14:schemeClr w14:val="tx1"/>
            </w14:solidFill>
          </w14:textFill>
        </w:rPr>
        <w:t>矿石</w:t>
      </w:r>
      <w:r>
        <w:rPr>
          <w:rFonts w:hint="eastAsia"/>
          <w:color w:val="000000" w:themeColor="text1"/>
          <w:sz w:val="24"/>
          <w:szCs w:val="24"/>
          <w:lang w:val="en-US" w:eastAsia="zh-CN"/>
          <w14:textFill>
            <w14:solidFill>
              <w14:schemeClr w14:val="tx1"/>
            </w14:solidFill>
          </w14:textFill>
        </w:rPr>
        <w:t>堆场</w:t>
      </w:r>
      <w:r>
        <w:rPr>
          <w:rFonts w:hint="eastAsia"/>
          <w:color w:val="000000" w:themeColor="text1"/>
          <w:sz w:val="24"/>
          <w:szCs w:val="24"/>
          <w14:textFill>
            <w14:solidFill>
              <w14:schemeClr w14:val="tx1"/>
            </w14:solidFill>
          </w14:textFill>
        </w:rPr>
        <w:t>、已建矿山道路，</w:t>
      </w:r>
      <w:r>
        <w:rPr>
          <w:rFonts w:hint="eastAsia"/>
          <w:color w:val="000000" w:themeColor="text1"/>
          <w:sz w:val="24"/>
          <w:szCs w:val="24"/>
          <w:highlight w:val="none"/>
          <w14:textFill>
            <w14:solidFill>
              <w14:schemeClr w14:val="tx1"/>
            </w14:solidFill>
          </w14:textFill>
        </w:rPr>
        <w:t>本次</w:t>
      </w:r>
      <w:r>
        <w:rPr>
          <w:rFonts w:hint="eastAsia"/>
          <w:color w:val="000000" w:themeColor="text1"/>
          <w:sz w:val="24"/>
          <w:szCs w:val="24"/>
          <w:highlight w:val="none"/>
          <w:lang w:eastAsia="zh-CN"/>
          <w14:textFill>
            <w14:solidFill>
              <w14:schemeClr w14:val="tx1"/>
            </w14:solidFill>
          </w14:textFill>
        </w:rPr>
        <w:t>建设内容</w:t>
      </w:r>
      <w:r>
        <w:rPr>
          <w:rFonts w:hint="eastAsia"/>
          <w:color w:val="000000" w:themeColor="text1"/>
          <w:sz w:val="24"/>
          <w:szCs w:val="24"/>
          <w:highlight w:val="none"/>
          <w14:textFill>
            <w14:solidFill>
              <w14:schemeClr w14:val="tx1"/>
            </w14:solidFill>
          </w14:textFill>
        </w:rPr>
        <w:t>包括</w:t>
      </w:r>
      <w:r>
        <w:rPr>
          <w:rFonts w:hint="eastAsia"/>
          <w:color w:val="000000" w:themeColor="text1"/>
          <w:sz w:val="24"/>
          <w:szCs w:val="24"/>
          <w:highlight w:val="none"/>
          <w:lang w:val="en-US" w:eastAsia="zh-CN"/>
          <w14:textFill>
            <w14:solidFill>
              <w14:schemeClr w14:val="tx1"/>
            </w14:solidFill>
          </w14:textFill>
        </w:rPr>
        <w:t>新建</w:t>
      </w:r>
      <w:r>
        <w:rPr>
          <w:rFonts w:hint="eastAsia"/>
          <w:color w:val="000000" w:themeColor="text1"/>
          <w:sz w:val="24"/>
          <w:szCs w:val="24"/>
          <w:highlight w:val="none"/>
          <w14:textFill>
            <w14:solidFill>
              <w14:schemeClr w14:val="tx1"/>
            </w14:solidFill>
          </w14:textFill>
        </w:rPr>
        <w:t>2处</w:t>
      </w:r>
      <w:r>
        <w:rPr>
          <w:rFonts w:hint="eastAsia"/>
          <w:color w:val="000000" w:themeColor="text1"/>
          <w:sz w:val="24"/>
          <w:szCs w:val="24"/>
          <w:highlight w:val="none"/>
          <w:lang w:eastAsia="zh-CN"/>
          <w14:textFill>
            <w14:solidFill>
              <w14:schemeClr w14:val="tx1"/>
            </w14:solidFill>
          </w14:textFill>
        </w:rPr>
        <w:t>废石堆场</w:t>
      </w:r>
      <w:r>
        <w:rPr>
          <w:rFonts w:hint="eastAsia"/>
          <w:color w:val="000000" w:themeColor="text1"/>
          <w:sz w:val="24"/>
          <w:szCs w:val="24"/>
          <w:highlight w:val="none"/>
          <w14:textFill>
            <w14:solidFill>
              <w14:schemeClr w14:val="tx1"/>
            </w14:solidFill>
          </w14:textFill>
        </w:rPr>
        <w:t>、2处西风井工业场地及</w:t>
      </w:r>
      <w:r>
        <w:rPr>
          <w:rFonts w:hint="eastAsia"/>
          <w:color w:val="000000" w:themeColor="text1"/>
          <w:sz w:val="24"/>
          <w:szCs w:val="24"/>
          <w:highlight w:val="none"/>
          <w:lang w:val="en-US" w:eastAsia="zh-CN"/>
          <w14:textFill>
            <w14:solidFill>
              <w14:schemeClr w14:val="tx1"/>
            </w14:solidFill>
          </w14:textFill>
        </w:rPr>
        <w:t>矿山</w:t>
      </w:r>
      <w:r>
        <w:rPr>
          <w:rFonts w:hint="eastAsia"/>
          <w:color w:val="000000" w:themeColor="text1"/>
          <w:sz w:val="24"/>
          <w:szCs w:val="24"/>
          <w:highlight w:val="none"/>
          <w14:textFill>
            <w14:solidFill>
              <w14:schemeClr w14:val="tx1"/>
            </w14:solidFill>
          </w14:textFill>
        </w:rPr>
        <w:t>道路。</w:t>
      </w:r>
    </w:p>
    <w:p w14:paraId="4FF0B1AE">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本</w:t>
      </w:r>
      <w:r>
        <w:rPr>
          <w:rFonts w:hint="eastAsia"/>
          <w:color w:val="000000" w:themeColor="text1"/>
          <w:sz w:val="24"/>
          <w:szCs w:val="24"/>
          <w14:textFill>
            <w14:solidFill>
              <w14:schemeClr w14:val="tx1"/>
            </w14:solidFill>
          </w14:textFill>
        </w:rPr>
        <w:t>项目建成后，矿区总占地面积4</w:t>
      </w:r>
      <w:r>
        <w:rPr>
          <w:color w:val="000000" w:themeColor="text1"/>
          <w:sz w:val="24"/>
          <w:szCs w:val="24"/>
          <w14:textFill>
            <w14:solidFill>
              <w14:schemeClr w14:val="tx1"/>
            </w14:solidFill>
          </w14:textFill>
        </w:rPr>
        <w:t>8.14</w:t>
      </w:r>
      <w:r>
        <w:rPr>
          <w:rFonts w:hint="eastAsia"/>
          <w:color w:val="000000" w:themeColor="text1"/>
          <w:sz w:val="24"/>
          <w:lang w:bidi="ar"/>
          <w14:textFill>
            <w14:solidFill>
              <w14:schemeClr w14:val="tx1"/>
            </w14:solidFill>
          </w14:textFill>
        </w:rPr>
        <w:t>hm</w:t>
      </w:r>
      <w:r>
        <w:rPr>
          <w:color w:val="000000" w:themeColor="text1"/>
          <w:sz w:val="24"/>
          <w:vertAlign w:val="superscript"/>
          <w:lang w:bidi="ar"/>
          <w14:textFill>
            <w14:solidFill>
              <w14:schemeClr w14:val="tx1"/>
            </w14:solidFill>
          </w14:textFill>
        </w:rPr>
        <w:t>2</w:t>
      </w:r>
      <w:r>
        <w:rPr>
          <w:rFonts w:hint="eastAsia"/>
          <w:color w:val="000000" w:themeColor="text1"/>
          <w:sz w:val="24"/>
          <w:szCs w:val="24"/>
          <w14:textFill>
            <w14:solidFill>
              <w14:schemeClr w14:val="tx1"/>
            </w14:solidFill>
          </w14:textFill>
        </w:rPr>
        <w:t>，其中采矿工程占地面积</w:t>
      </w:r>
      <w:r>
        <w:rPr>
          <w:rFonts w:hint="eastAsia"/>
          <w:color w:val="000000" w:themeColor="text1"/>
          <w:sz w:val="24"/>
          <w:lang w:bidi="ar"/>
          <w14:textFill>
            <w14:solidFill>
              <w14:schemeClr w14:val="tx1"/>
            </w14:solidFill>
          </w14:textFill>
        </w:rPr>
        <w:t>1</w:t>
      </w:r>
      <w:r>
        <w:rPr>
          <w:color w:val="000000" w:themeColor="text1"/>
          <w:sz w:val="24"/>
          <w:lang w:bidi="ar"/>
          <w14:textFill>
            <w14:solidFill>
              <w14:schemeClr w14:val="tx1"/>
            </w14:solidFill>
          </w14:textFill>
        </w:rPr>
        <w:t>4.41</w:t>
      </w:r>
      <w:r>
        <w:rPr>
          <w:rFonts w:hint="eastAsia"/>
          <w:color w:val="000000" w:themeColor="text1"/>
          <w:sz w:val="24"/>
          <w:lang w:bidi="ar"/>
          <w14:textFill>
            <w14:solidFill>
              <w14:schemeClr w14:val="tx1"/>
            </w14:solidFill>
          </w14:textFill>
        </w:rPr>
        <w:t>hm</w:t>
      </w:r>
      <w:r>
        <w:rPr>
          <w:color w:val="000000" w:themeColor="text1"/>
          <w:sz w:val="24"/>
          <w:vertAlign w:val="superscript"/>
          <w:lang w:bidi="ar"/>
          <w14:textFill>
            <w14:solidFill>
              <w14:schemeClr w14:val="tx1"/>
            </w14:solidFill>
          </w14:textFill>
        </w:rPr>
        <w:t>2</w:t>
      </w:r>
      <w:r>
        <w:rPr>
          <w:rFonts w:hint="eastAsia"/>
          <w:color w:val="000000" w:themeColor="text1"/>
          <w:sz w:val="24"/>
          <w:szCs w:val="24"/>
          <w14:textFill>
            <w14:solidFill>
              <w14:schemeClr w14:val="tx1"/>
            </w14:solidFill>
          </w14:textFill>
        </w:rPr>
        <w:t>，其余为选矿工程占地，企业正在办理建设用地手续。</w:t>
      </w:r>
    </w:p>
    <w:p w14:paraId="22E12D77">
      <w:pPr>
        <w:spacing w:line="480" w:lineRule="exact"/>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2015</w:t>
      </w:r>
      <w:r>
        <w:rPr>
          <w:rFonts w:hint="eastAsia"/>
          <w:color w:val="000000" w:themeColor="text1"/>
          <w:sz w:val="24"/>
          <w:szCs w:val="24"/>
          <w14:textFill>
            <w14:solidFill>
              <w14:schemeClr w14:val="tx1"/>
            </w14:solidFill>
          </w14:textFill>
        </w:rPr>
        <w:t>年至今，矿山处于停产状态。矿山共动用矿石量约245.07万</w:t>
      </w:r>
      <w:r>
        <w:rPr>
          <w:rFonts w:hint="eastAsia"/>
          <w:color w:val="000000" w:themeColor="text1"/>
          <w:sz w:val="24"/>
          <w:szCs w:val="24"/>
          <w:lang w:val="en-US" w:eastAsia="zh-CN"/>
          <w14:textFill>
            <w14:solidFill>
              <w14:schemeClr w14:val="tx1"/>
            </w14:solidFill>
          </w14:textFill>
        </w:rPr>
        <w:t>吨，其中2007年以前动用矿石量191.32万吨，2013年</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2014年动用矿石量53.75万吨</w:t>
      </w:r>
      <w:r>
        <w:rPr>
          <w:rFonts w:hint="eastAsia"/>
          <w:color w:val="000000" w:themeColor="text1"/>
          <w:sz w:val="24"/>
          <w:szCs w:val="24"/>
          <w14:textFill>
            <w14:solidFill>
              <w14:schemeClr w14:val="tx1"/>
            </w14:solidFill>
          </w14:textFill>
        </w:rPr>
        <w:t>。2013年～2014年度矿山主要对Ⅰ-1号矿体进行</w:t>
      </w:r>
      <w:r>
        <w:rPr>
          <w:rFonts w:hint="eastAsia"/>
          <w:color w:val="000000" w:themeColor="text1"/>
          <w:sz w:val="24"/>
          <w:szCs w:val="24"/>
          <w:lang w:val="en-US" w:eastAsia="zh-CN"/>
          <w14:textFill>
            <w14:solidFill>
              <w14:schemeClr w14:val="tx1"/>
            </w14:solidFill>
          </w14:textFill>
        </w:rPr>
        <w:t>试生产</w:t>
      </w:r>
      <w:r>
        <w:rPr>
          <w:rFonts w:hint="eastAsia"/>
          <w:color w:val="000000" w:themeColor="text1"/>
          <w:sz w:val="24"/>
          <w:szCs w:val="24"/>
          <w14:textFill>
            <w14:solidFill>
              <w14:schemeClr w14:val="tx1"/>
            </w14:solidFill>
          </w14:textFill>
        </w:rPr>
        <w:t>，矿山</w:t>
      </w:r>
      <w:r>
        <w:rPr>
          <w:rFonts w:hint="eastAsia"/>
          <w:color w:val="000000" w:themeColor="text1"/>
          <w:sz w:val="24"/>
          <w:szCs w:val="24"/>
          <w:lang w:val="en-US" w:eastAsia="zh-CN"/>
          <w14:textFill>
            <w14:solidFill>
              <w14:schemeClr w14:val="tx1"/>
            </w14:solidFill>
          </w14:textFill>
        </w:rPr>
        <w:t>现已有1个采空区，位于Ⅰ-1号矿体。2007年以前一中段（1187m标高）2-1线至东部采矿权边界、二中段（1144m标高）2-1线至1-1线之间及00号勘查线至采矿权东部边界已采空，2013年</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2014年三中段（1080m标高）00线至01线、四中段（1030m标高）00线以东至01线已采空；采空区平面投影面积4764m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w:t>
      </w:r>
    </w:p>
    <w:p w14:paraId="25DCC887">
      <w:pPr>
        <w:spacing w:line="480" w:lineRule="exact"/>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本项目评价范围为采矿工程，不包含选矿工程</w:t>
      </w:r>
      <w:r>
        <w:rPr>
          <w:rFonts w:hint="eastAsia"/>
          <w:b/>
          <w:color w:val="000000" w:themeColor="text1"/>
          <w:sz w:val="24"/>
          <w:szCs w:val="24"/>
          <w:lang w:val="en-US" w:eastAsia="zh-CN"/>
          <w14:textFill>
            <w14:solidFill>
              <w14:schemeClr w14:val="tx1"/>
            </w14:solidFill>
          </w14:textFill>
        </w:rPr>
        <w:t>及尾矿库（选矿工程及尾矿库由哈密市西成矿业有限责任公司M1033铁矿60万吨年铁矿石开采技改项目另行评价）</w:t>
      </w:r>
      <w:r>
        <w:rPr>
          <w:rFonts w:hint="eastAsia"/>
          <w:b/>
          <w:color w:val="000000" w:themeColor="text1"/>
          <w:sz w:val="24"/>
          <w:szCs w:val="24"/>
          <w14:textFill>
            <w14:solidFill>
              <w14:schemeClr w14:val="tx1"/>
            </w14:solidFill>
          </w14:textFill>
        </w:rPr>
        <w:t>。</w:t>
      </w:r>
    </w:p>
    <w:p w14:paraId="02942C80">
      <w:pPr>
        <w:pStyle w:val="3"/>
        <w:jc w:val="left"/>
        <w:rPr>
          <w:bCs/>
          <w:color w:val="000000" w:themeColor="text1"/>
          <w:kern w:val="2"/>
          <w:szCs w:val="32"/>
          <w14:textFill>
            <w14:solidFill>
              <w14:schemeClr w14:val="tx1"/>
            </w14:solidFill>
          </w14:textFill>
        </w:rPr>
      </w:pPr>
      <w:bookmarkStart w:id="41" w:name="_Toc11370"/>
      <w:bookmarkStart w:id="42" w:name="_Toc111767534"/>
      <w:bookmarkStart w:id="43" w:name="_Toc26220"/>
      <w:bookmarkStart w:id="44" w:name="_Toc21216"/>
      <w:bookmarkStart w:id="45" w:name="_Toc1072574077"/>
      <w:bookmarkStart w:id="46" w:name="_Toc27733"/>
      <w:r>
        <w:rPr>
          <w:bCs/>
          <w:color w:val="000000" w:themeColor="text1"/>
          <w:kern w:val="2"/>
          <w:szCs w:val="32"/>
          <w14:textFill>
            <w14:solidFill>
              <w14:schemeClr w14:val="tx1"/>
            </w14:solidFill>
          </w14:textFill>
        </w:rPr>
        <w:t>1.2环境影响评价的工作过程</w:t>
      </w:r>
      <w:bookmarkEnd w:id="41"/>
      <w:bookmarkEnd w:id="42"/>
      <w:bookmarkEnd w:id="43"/>
      <w:bookmarkEnd w:id="44"/>
      <w:bookmarkEnd w:id="45"/>
      <w:bookmarkEnd w:id="46"/>
    </w:p>
    <w:p w14:paraId="1ADF75D3">
      <w:pPr>
        <w:overflowPunct w:val="0"/>
        <w:topLinePunct/>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中华人民共和国环境保护法》（2015年1月1日）、《中华人民共和国环境影响评价法》（2018年12月29日）、《建设项目环境保护管理条例》（国务院令第682号）和生态环境部《建设项目环境影响评价分类管理名录</w:t>
      </w:r>
      <w:r>
        <w:rPr>
          <w:color w:val="000000" w:themeColor="text1"/>
          <w:sz w:val="24"/>
          <w:szCs w:val="24"/>
          <w14:textFill>
            <w14:solidFill>
              <w14:schemeClr w14:val="tx1"/>
            </w14:solidFill>
          </w14:textFill>
        </w:rPr>
        <w:t>（2021年版）</w:t>
      </w:r>
      <w:r>
        <w:rPr>
          <w:rFonts w:hint="eastAsia"/>
          <w:color w:val="000000" w:themeColor="text1"/>
          <w:sz w:val="24"/>
          <w:szCs w:val="24"/>
          <w14:textFill>
            <w14:solidFill>
              <w14:schemeClr w14:val="tx1"/>
            </w14:solidFill>
          </w14:textFill>
        </w:rPr>
        <w:t>》等有关法律法规规定，哈密市西成矿业有限责任公司委托编制单位新疆绿境天宸环保科技有限公司编制《</w:t>
      </w:r>
      <w:r>
        <w:rPr>
          <w:rFonts w:hint="eastAsia"/>
          <w:color w:val="000000" w:themeColor="text1"/>
          <w:sz w:val="24"/>
          <w:szCs w:val="24"/>
          <w:lang w:eastAsia="zh-CN"/>
          <w14:textFill>
            <w14:solidFill>
              <w14:schemeClr w14:val="tx1"/>
            </w14:solidFill>
          </w14:textFill>
        </w:rPr>
        <w:t>哈密市西成矿业有限责任公司M1033矿年产30万吨铁矿采矿建设项目（重大变动）</w:t>
      </w:r>
      <w:r>
        <w:rPr>
          <w:rFonts w:hint="eastAsia"/>
          <w:color w:val="000000" w:themeColor="text1"/>
          <w:sz w:val="24"/>
          <w:szCs w:val="24"/>
          <w14:textFill>
            <w14:solidFill>
              <w14:schemeClr w14:val="tx1"/>
            </w14:solidFill>
          </w14:textFill>
        </w:rPr>
        <w:t>环境影响报告书》（以下简称：报告书）。</w:t>
      </w:r>
      <w:r>
        <w:rPr>
          <w:color w:val="000000" w:themeColor="text1"/>
          <w:sz w:val="24"/>
          <w:szCs w:val="24"/>
          <w14:textFill>
            <w14:solidFill>
              <w14:schemeClr w14:val="tx1"/>
            </w14:solidFill>
          </w14:textFill>
        </w:rPr>
        <w:t>接受委托后，</w:t>
      </w:r>
      <w:r>
        <w:rPr>
          <w:rFonts w:hint="eastAsia"/>
          <w:color w:val="000000" w:themeColor="text1"/>
          <w:sz w:val="24"/>
          <w:szCs w:val="24"/>
          <w14:textFill>
            <w14:solidFill>
              <w14:schemeClr w14:val="tx1"/>
            </w14:solidFill>
          </w14:textFill>
        </w:rPr>
        <w:t>编制单位</w:t>
      </w:r>
      <w:r>
        <w:rPr>
          <w:color w:val="000000" w:themeColor="text1"/>
          <w:sz w:val="24"/>
          <w:szCs w:val="24"/>
          <w14:textFill>
            <w14:solidFill>
              <w14:schemeClr w14:val="tx1"/>
            </w14:solidFill>
          </w14:textFill>
        </w:rPr>
        <w:t>立即</w:t>
      </w:r>
      <w:r>
        <w:rPr>
          <w:rFonts w:hint="eastAsia"/>
          <w:color w:val="000000" w:themeColor="text1"/>
          <w:sz w:val="24"/>
          <w:szCs w:val="24"/>
          <w14:textFill>
            <w14:solidFill>
              <w14:schemeClr w14:val="tx1"/>
            </w14:solidFill>
          </w14:textFill>
        </w:rPr>
        <w:t>成立项目组，组织项目组人员</w:t>
      </w:r>
      <w:r>
        <w:rPr>
          <w:color w:val="000000" w:themeColor="text1"/>
          <w:sz w:val="24"/>
          <w:szCs w:val="24"/>
          <w14:textFill>
            <w14:solidFill>
              <w14:schemeClr w14:val="tx1"/>
            </w14:solidFill>
          </w14:textFill>
        </w:rPr>
        <w:t>进行了现场</w:t>
      </w:r>
      <w:r>
        <w:rPr>
          <w:rFonts w:hint="eastAsia"/>
          <w:color w:val="000000" w:themeColor="text1"/>
          <w:sz w:val="24"/>
          <w:szCs w:val="24"/>
          <w14:textFill>
            <w14:solidFill>
              <w14:schemeClr w14:val="tx1"/>
            </w14:solidFill>
          </w14:textFill>
        </w:rPr>
        <w:t>调查、</w:t>
      </w:r>
      <w:r>
        <w:rPr>
          <w:color w:val="000000" w:themeColor="text1"/>
          <w:sz w:val="24"/>
          <w:szCs w:val="24"/>
          <w14:textFill>
            <w14:solidFill>
              <w14:schemeClr w14:val="tx1"/>
            </w14:solidFill>
          </w14:textFill>
        </w:rPr>
        <w:t>踏勘和资料收集</w:t>
      </w:r>
      <w:r>
        <w:rPr>
          <w:rFonts w:hint="eastAsia"/>
          <w:color w:val="000000" w:themeColor="text1"/>
          <w:sz w:val="24"/>
          <w:szCs w:val="24"/>
          <w14:textFill>
            <w14:solidFill>
              <w14:schemeClr w14:val="tx1"/>
            </w14:solidFill>
          </w14:textFill>
        </w:rPr>
        <w:t>工作</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对项目开发利用方案、资源储量核实报告</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采矿方法论证报告</w:t>
      </w:r>
      <w:r>
        <w:rPr>
          <w:rFonts w:hint="eastAsia"/>
          <w:color w:val="000000" w:themeColor="text1"/>
          <w:sz w:val="24"/>
          <w:szCs w:val="24"/>
          <w14:textFill>
            <w14:solidFill>
              <w14:schemeClr w14:val="tx1"/>
            </w14:solidFill>
          </w14:textFill>
        </w:rPr>
        <w:t>等文件进行初步分析，</w:t>
      </w:r>
      <w:r>
        <w:rPr>
          <w:color w:val="000000" w:themeColor="text1"/>
          <w:sz w:val="24"/>
          <w:szCs w:val="24"/>
          <w14:textFill>
            <w14:solidFill>
              <w14:schemeClr w14:val="tx1"/>
            </w14:solidFill>
          </w14:textFill>
        </w:rPr>
        <w:t>结合</w:t>
      </w:r>
      <w:r>
        <w:rPr>
          <w:rFonts w:hint="eastAsia"/>
          <w:color w:val="000000" w:themeColor="text1"/>
          <w:sz w:val="24"/>
          <w:szCs w:val="24"/>
          <w14:textFill>
            <w14:solidFill>
              <w14:schemeClr w14:val="tx1"/>
            </w14:solidFill>
          </w14:textFill>
        </w:rPr>
        <w:t>项目各相关</w:t>
      </w:r>
      <w:r>
        <w:rPr>
          <w:color w:val="000000" w:themeColor="text1"/>
          <w:sz w:val="24"/>
          <w:szCs w:val="24"/>
          <w14:textFill>
            <w14:solidFill>
              <w14:schemeClr w14:val="tx1"/>
            </w14:solidFill>
          </w14:textFill>
        </w:rPr>
        <w:t>资料和当地环境特征，按国家、新疆维吾尔自治区</w:t>
      </w:r>
      <w:r>
        <w:rPr>
          <w:rFonts w:hint="eastAsia"/>
          <w:color w:val="000000" w:themeColor="text1"/>
          <w:sz w:val="24"/>
          <w:szCs w:val="24"/>
          <w14:textFill>
            <w14:solidFill>
              <w14:schemeClr w14:val="tx1"/>
            </w14:solidFill>
          </w14:textFill>
        </w:rPr>
        <w:t>生态</w:t>
      </w:r>
      <w:r>
        <w:rPr>
          <w:color w:val="000000" w:themeColor="text1"/>
          <w:sz w:val="24"/>
          <w:szCs w:val="24"/>
          <w14:textFill>
            <w14:solidFill>
              <w14:schemeClr w14:val="tx1"/>
            </w14:solidFill>
          </w14:textFill>
        </w:rPr>
        <w:t>环境保护政策以及</w:t>
      </w:r>
      <w:r>
        <w:rPr>
          <w:rFonts w:hint="eastAsia"/>
          <w:color w:val="000000" w:themeColor="text1"/>
          <w:sz w:val="24"/>
          <w:szCs w:val="24"/>
          <w14:textFill>
            <w14:solidFill>
              <w14:schemeClr w14:val="tx1"/>
            </w14:solidFill>
          </w14:textFill>
        </w:rPr>
        <w:t>环境影响评价</w:t>
      </w:r>
      <w:r>
        <w:rPr>
          <w:color w:val="000000" w:themeColor="text1"/>
          <w:sz w:val="24"/>
          <w:szCs w:val="24"/>
          <w14:textFill>
            <w14:solidFill>
              <w14:schemeClr w14:val="tx1"/>
            </w14:solidFill>
          </w14:textFill>
        </w:rPr>
        <w:t>技术导则、规范的要求，开展了本项目的环境影响评价工作。对本项目进行初步的工程分析，同时开展初步的环境状况调查及</w:t>
      </w:r>
      <w:r>
        <w:rPr>
          <w:rFonts w:hint="eastAsia"/>
          <w:color w:val="000000" w:themeColor="text1"/>
          <w:sz w:val="24"/>
          <w:szCs w:val="24"/>
          <w14:textFill>
            <w14:solidFill>
              <w14:schemeClr w14:val="tx1"/>
            </w14:solidFill>
          </w14:textFill>
        </w:rPr>
        <w:t>公众参与</w:t>
      </w:r>
      <w:r>
        <w:rPr>
          <w:color w:val="000000" w:themeColor="text1"/>
          <w:sz w:val="24"/>
          <w:szCs w:val="24"/>
          <w14:textFill>
            <w14:solidFill>
              <w14:schemeClr w14:val="tx1"/>
            </w14:solidFill>
          </w14:textFill>
        </w:rPr>
        <w:t>。识别本项目的环境影响因素，筛选主要的环境影响评价因子，明确评价重点和环境保护目标，确定环境影响评价的范围、评价工作等级和评价标准，最后制订工作方案。在进一步工程分析</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环境现状调查、监测并开展环境质量现状评价的基础上进行环境影响预测及评价，提出减少环境污染和生态影响的环境管理措施和工程措施。从环境保护的角度确定项目建设的可行性，给出评价结论和提出进一步减缓环境影响的措施，并最终完成</w:t>
      </w:r>
      <w:r>
        <w:rPr>
          <w:rFonts w:hint="eastAsia"/>
          <w:color w:val="000000" w:themeColor="text1"/>
          <w:sz w:val="24"/>
          <w:szCs w:val="24"/>
          <w14:textFill>
            <w14:solidFill>
              <w14:schemeClr w14:val="tx1"/>
            </w14:solidFill>
          </w14:textFill>
        </w:rPr>
        <w:t>了报告书的</w:t>
      </w:r>
      <w:r>
        <w:rPr>
          <w:color w:val="000000" w:themeColor="text1"/>
          <w:sz w:val="24"/>
          <w:szCs w:val="24"/>
          <w14:textFill>
            <w14:solidFill>
              <w14:schemeClr w14:val="tx1"/>
            </w14:solidFill>
          </w14:textFill>
        </w:rPr>
        <w:t>编制</w:t>
      </w:r>
      <w:r>
        <w:rPr>
          <w:rFonts w:hint="eastAsia"/>
          <w:color w:val="000000" w:themeColor="text1"/>
          <w:sz w:val="24"/>
          <w:szCs w:val="24"/>
          <w14:textFill>
            <w14:solidFill>
              <w14:schemeClr w14:val="tx1"/>
            </w14:solidFill>
          </w14:textFill>
        </w:rPr>
        <w:t>工作</w:t>
      </w:r>
      <w:r>
        <w:rPr>
          <w:color w:val="000000" w:themeColor="text1"/>
          <w:sz w:val="24"/>
          <w:szCs w:val="24"/>
          <w14:textFill>
            <w14:solidFill>
              <w14:schemeClr w14:val="tx1"/>
            </w14:solidFill>
          </w14:textFill>
        </w:rPr>
        <w:t>。</w:t>
      </w:r>
    </w:p>
    <w:p w14:paraId="674456E9">
      <w:pPr>
        <w:overflowPunct w:val="0"/>
        <w:topLinePunct/>
        <w:spacing w:line="480" w:lineRule="exact"/>
        <w:ind w:firstLine="480" w:firstLineChars="200"/>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环境影响评价工作一般分为三个阶段，即调查分析和工作方案制定阶段</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分析论证和预测评价阶段</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环境影响报告书编制阶段，环境影响评价工作程序见图</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.2-1。</w:t>
      </w:r>
      <w:r>
        <w:rPr>
          <w:color w:val="000000" w:themeColor="text1"/>
          <w:sz w:val="24"/>
          <w:szCs w:val="24"/>
          <w14:textFill>
            <w14:solidFill>
              <w14:schemeClr w14:val="tx1"/>
            </w14:solidFill>
          </w14:textFill>
        </w:rPr>
        <w:br w:type="page"/>
      </w:r>
    </w:p>
    <w:p w14:paraId="1BE09EC5">
      <w:pPr>
        <w:pStyle w:val="476"/>
        <w:spacing w:before="78" w:after="78"/>
        <w:ind w:left="0" w:leftChars="0" w:firstLine="0" w:firstLineChars="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48275" cy="6572250"/>
            <wp:effectExtent l="0" t="0" r="9525" b="0"/>
            <wp:docPr id="35" name="图片 3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5"/>
                    <pic:cNvPicPr>
                      <a:picLocks noChangeAspect="1"/>
                    </pic:cNvPicPr>
                  </pic:nvPicPr>
                  <pic:blipFill>
                    <a:blip r:embed="rId35"/>
                    <a:stretch>
                      <a:fillRect/>
                    </a:stretch>
                  </pic:blipFill>
                  <pic:spPr>
                    <a:xfrm>
                      <a:off x="0" y="0"/>
                      <a:ext cx="5248275" cy="6572250"/>
                    </a:xfrm>
                    <a:prstGeom prst="rect">
                      <a:avLst/>
                    </a:prstGeom>
                  </pic:spPr>
                </pic:pic>
              </a:graphicData>
            </a:graphic>
          </wp:inline>
        </w:drawing>
      </w:r>
    </w:p>
    <w:p w14:paraId="550D373A">
      <w:pPr>
        <w:pStyle w:val="995"/>
        <w:widowControl/>
        <w:spacing w:beforeLines="0" w:afterLines="0" w:line="240" w:lineRule="auto"/>
        <w:ind w:firstLine="0" w:firstLineChars="0"/>
        <w:rPr>
          <w:rFonts w:ascii="Times New Roman" w:hAnsi="Times New Roman" w:eastAsia="宋体"/>
          <w:color w:val="000000" w:themeColor="text1"/>
          <w:kern w:val="2"/>
          <w14:textFill>
            <w14:solidFill>
              <w14:schemeClr w14:val="tx1"/>
            </w14:solidFill>
          </w14:textFill>
        </w:rPr>
      </w:pPr>
      <w:r>
        <w:rPr>
          <w:rFonts w:ascii="Times New Roman" w:hAnsi="Times New Roman" w:eastAsia="宋体"/>
          <w:color w:val="000000" w:themeColor="text1"/>
          <w:kern w:val="2"/>
          <w14:textFill>
            <w14:solidFill>
              <w14:schemeClr w14:val="tx1"/>
            </w14:solidFill>
          </w14:textFill>
        </w:rPr>
        <w:t>图</w:t>
      </w:r>
      <w:r>
        <w:rPr>
          <w:rFonts w:hint="eastAsia" w:ascii="Times New Roman" w:hAnsi="Times New Roman" w:eastAsia="宋体"/>
          <w:color w:val="000000" w:themeColor="text1"/>
          <w:kern w:val="2"/>
          <w14:textFill>
            <w14:solidFill>
              <w14:schemeClr w14:val="tx1"/>
            </w14:solidFill>
          </w14:textFill>
        </w:rPr>
        <w:t>1</w:t>
      </w:r>
      <w:r>
        <w:rPr>
          <w:rFonts w:ascii="Times New Roman" w:hAnsi="Times New Roman" w:eastAsia="宋体"/>
          <w:color w:val="000000" w:themeColor="text1"/>
          <w:kern w:val="2"/>
          <w14:textFill>
            <w14:solidFill>
              <w14:schemeClr w14:val="tx1"/>
            </w14:solidFill>
          </w14:textFill>
        </w:rPr>
        <w:t>.2-1    建设项目环境影响评价工作程序图</w:t>
      </w:r>
    </w:p>
    <w:p w14:paraId="709B9413">
      <w:pPr>
        <w:pStyle w:val="3"/>
        <w:jc w:val="left"/>
        <w:rPr>
          <w:rFonts w:hint="eastAsia"/>
          <w:bCs/>
          <w:color w:val="000000" w:themeColor="text1"/>
          <w:kern w:val="2"/>
          <w:szCs w:val="32"/>
          <w14:textFill>
            <w14:solidFill>
              <w14:schemeClr w14:val="tx1"/>
            </w14:solidFill>
          </w14:textFill>
        </w:rPr>
      </w:pPr>
      <w:bookmarkStart w:id="47" w:name="_Toc19910"/>
      <w:bookmarkStart w:id="48" w:name="_Toc3944"/>
      <w:bookmarkStart w:id="49" w:name="_Toc23193"/>
      <w:bookmarkStart w:id="50" w:name="_Toc8267"/>
      <w:bookmarkStart w:id="51" w:name="_Toc25099"/>
      <w:bookmarkStart w:id="52" w:name="_Toc21569"/>
      <w:bookmarkStart w:id="53" w:name="_Toc32270033"/>
      <w:bookmarkStart w:id="54" w:name="_Toc6887"/>
      <w:bookmarkStart w:id="55" w:name="_Toc111767535"/>
      <w:r>
        <w:rPr>
          <w:rFonts w:hint="eastAsia"/>
          <w:bCs/>
          <w:color w:val="000000" w:themeColor="text1"/>
          <w:kern w:val="2"/>
          <w:szCs w:val="32"/>
          <w14:textFill>
            <w14:solidFill>
              <w14:schemeClr w14:val="tx1"/>
            </w14:solidFill>
          </w14:textFill>
        </w:rPr>
        <w:t>1.3分析判定相关情况</w:t>
      </w:r>
      <w:bookmarkEnd w:id="47"/>
      <w:bookmarkEnd w:id="48"/>
      <w:bookmarkEnd w:id="49"/>
      <w:bookmarkEnd w:id="50"/>
      <w:bookmarkEnd w:id="51"/>
      <w:bookmarkEnd w:id="52"/>
      <w:bookmarkEnd w:id="53"/>
      <w:bookmarkEnd w:id="54"/>
      <w:bookmarkEnd w:id="55"/>
    </w:p>
    <w:p w14:paraId="48CC80CF">
      <w:pPr>
        <w:overflowPunct w:val="0"/>
        <w:topLinePunct/>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本项目为铁矿开采项目，属于</w:t>
      </w:r>
      <w:r>
        <w:rPr>
          <w:rFonts w:hint="eastAsia"/>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六</w:t>
      </w:r>
      <w:r>
        <w:rPr>
          <w:rFonts w:ascii="Times New Roman" w:hAnsi="Times New Roman" w:eastAsia="宋体"/>
          <w:color w:val="000000" w:themeColor="text1"/>
          <w:sz w:val="24"/>
          <w14:textFill>
            <w14:solidFill>
              <w14:schemeClr w14:val="tx1"/>
            </w14:solidFill>
          </w14:textFill>
        </w:rPr>
        <w:t>、黑色金属矿采选业</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。根据《产业结构调整指导目录（20</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年本）》，</w:t>
      </w:r>
      <w:r>
        <w:rPr>
          <w:rFonts w:hint="default" w:ascii="Times New Roman" w:hAnsi="Times New Roman" w:eastAsia="宋体" w:cs="Times New Roman"/>
          <w:color w:val="000000" w:themeColor="text1"/>
          <w:kern w:val="10"/>
          <w:sz w:val="24"/>
          <w:szCs w:val="24"/>
          <w14:textFill>
            <w14:solidFill>
              <w14:schemeClr w14:val="tx1"/>
            </w14:solidFill>
          </w14:textFill>
        </w:rPr>
        <w:t>本项目属于鼓励类</w:t>
      </w:r>
      <w:r>
        <w:rPr>
          <w:rFonts w:hint="eastAsia" w:cs="Times New Roman"/>
          <w:color w:val="000000" w:themeColor="text1"/>
          <w:kern w:val="1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14:textFill>
            <w14:solidFill>
              <w14:schemeClr w14:val="tx1"/>
            </w14:solidFill>
          </w14:textFill>
        </w:rPr>
        <w:t>八、钢铁1．黑色金属矿山开采、选矿及共伴生矿产综合开发利用</w:t>
      </w:r>
      <w:r>
        <w:rPr>
          <w:rFonts w:hint="default" w:ascii="Times New Roman" w:hAnsi="Times New Roman" w:eastAsia="宋体" w:cs="Times New Roman"/>
          <w:color w:val="000000" w:themeColor="text1"/>
          <w:kern w:val="1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14:textFill>
            <w14:solidFill>
              <w14:schemeClr w14:val="tx1"/>
            </w14:solidFill>
          </w14:textFill>
        </w:rPr>
        <w:t>黑色金属矿山尾矿充填采矿工艺、技术及装备</w:t>
      </w:r>
      <w:r>
        <w:rPr>
          <w:rFonts w:hint="eastAsia" w:cs="Times New Roman"/>
          <w:color w:val="000000" w:themeColor="text1"/>
          <w:kern w:val="1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14:textFill>
            <w14:solidFill>
              <w14:schemeClr w14:val="tx1"/>
            </w14:solidFill>
          </w14:textFill>
        </w:rPr>
        <w:t>。</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根据《西部地区鼓励类产业目录</w:t>
      </w:r>
      <w:r>
        <w:rPr>
          <w:rFonts w:hint="default" w:ascii="Times New Roman" w:hAnsi="Times New Roman" w:eastAsia="宋体" w:cs="Times New Roman"/>
          <w:color w:val="000000" w:themeColor="text1"/>
          <w:kern w:val="10"/>
          <w:sz w:val="24"/>
          <w:szCs w:val="24"/>
          <w:lang w:val="en-US" w:eastAsia="zh-CN"/>
          <w14:textFill>
            <w14:solidFill>
              <w14:schemeClr w14:val="tx1"/>
            </w14:solidFill>
          </w14:textFill>
        </w:rPr>
        <w:t>（202</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10"/>
          <w:sz w:val="24"/>
          <w:szCs w:val="24"/>
          <w:lang w:val="en-US" w:eastAsia="zh-CN"/>
          <w14:textFill>
            <w14:solidFill>
              <w14:schemeClr w14:val="tx1"/>
            </w14:solidFill>
          </w14:textFill>
        </w:rPr>
        <w:t>年本）</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14:textFill>
            <w14:solidFill>
              <w14:schemeClr w14:val="tx1"/>
            </w14:solidFill>
          </w14:textFill>
        </w:rPr>
        <w:t>铁矿开采项目</w:t>
      </w:r>
      <w:r>
        <w:rPr>
          <w:rFonts w:hint="default" w:ascii="Times New Roman" w:hAnsi="Times New Roman" w:eastAsia="宋体" w:cs="Times New Roman"/>
          <w:color w:val="000000" w:themeColor="text1"/>
          <w:kern w:val="10"/>
          <w:sz w:val="24"/>
          <w:szCs w:val="24"/>
          <w:lang w:val="en-US" w:eastAsia="zh-CN"/>
          <w14:textFill>
            <w14:solidFill>
              <w14:schemeClr w14:val="tx1"/>
            </w14:solidFill>
          </w14:textFill>
        </w:rPr>
        <w:t>属于新疆维吾尔自治区（含新疆生产建设兵团）的鼓励类项目——</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lang w:val="en-US" w:eastAsia="zh-CN"/>
          <w14:textFill>
            <w14:solidFill>
              <w14:schemeClr w14:val="tx1"/>
            </w14:solidFill>
          </w14:textFill>
        </w:rPr>
        <w:t>铁、锰、铜、镍、铅、锌、钨、锡、钛、锑、镁、稀有金属和稀散金属勘探、有序开采、精深加工、加工新技术开发及应用</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w:t>
      </w:r>
      <w:r>
        <w:rPr>
          <w:color w:val="000000" w:themeColor="text1"/>
          <w:sz w:val="24"/>
          <w14:textFill>
            <w14:solidFill>
              <w14:schemeClr w14:val="tx1"/>
            </w14:solidFill>
          </w14:textFill>
        </w:rPr>
        <w:t>本项目的建设符合国家产业政策。</w:t>
      </w:r>
    </w:p>
    <w:p w14:paraId="534F3519">
      <w:pPr>
        <w:overflowPunct w:val="0"/>
        <w:topLinePunct/>
        <w:spacing w:line="480" w:lineRule="exact"/>
        <w:ind w:firstLine="480" w:firstLineChars="200"/>
        <w:rPr>
          <w:rFonts w:hint="eastAsia"/>
          <w:color w:val="000000" w:themeColor="text1"/>
          <w:kern w:val="10"/>
          <w:sz w:val="24"/>
          <w:szCs w:val="24"/>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t>本项目为</w:t>
      </w:r>
      <w:r>
        <w:rPr>
          <w:rFonts w:hint="eastAsia"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t>铁矿采矿</w:t>
      </w:r>
      <w:r>
        <w:rPr>
          <w:rFonts w:hint="default"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t>项目，在《矿产资源开发利用辐射环境监督管理名录》中</w:t>
      </w:r>
      <w:r>
        <w:rPr>
          <w:rFonts w:hint="eastAsia"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环评阶段对矿山的</w:t>
      </w:r>
      <w:r>
        <w:rPr>
          <w:rFonts w:hint="eastAsia" w:ascii="Times New Roman" w:hAnsi="Times New Roman" w:eastAsia="宋体" w:cs="Times New Roman"/>
          <w:b w:val="0"/>
          <w:bCs w:val="0"/>
          <w:color w:val="000000" w:themeColor="text1"/>
          <w:spacing w:val="0"/>
          <w:w w:val="100"/>
          <w:position w:val="0"/>
          <w:sz w:val="24"/>
          <w:szCs w:val="24"/>
          <w:lang w:val="en-US" w:eastAsia="zh-CN"/>
          <w14:textFill>
            <w14:solidFill>
              <w14:schemeClr w14:val="tx1"/>
            </w14:solidFill>
          </w14:textFill>
        </w:rPr>
        <w:t>矿石</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r>
        <w:rPr>
          <w:rFonts w:hint="eastAsia" w:ascii="Times New Roman" w:hAnsi="Times New Roman" w:eastAsia="宋体" w:cs="Times New Roman"/>
          <w:b w:val="0"/>
          <w:bCs w:val="0"/>
          <w:color w:val="000000" w:themeColor="text1"/>
          <w:spacing w:val="0"/>
          <w:w w:val="100"/>
          <w:position w:val="0"/>
          <w:sz w:val="24"/>
          <w:szCs w:val="24"/>
          <w:lang w:val="en-US" w:eastAsia="zh-CN"/>
          <w14:textFill>
            <w14:solidFill>
              <w14:schemeClr w14:val="tx1"/>
            </w14:solidFill>
          </w14:textFill>
        </w:rPr>
        <w:t>废石</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、尾矿均进行放射性检测。</w:t>
      </w:r>
      <w:r>
        <w:rPr>
          <w:rFonts w:hint="eastAsia" w:ascii="Times New Roman" w:hAnsi="Times New Roman" w:eastAsia="宋体" w:cs="Times New Roman"/>
          <w:b w:val="0"/>
          <w:bCs w:val="0"/>
          <w:color w:val="000000" w:themeColor="text1"/>
          <w:spacing w:val="0"/>
          <w:w w:val="100"/>
          <w:position w:val="0"/>
          <w:sz w:val="24"/>
          <w:szCs w:val="24"/>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检测结果，本项目</w:t>
      </w:r>
      <w:r>
        <w:rPr>
          <w:rFonts w:hint="eastAsia" w:ascii="Times New Roman" w:hAnsi="Times New Roman" w:eastAsia="宋体" w:cs="Times New Roman"/>
          <w:b w:val="0"/>
          <w:bCs w:val="0"/>
          <w:color w:val="000000" w:themeColor="text1"/>
          <w:spacing w:val="0"/>
          <w:w w:val="100"/>
          <w:position w:val="0"/>
          <w:sz w:val="24"/>
          <w:szCs w:val="24"/>
          <w:lang w:val="en-US" w:eastAsia="zh-CN"/>
          <w14:textFill>
            <w14:solidFill>
              <w14:schemeClr w14:val="tx1"/>
            </w14:solidFill>
          </w14:textFill>
        </w:rPr>
        <w:t>矿石</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r>
        <w:rPr>
          <w:rFonts w:hint="eastAsia" w:ascii="Times New Roman" w:hAnsi="Times New Roman" w:eastAsia="宋体" w:cs="Times New Roman"/>
          <w:b w:val="0"/>
          <w:bCs w:val="0"/>
          <w:color w:val="000000" w:themeColor="text1"/>
          <w:spacing w:val="0"/>
          <w:w w:val="100"/>
          <w:position w:val="0"/>
          <w:sz w:val="24"/>
          <w:szCs w:val="24"/>
          <w:lang w:val="en-US" w:eastAsia="zh-CN"/>
          <w14:textFill>
            <w14:solidFill>
              <w14:schemeClr w14:val="tx1"/>
            </w14:solidFill>
          </w14:textFill>
        </w:rPr>
        <w:t>废石</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、尾矿中铀（钍）系单个核素活度浓度</w:t>
      </w:r>
      <w:r>
        <w:rPr>
          <w:rFonts w:hint="eastAsia" w:ascii="Times New Roman" w:hAnsi="Times New Roman" w:eastAsia="宋体" w:cs="Times New Roman"/>
          <w:b w:val="0"/>
          <w:bCs w:val="0"/>
          <w:color w:val="000000" w:themeColor="text1"/>
          <w:spacing w:val="0"/>
          <w:w w:val="100"/>
          <w:position w:val="0"/>
          <w:sz w:val="24"/>
          <w:szCs w:val="24"/>
          <w:lang w:val="en-US" w:eastAsia="zh-CN"/>
          <w14:textFill>
            <w14:solidFill>
              <w14:schemeClr w14:val="tx1"/>
            </w14:solidFill>
          </w14:textFill>
        </w:rPr>
        <w:t>均</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小于1贝可/克（Bq/g），可不开展辐射环境影响评价专篇的编制。</w:t>
      </w:r>
    </w:p>
    <w:p w14:paraId="201724B0">
      <w:pPr>
        <w:overflowPunct w:val="0"/>
        <w:topLinePunct/>
        <w:spacing w:line="480" w:lineRule="exact"/>
        <w:ind w:firstLine="480" w:firstLineChars="200"/>
        <w:rPr>
          <w:color w:val="000000" w:themeColor="text1"/>
          <w:sz w:val="24"/>
          <w14:textFill>
            <w14:solidFill>
              <w14:schemeClr w14:val="tx1"/>
            </w14:solidFill>
          </w14:textFill>
        </w:rPr>
      </w:pPr>
      <w:r>
        <w:rPr>
          <w:rFonts w:hint="eastAsia"/>
          <w:color w:val="000000" w:themeColor="text1"/>
          <w:kern w:val="10"/>
          <w:sz w:val="24"/>
          <w:szCs w:val="24"/>
          <w14:textFill>
            <w14:solidFill>
              <w14:schemeClr w14:val="tx1"/>
            </w14:solidFill>
          </w14:textFill>
        </w:rPr>
        <w:t>本项目位于</w:t>
      </w:r>
      <w:r>
        <w:rPr>
          <w:rFonts w:hint="eastAsia"/>
          <w:color w:val="000000" w:themeColor="text1"/>
          <w:sz w:val="24"/>
          <w:szCs w:val="24"/>
          <w14:textFill>
            <w14:solidFill>
              <w14:schemeClr w14:val="tx1"/>
            </w14:solidFill>
          </w14:textFill>
        </w:rPr>
        <w:t>新疆维吾尔自治区哈密市168</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方位，哈密市伊州区雅满苏镇以南约7</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km处，属于</w:t>
      </w:r>
      <w:r>
        <w:rPr>
          <w:color w:val="000000" w:themeColor="text1"/>
          <w:kern w:val="10"/>
          <w:sz w:val="24"/>
          <w:szCs w:val="24"/>
          <w14:textFill>
            <w14:solidFill>
              <w14:schemeClr w14:val="tx1"/>
            </w14:solidFill>
          </w14:textFill>
        </w:rPr>
        <w:t>《</w:t>
      </w:r>
      <w:r>
        <w:rPr>
          <w:rFonts w:hint="eastAsia"/>
          <w:color w:val="000000" w:themeColor="text1"/>
          <w:kern w:val="10"/>
          <w:sz w:val="24"/>
          <w:szCs w:val="24"/>
          <w14:textFill>
            <w14:solidFill>
              <w14:schemeClr w14:val="tx1"/>
            </w14:solidFill>
          </w14:textFill>
        </w:rPr>
        <w:t>哈密市“</w:t>
      </w:r>
      <w:r>
        <w:rPr>
          <w:color w:val="000000" w:themeColor="text1"/>
          <w:kern w:val="10"/>
          <w:sz w:val="24"/>
          <w:szCs w:val="24"/>
          <w14:textFill>
            <w14:solidFill>
              <w14:schemeClr w14:val="tx1"/>
            </w14:solidFill>
          </w14:textFill>
        </w:rPr>
        <w:t>三线一单</w:t>
      </w:r>
      <w:r>
        <w:rPr>
          <w:rFonts w:hint="eastAsia"/>
          <w:color w:val="000000" w:themeColor="text1"/>
          <w:kern w:val="10"/>
          <w:sz w:val="24"/>
          <w:szCs w:val="24"/>
          <w14:textFill>
            <w14:solidFill>
              <w14:schemeClr w14:val="tx1"/>
            </w14:solidFill>
          </w14:textFill>
        </w:rPr>
        <w:t>”</w:t>
      </w:r>
      <w:r>
        <w:rPr>
          <w:color w:val="000000" w:themeColor="text1"/>
          <w:kern w:val="10"/>
          <w:sz w:val="24"/>
          <w:szCs w:val="24"/>
          <w14:textFill>
            <w14:solidFill>
              <w14:schemeClr w14:val="tx1"/>
            </w14:solidFill>
          </w14:textFill>
        </w:rPr>
        <w:t>生态环境分区管控方案》</w:t>
      </w:r>
      <w:r>
        <w:rPr>
          <w:rFonts w:hint="eastAsia"/>
          <w:color w:val="000000" w:themeColor="text1"/>
          <w:kern w:val="10"/>
          <w:sz w:val="24"/>
          <w:szCs w:val="24"/>
          <w:lang w:val="en-US" w:eastAsia="zh-CN"/>
          <w14:textFill>
            <w14:solidFill>
              <w14:schemeClr w14:val="tx1"/>
            </w14:solidFill>
          </w14:textFill>
        </w:rPr>
        <w:t>动态更新成果</w:t>
      </w:r>
      <w:r>
        <w:rPr>
          <w:rFonts w:hint="eastAsia"/>
          <w:color w:val="000000" w:themeColor="text1"/>
          <w:kern w:val="10"/>
          <w:sz w:val="24"/>
          <w:szCs w:val="24"/>
          <w14:textFill>
            <w14:solidFill>
              <w14:schemeClr w14:val="tx1"/>
            </w14:solidFill>
          </w14:textFill>
        </w:rPr>
        <w:t>中划定的</w:t>
      </w:r>
      <w:r>
        <w:rPr>
          <w:rFonts w:hint="eastAsia"/>
          <w:color w:val="000000" w:themeColor="text1"/>
          <w:kern w:val="10"/>
          <w:sz w:val="24"/>
          <w:szCs w:val="24"/>
          <w:highlight w:val="none"/>
          <w:lang w:eastAsia="zh-CN"/>
          <w14:textFill>
            <w14:solidFill>
              <w14:schemeClr w14:val="tx1"/>
            </w14:solidFill>
          </w14:textFill>
        </w:rPr>
        <w:t>一般</w:t>
      </w:r>
      <w:r>
        <w:rPr>
          <w:rFonts w:hint="eastAsia"/>
          <w:color w:val="000000" w:themeColor="text1"/>
          <w:kern w:val="10"/>
          <w:sz w:val="24"/>
          <w:szCs w:val="24"/>
          <w:highlight w:val="none"/>
          <w14:textFill>
            <w14:solidFill>
              <w14:schemeClr w14:val="tx1"/>
            </w14:solidFill>
          </w14:textFill>
        </w:rPr>
        <w:t>管控单元（环境管控单元编码：</w:t>
      </w:r>
      <w:r>
        <w:rPr>
          <w:rFonts w:hint="eastAsia"/>
          <w:color w:val="000000" w:themeColor="text1"/>
          <w:kern w:val="10"/>
          <w:sz w:val="24"/>
          <w:szCs w:val="24"/>
          <w:highlight w:val="none"/>
          <w:lang w:eastAsia="zh-CN"/>
          <w14:textFill>
            <w14:solidFill>
              <w14:schemeClr w14:val="tx1"/>
            </w14:solidFill>
          </w14:textFill>
        </w:rPr>
        <w:t>ZH6505023001</w:t>
      </w:r>
      <w:r>
        <w:rPr>
          <w:rFonts w:hint="eastAsia"/>
          <w:color w:val="000000" w:themeColor="text1"/>
          <w:kern w:val="10"/>
          <w:sz w:val="24"/>
          <w:szCs w:val="24"/>
          <w:highlight w:val="none"/>
          <w:lang w:val="en-US" w:eastAsia="zh-CN"/>
          <w14:textFill>
            <w14:solidFill>
              <w14:schemeClr w14:val="tx1"/>
            </w14:solidFill>
          </w14:textFill>
        </w:rPr>
        <w:t>2</w:t>
      </w:r>
      <w:r>
        <w:rPr>
          <w:rFonts w:hint="eastAsia"/>
          <w:color w:val="000000" w:themeColor="text1"/>
          <w:kern w:val="10"/>
          <w:sz w:val="24"/>
          <w:szCs w:val="24"/>
          <w:highlight w:val="none"/>
          <w14:textFill>
            <w14:solidFill>
              <w14:schemeClr w14:val="tx1"/>
            </w14:solidFill>
          </w14:textFill>
        </w:rPr>
        <w:t>）</w:t>
      </w:r>
      <w:r>
        <w:rPr>
          <w:rFonts w:hint="eastAsia"/>
          <w:color w:val="000000" w:themeColor="text1"/>
          <w:kern w:val="10"/>
          <w:sz w:val="24"/>
          <w:szCs w:val="24"/>
          <w14:textFill>
            <w14:solidFill>
              <w14:schemeClr w14:val="tx1"/>
            </w14:solidFill>
          </w14:textFill>
        </w:rPr>
        <w:t>。项目用地不涉及</w:t>
      </w:r>
      <w:r>
        <w:rPr>
          <w:rFonts w:hint="eastAsia"/>
          <w:color w:val="000000" w:themeColor="text1"/>
          <w:kern w:val="10"/>
          <w:sz w:val="24"/>
          <w:szCs w:val="24"/>
          <w:lang w:val="en-US" w:eastAsia="zh-CN"/>
          <w14:textFill>
            <w14:solidFill>
              <w14:schemeClr w14:val="tx1"/>
            </w14:solidFill>
          </w14:textFill>
        </w:rPr>
        <w:t>生态保护红线</w:t>
      </w:r>
      <w:r>
        <w:rPr>
          <w:rFonts w:hint="eastAsia"/>
          <w:color w:val="000000" w:themeColor="text1"/>
          <w:kern w:val="10"/>
          <w:sz w:val="24"/>
          <w:szCs w:val="24"/>
          <w14:textFill>
            <w14:solidFill>
              <w14:schemeClr w14:val="tx1"/>
            </w14:solidFill>
          </w14:textFill>
        </w:rPr>
        <w:t>区域，矿区西侧距库木塔格生物多样性维护、防风固沙生态保护红线区的最近距离约</w:t>
      </w:r>
      <w:r>
        <w:rPr>
          <w:color w:val="000000" w:themeColor="text1"/>
          <w:kern w:val="10"/>
          <w:sz w:val="24"/>
          <w:szCs w:val="24"/>
          <w14:textFill>
            <w14:solidFill>
              <w14:schemeClr w14:val="tx1"/>
            </w14:solidFill>
          </w14:textFill>
        </w:rPr>
        <w:t>37.7</w:t>
      </w:r>
      <w:r>
        <w:rPr>
          <w:rFonts w:hint="eastAsia"/>
          <w:color w:val="000000" w:themeColor="text1"/>
          <w:kern w:val="10"/>
          <w:sz w:val="24"/>
          <w:szCs w:val="24"/>
          <w14:textFill>
            <w14:solidFill>
              <w14:schemeClr w14:val="tx1"/>
            </w14:solidFill>
          </w14:textFill>
        </w:rPr>
        <w:t>km。</w:t>
      </w:r>
      <w:r>
        <w:rPr>
          <w:color w:val="000000" w:themeColor="text1"/>
          <w:sz w:val="24"/>
          <w14:textFill>
            <w14:solidFill>
              <w14:schemeClr w14:val="tx1"/>
            </w14:solidFill>
          </w14:textFill>
        </w:rPr>
        <w:t>项目区位置不属于水源涵养区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水源保护区等禁采区，开采区域不属于自然保护区、风景名胜区等生态禁采及限采范围，</w:t>
      </w:r>
      <w:r>
        <w:rPr>
          <w:rFonts w:hint="eastAsia"/>
          <w:color w:val="000000" w:themeColor="text1"/>
          <w:kern w:val="10"/>
          <w:sz w:val="24"/>
          <w:szCs w:val="24"/>
          <w14:textFill>
            <w14:solidFill>
              <w14:schemeClr w14:val="tx1"/>
            </w14:solidFill>
          </w14:textFill>
        </w:rPr>
        <w:t>项目区周边无地表水体，无国家公园、自然保护区、自然公园、生态保护红线区等生态敏感区，不会影响所在区域内生态服务功能。</w:t>
      </w:r>
    </w:p>
    <w:p w14:paraId="72ECB885">
      <w:pPr>
        <w:overflowPunct w:val="0"/>
        <w:topLinePunct/>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根据《新疆维吾尔自治区环境保护条例》第三十条</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任何单位和个人不得在水源涵养区、饮用水水源保护区内和河流、湖泊、水库周围建设重化工、涉重金属等工业污染项目；对已建成的工业污染项目，当地人民政府应当组织限期搬迁。</w:t>
      </w: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采矿工程不属于《关于进一步加强重金属污染防控的意见》中重点重金属（铅、汞、镉、铬、铊、锑、砷）工业污染项目，符合《新疆维吾尔自治区环境保护条例》的</w:t>
      </w:r>
      <w:r>
        <w:rPr>
          <w:rFonts w:hint="eastAsia"/>
          <w:color w:val="000000" w:themeColor="text1"/>
          <w:sz w:val="24"/>
          <w14:textFill>
            <w14:solidFill>
              <w14:schemeClr w14:val="tx1"/>
            </w14:solidFill>
          </w14:textFill>
        </w:rPr>
        <w:t>相关</w:t>
      </w:r>
      <w:r>
        <w:rPr>
          <w:color w:val="000000" w:themeColor="text1"/>
          <w:sz w:val="24"/>
          <w14:textFill>
            <w14:solidFill>
              <w14:schemeClr w14:val="tx1"/>
            </w14:solidFill>
          </w14:textFill>
        </w:rPr>
        <w:t>要求。</w:t>
      </w:r>
    </w:p>
    <w:p w14:paraId="7B1F9DDB">
      <w:pPr>
        <w:overflowPunct w:val="0"/>
        <w:topLinePunct/>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所在地不属于依法划定的自然保护区、风景名胜区和饮用水水源保护区</w:t>
      </w:r>
      <w:r>
        <w:rPr>
          <w:rFonts w:hint="default" w:ascii="Times New Roman" w:hAnsi="Times New Roman" w:eastAsia="宋体" w:cs="Times New Roman"/>
          <w:color w:val="000000" w:themeColor="text1"/>
          <w:sz w:val="24"/>
          <w14:textFill>
            <w14:solidFill>
              <w14:schemeClr w14:val="tx1"/>
            </w14:solidFill>
          </w14:textFill>
        </w:rPr>
        <w:t>等生态禁采及限采范围</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不属于水源涵养区、水源保护区等禁采区</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也不属于地质灾害危险区等生态脆弱区；矿区所采用方法均为国内普遍运用的采矿方法，</w:t>
      </w:r>
      <w:r>
        <w:rPr>
          <w:rFonts w:hint="eastAsia"/>
          <w:color w:val="000000" w:themeColor="text1"/>
          <w:sz w:val="24"/>
          <w14:textFill>
            <w14:solidFill>
              <w14:schemeClr w14:val="tx1"/>
            </w14:solidFill>
          </w14:textFill>
        </w:rPr>
        <w:t>矿井涌水去向合理，井下开采废石堆至废石堆场</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待开采结束后回填采空区</w:t>
      </w:r>
      <w:r>
        <w:rPr>
          <w:rFonts w:hint="eastAsia"/>
          <w:color w:val="000000" w:themeColor="text1"/>
          <w:sz w:val="24"/>
          <w14:textFill>
            <w14:solidFill>
              <w14:schemeClr w14:val="tx1"/>
            </w14:solidFill>
          </w14:textFill>
        </w:rPr>
        <w:t>。本</w:t>
      </w:r>
      <w:r>
        <w:rPr>
          <w:rFonts w:hint="eastAsia"/>
          <w:color w:val="000000" w:themeColor="text1"/>
          <w:sz w:val="24"/>
          <w:lang w:eastAsia="zh-CN"/>
          <w14:textFill>
            <w14:solidFill>
              <w14:schemeClr w14:val="tx1"/>
            </w14:solidFill>
          </w14:textFill>
        </w:rPr>
        <w:t>项目</w:t>
      </w:r>
      <w:r>
        <w:rPr>
          <w:color w:val="000000" w:themeColor="text1"/>
          <w:sz w:val="24"/>
          <w14:textFill>
            <w14:solidFill>
              <w14:schemeClr w14:val="tx1"/>
            </w14:solidFill>
          </w14:textFill>
        </w:rPr>
        <w:t>建设符合《矿山生态环境保护与污染防治技术政策》</w:t>
      </w:r>
      <w:r>
        <w:rPr>
          <w:rFonts w:hint="default" w:ascii="Times New Roman" w:hAnsi="Times New Roman" w:eastAsia="宋体" w:cs="Times New Roman"/>
          <w:color w:val="000000" w:themeColor="text1"/>
          <w:sz w:val="24"/>
          <w14:textFill>
            <w14:solidFill>
              <w14:schemeClr w14:val="tx1"/>
            </w14:solidFill>
          </w14:textFill>
        </w:rPr>
        <w:t>《新疆维吾尔自治区重点行业生态环境准入条件（2024年）》</w:t>
      </w:r>
      <w:r>
        <w:rPr>
          <w:rFonts w:hint="default" w:ascii="Times New Roman" w:hAnsi="Times New Roman" w:eastAsia="宋体" w:cs="Times New Roman"/>
          <w:color w:val="000000" w:themeColor="text1"/>
          <w:sz w:val="24"/>
          <w:lang w:eastAsia="zh-CN"/>
          <w14:textFill>
            <w14:solidFill>
              <w14:schemeClr w14:val="tx1"/>
            </w14:solidFill>
          </w14:textFill>
        </w:rPr>
        <w:t>《新疆生态环境保护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十四五</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规划》</w:t>
      </w:r>
      <w:r>
        <w:rPr>
          <w:rFonts w:hint="default" w:ascii="Times New Roman" w:hAnsi="Times New Roman" w:eastAsia="宋体" w:cs="Times New Roman"/>
          <w:color w:val="000000" w:themeColor="text1"/>
          <w:sz w:val="24"/>
          <w14:textFill>
            <w14:solidFill>
              <w14:schemeClr w14:val="tx1"/>
            </w14:solidFill>
          </w14:textFill>
        </w:rPr>
        <w:t>中的相关要求。</w:t>
      </w:r>
    </w:p>
    <w:p w14:paraId="419F181F">
      <w:pPr>
        <w:overflowPunct w:val="0"/>
        <w:topLinePunct/>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开采矿种为铁矿石，符合《新疆维吾尔自治区国民经济和社会发展第十四个五年规划和2035年远景目标纲要》（2021年2月5日新疆维吾尔自治区第十三届人民代表大会第四次会议通过）</w:t>
      </w:r>
      <w:r>
        <w:rPr>
          <w:rFonts w:hint="eastAsia"/>
          <w:color w:val="000000" w:themeColor="text1"/>
          <w:sz w:val="24"/>
          <w14:textFill>
            <w14:solidFill>
              <w14:schemeClr w14:val="tx1"/>
            </w14:solidFill>
          </w14:textFill>
        </w:rPr>
        <w:t>以及《哈密市国民经济和社会发展第十四个五年规划和2035年远景目标纲要》（2021年1月27日哈密市第一届人民代表大会第六次会议通过）</w:t>
      </w:r>
      <w:r>
        <w:rPr>
          <w:color w:val="000000" w:themeColor="text1"/>
          <w:sz w:val="24"/>
          <w14:textFill>
            <w14:solidFill>
              <w14:schemeClr w14:val="tx1"/>
            </w14:solidFill>
          </w14:textFill>
        </w:rPr>
        <w:t>中的相关规定</w:t>
      </w:r>
      <w:r>
        <w:rPr>
          <w:rFonts w:hint="eastAsia"/>
          <w:color w:val="000000" w:themeColor="text1"/>
          <w:sz w:val="24"/>
          <w14:textFill>
            <w14:solidFill>
              <w14:schemeClr w14:val="tx1"/>
            </w14:solidFill>
          </w14:textFill>
        </w:rPr>
        <w:t>。</w:t>
      </w:r>
    </w:p>
    <w:p w14:paraId="248A8F34">
      <w:pPr>
        <w:overflowPunct w:val="0"/>
        <w:topLinePunct/>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本项目位于</w:t>
      </w:r>
      <w:r>
        <w:rPr>
          <w:rFonts w:hint="eastAsia"/>
          <w:color w:val="000000" w:themeColor="text1"/>
          <w:sz w:val="24"/>
          <w:szCs w:val="24"/>
          <w14:textFill>
            <w14:solidFill>
              <w14:schemeClr w14:val="tx1"/>
            </w14:solidFill>
          </w14:textFill>
        </w:rPr>
        <w:t>新疆维吾尔自治区哈密市168</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方位（与哈密市直线距离约179km），哈密市伊州区雅满苏镇以南约7</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km处，矿区范围属于</w:t>
      </w:r>
      <w:r>
        <w:rPr>
          <w:color w:val="000000" w:themeColor="text1"/>
          <w:sz w:val="24"/>
          <w:szCs w:val="24"/>
          <w14:textFill>
            <w14:solidFill>
              <w14:schemeClr w14:val="tx1"/>
            </w14:solidFill>
          </w14:textFill>
        </w:rPr>
        <w:t>《新疆维吾尔自治区矿产资源总体规划（2021</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2025年）》划定的</w:t>
      </w:r>
      <w:r>
        <w:rPr>
          <w:rFonts w:hint="eastAsia"/>
          <w:color w:val="000000" w:themeColor="text1"/>
          <w:sz w:val="24"/>
          <w:szCs w:val="24"/>
          <w14:textFill>
            <w14:solidFill>
              <w14:schemeClr w14:val="tx1"/>
            </w14:solidFill>
          </w14:textFill>
        </w:rPr>
        <w:t>东天山能源矿产、黑色及有色金属勘查开发区，符合《新疆维吾尔自治区矿产资源总体规划（2021-2025年）》规划的相关要求，符合《</w:t>
      </w:r>
      <w:r>
        <w:rPr>
          <w:rFonts w:hint="eastAsia"/>
          <w:color w:val="000000" w:themeColor="text1"/>
          <w:sz w:val="24"/>
          <w:szCs w:val="24"/>
          <w:lang w:val="en-US" w:eastAsia="zh-CN"/>
          <w14:textFill>
            <w14:solidFill>
              <w14:schemeClr w14:val="tx1"/>
            </w14:solidFill>
          </w14:textFill>
        </w:rPr>
        <w:t>哈密市伊州区</w:t>
      </w:r>
      <w:r>
        <w:rPr>
          <w:rFonts w:hint="eastAsia"/>
          <w:color w:val="000000" w:themeColor="text1"/>
          <w:sz w:val="24"/>
          <w:szCs w:val="24"/>
          <w14:textFill>
            <w14:solidFill>
              <w14:schemeClr w14:val="tx1"/>
            </w14:solidFill>
          </w14:textFill>
        </w:rPr>
        <w:t>矿产资源总体规划（20</w:t>
      </w:r>
      <w:r>
        <w:rPr>
          <w:rFonts w:hint="eastAsia"/>
          <w:color w:val="000000" w:themeColor="text1"/>
          <w:sz w:val="24"/>
          <w:szCs w:val="24"/>
          <w:lang w:val="en-US" w:eastAsia="zh-CN"/>
          <w14:textFill>
            <w14:solidFill>
              <w14:schemeClr w14:val="tx1"/>
            </w14:solidFill>
          </w14:textFill>
        </w:rPr>
        <w:t>21</w:t>
      </w:r>
      <w:r>
        <w:rPr>
          <w:rFonts w:hint="eastAsia"/>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年）》的相关要求。</w:t>
      </w:r>
    </w:p>
    <w:p w14:paraId="651CEB89">
      <w:pPr>
        <w:overflowPunct w:val="0"/>
        <w:topLinePunct/>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w:t>
      </w:r>
      <w:r>
        <w:rPr>
          <w:rFonts w:hint="eastAsia"/>
          <w:color w:val="000000" w:themeColor="text1"/>
          <w:sz w:val="24"/>
          <w14:textFill>
            <w14:solidFill>
              <w14:schemeClr w14:val="tx1"/>
            </w14:solidFill>
          </w14:textFill>
        </w:rPr>
        <w:t>铁矿开采</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开采方式为地下开采，</w:t>
      </w:r>
      <w:r>
        <w:rPr>
          <w:color w:val="000000" w:themeColor="text1"/>
          <w:sz w:val="24"/>
          <w14:textFill>
            <w14:solidFill>
              <w14:schemeClr w14:val="tx1"/>
            </w14:solidFill>
          </w14:textFill>
        </w:rPr>
        <w:t>关注的主要环境问题为施工活动中造成的生态环境影响，后期运营过程中产生的无组织粉尘﹑生活污水、机械噪声、生活垃圾等对周边环境造成的影响</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铁矿开采过程中</w:t>
      </w:r>
      <w:r>
        <w:rPr>
          <w:rFonts w:hint="eastAsia"/>
          <w:color w:val="000000" w:themeColor="text1"/>
          <w:sz w:val="24"/>
          <w14:textFill>
            <w14:solidFill>
              <w14:schemeClr w14:val="tx1"/>
            </w14:solidFill>
          </w14:textFill>
        </w:rPr>
        <w:t>废石堆场</w:t>
      </w:r>
      <w:r>
        <w:rPr>
          <w:color w:val="000000" w:themeColor="text1"/>
          <w:sz w:val="24"/>
          <w14:textFill>
            <w14:solidFill>
              <w14:schemeClr w14:val="tx1"/>
            </w14:solidFill>
          </w14:textFill>
        </w:rPr>
        <w:t>产生的生态影响</w:t>
      </w:r>
      <w:r>
        <w:rPr>
          <w:rFonts w:hint="eastAsia"/>
          <w:color w:val="000000" w:themeColor="text1"/>
          <w:sz w:val="24"/>
          <w14:textFill>
            <w14:solidFill>
              <w14:schemeClr w14:val="tx1"/>
            </w14:solidFill>
          </w14:textFill>
        </w:rPr>
        <w:t>以及风险影响</w:t>
      </w:r>
      <w:r>
        <w:rPr>
          <w:color w:val="000000" w:themeColor="text1"/>
          <w:sz w:val="24"/>
          <w14:textFill>
            <w14:solidFill>
              <w14:schemeClr w14:val="tx1"/>
            </w14:solidFill>
          </w14:textFill>
        </w:rPr>
        <w:t>。</w:t>
      </w:r>
    </w:p>
    <w:p w14:paraId="064F35E0">
      <w:pPr>
        <w:overflowPunct w:val="0"/>
        <w:topLinePunct/>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项目产生的环境影响可通过采取一定的措施予以消除或减缓，从环境角度看</w:t>
      </w: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建设是合理的。</w:t>
      </w:r>
    </w:p>
    <w:p w14:paraId="3B7CA88F">
      <w:pPr>
        <w:pStyle w:val="3"/>
        <w:jc w:val="left"/>
        <w:rPr>
          <w:bCs/>
          <w:color w:val="000000" w:themeColor="text1"/>
          <w:kern w:val="2"/>
          <w:szCs w:val="32"/>
          <w14:textFill>
            <w14:solidFill>
              <w14:schemeClr w14:val="tx1"/>
            </w14:solidFill>
          </w14:textFill>
        </w:rPr>
      </w:pPr>
      <w:bookmarkStart w:id="56" w:name="_Toc111767536"/>
      <w:bookmarkStart w:id="57" w:name="_Toc1521015586"/>
      <w:bookmarkStart w:id="58" w:name="_Toc479"/>
      <w:bookmarkStart w:id="59" w:name="_Toc6009"/>
      <w:bookmarkStart w:id="60" w:name="_Toc12294"/>
      <w:bookmarkStart w:id="61" w:name="_Toc8594"/>
      <w:bookmarkStart w:id="62" w:name="_Toc21860"/>
      <w:bookmarkStart w:id="63" w:name="_Toc24086"/>
      <w:r>
        <w:rPr>
          <w:bCs/>
          <w:color w:val="000000" w:themeColor="text1"/>
          <w:kern w:val="2"/>
          <w:szCs w:val="32"/>
          <w14:textFill>
            <w14:solidFill>
              <w14:schemeClr w14:val="tx1"/>
            </w14:solidFill>
          </w14:textFill>
        </w:rPr>
        <w:t>1.4关注的主要环境问题及环境影响</w:t>
      </w:r>
      <w:bookmarkEnd w:id="56"/>
      <w:bookmarkEnd w:id="57"/>
      <w:bookmarkEnd w:id="58"/>
      <w:bookmarkEnd w:id="59"/>
      <w:bookmarkEnd w:id="60"/>
      <w:bookmarkEnd w:id="61"/>
      <w:bookmarkEnd w:id="62"/>
      <w:bookmarkEnd w:id="63"/>
    </w:p>
    <w:p w14:paraId="6356E50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本项目运营期以废气、废水、固废排放为主要污染特征，其大气污染物处理措施</w:t>
      </w:r>
      <w:r>
        <w:rPr>
          <w:rFonts w:hint="eastAsia"/>
          <w:color w:val="000000" w:themeColor="text1"/>
          <w:sz w:val="24"/>
          <w14:textFill>
            <w14:solidFill>
              <w14:schemeClr w14:val="tx1"/>
            </w14:solidFill>
          </w14:textFill>
        </w:rPr>
        <w:t>合理性</w:t>
      </w:r>
      <w:r>
        <w:rPr>
          <w:color w:val="000000" w:themeColor="text1"/>
          <w:sz w:val="24"/>
          <w14:textFill>
            <w14:solidFill>
              <w14:schemeClr w14:val="tx1"/>
            </w14:solidFill>
          </w14:textFill>
        </w:rPr>
        <w:t>、生产废水</w:t>
      </w:r>
      <w:r>
        <w:rPr>
          <w:rFonts w:hint="eastAsia"/>
          <w:color w:val="000000" w:themeColor="text1"/>
          <w:sz w:val="24"/>
          <w14:textFill>
            <w14:solidFill>
              <w14:schemeClr w14:val="tx1"/>
            </w14:solidFill>
          </w14:textFill>
        </w:rPr>
        <w:t>排放去向</w:t>
      </w:r>
      <w:r>
        <w:rPr>
          <w:color w:val="000000" w:themeColor="text1"/>
          <w:sz w:val="24"/>
          <w14:textFill>
            <w14:solidFill>
              <w14:schemeClr w14:val="tx1"/>
            </w14:solidFill>
          </w14:textFill>
        </w:rPr>
        <w:t>可行性、</w:t>
      </w:r>
      <w:r>
        <w:rPr>
          <w:rFonts w:hint="eastAsia"/>
          <w:color w:val="000000" w:themeColor="text1"/>
          <w:sz w:val="24"/>
          <w14:textFill>
            <w14:solidFill>
              <w14:schemeClr w14:val="tx1"/>
            </w14:solidFill>
          </w14:textFill>
        </w:rPr>
        <w:t>生活污水</w:t>
      </w:r>
      <w:r>
        <w:rPr>
          <w:color w:val="000000" w:themeColor="text1"/>
          <w:sz w:val="24"/>
          <w14:textFill>
            <w14:solidFill>
              <w14:schemeClr w14:val="tx1"/>
            </w14:solidFill>
          </w14:textFill>
        </w:rPr>
        <w:t>处理及排放去向可行性、固废处置可行性等是减少项目建设对外环境污染的重点关注问题。还需重视项目施工及运营引发的环境影响能否满足区域环境功能，</w:t>
      </w:r>
      <w:r>
        <w:rPr>
          <w:rFonts w:hint="eastAsia"/>
          <w:color w:val="000000" w:themeColor="text1"/>
          <w:sz w:val="24"/>
          <w14:textFill>
            <w14:solidFill>
              <w14:schemeClr w14:val="tx1"/>
            </w14:solidFill>
          </w14:textFill>
        </w:rPr>
        <w:t>重点关注铁矿开采地表错动范围内生态破坏情况及恢复措施是否可行，</w:t>
      </w:r>
      <w:r>
        <w:rPr>
          <w:color w:val="000000" w:themeColor="text1"/>
          <w:sz w:val="24"/>
          <w14:textFill>
            <w14:solidFill>
              <w14:schemeClr w14:val="tx1"/>
            </w14:solidFill>
          </w14:textFill>
        </w:rPr>
        <w:t>采取的污染防治措施能否保证各项污染物达标排放，项目环境风险是否可以接受。</w:t>
      </w:r>
    </w:p>
    <w:p w14:paraId="7FA3D2B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因此，本项目环境影响评价以工程分析、大气环境影响预测与评价、水环境影响评价、固体废物影响分析、生态环境影响分析、环保治理措施</w:t>
      </w:r>
      <w:r>
        <w:rPr>
          <w:rFonts w:hint="eastAsia"/>
          <w:color w:val="000000" w:themeColor="text1"/>
          <w:sz w:val="24"/>
          <w14:textFill>
            <w14:solidFill>
              <w14:schemeClr w14:val="tx1"/>
            </w14:solidFill>
          </w14:textFill>
        </w:rPr>
        <w:t>及经济技术可行性分析、</w:t>
      </w:r>
      <w:r>
        <w:rPr>
          <w:color w:val="000000" w:themeColor="text1"/>
          <w:sz w:val="24"/>
          <w14:textFill>
            <w14:solidFill>
              <w14:schemeClr w14:val="tx1"/>
            </w14:solidFill>
          </w14:textFill>
        </w:rPr>
        <w:t>环境风险分析作为本次评价的重点。</w:t>
      </w:r>
    </w:p>
    <w:p w14:paraId="484A0CA4">
      <w:pPr>
        <w:pStyle w:val="3"/>
        <w:jc w:val="left"/>
        <w:rPr>
          <w:bCs/>
          <w:color w:val="000000" w:themeColor="text1"/>
          <w:kern w:val="2"/>
          <w:szCs w:val="32"/>
          <w14:textFill>
            <w14:solidFill>
              <w14:schemeClr w14:val="tx1"/>
            </w14:solidFill>
          </w14:textFill>
        </w:rPr>
      </w:pPr>
      <w:bookmarkStart w:id="64" w:name="_Toc2624"/>
      <w:bookmarkStart w:id="65" w:name="_Toc111767537"/>
      <w:bookmarkStart w:id="66" w:name="_Toc13998"/>
      <w:bookmarkStart w:id="67" w:name="_Toc13550"/>
      <w:bookmarkStart w:id="68" w:name="_Toc17951"/>
      <w:bookmarkStart w:id="69" w:name="_Toc63620014"/>
      <w:bookmarkStart w:id="70" w:name="_Toc19548"/>
      <w:bookmarkStart w:id="71" w:name="_Toc16437"/>
      <w:r>
        <w:rPr>
          <w:bCs/>
          <w:color w:val="000000" w:themeColor="text1"/>
          <w:kern w:val="2"/>
          <w:szCs w:val="32"/>
          <w14:textFill>
            <w14:solidFill>
              <w14:schemeClr w14:val="tx1"/>
            </w14:solidFill>
          </w14:textFill>
        </w:rPr>
        <w:t>1.5报告书主要结论</w:t>
      </w:r>
      <w:bookmarkEnd w:id="64"/>
      <w:bookmarkEnd w:id="65"/>
      <w:bookmarkEnd w:id="66"/>
      <w:bookmarkEnd w:id="67"/>
      <w:bookmarkEnd w:id="68"/>
      <w:bookmarkEnd w:id="69"/>
      <w:bookmarkEnd w:id="70"/>
      <w:bookmarkEnd w:id="71"/>
    </w:p>
    <w:p w14:paraId="5E0C1B21">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根据《国民经济行业分类》（GB/T4754-2017），本项目属于铁矿采选业（B0810）；根据《建设项目环境影响评价分类管理名录</w:t>
      </w:r>
      <w:r>
        <w:rPr>
          <w:rFonts w:hint="eastAsia"/>
          <w:color w:val="000000" w:themeColor="text1"/>
          <w:sz w:val="24"/>
          <w14:textFill>
            <w14:solidFill>
              <w14:schemeClr w14:val="tx1"/>
            </w14:solidFill>
          </w14:textFill>
        </w:rPr>
        <w:t>（2021年本）</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本项目属于</w:t>
      </w:r>
      <w:r>
        <w:rPr>
          <w:rFonts w:hint="eastAsia"/>
          <w:color w:val="000000" w:themeColor="text1"/>
          <w:sz w:val="24"/>
          <w14:textFill>
            <w14:solidFill>
              <w14:schemeClr w14:val="tx1"/>
            </w14:solidFill>
          </w14:textFill>
        </w:rPr>
        <w:t>“六</w:t>
      </w:r>
      <w:r>
        <w:rPr>
          <w:color w:val="000000" w:themeColor="text1"/>
          <w:sz w:val="24"/>
          <w14:textFill>
            <w14:solidFill>
              <w14:schemeClr w14:val="tx1"/>
            </w14:solidFill>
          </w14:textFill>
        </w:rPr>
        <w:t>、黑色金属矿采选业</w:t>
      </w:r>
      <w:r>
        <w:rPr>
          <w:rFonts w:hint="eastAsia"/>
          <w:color w:val="000000" w:themeColor="text1"/>
          <w:sz w:val="24"/>
          <w14:textFill>
            <w14:solidFill>
              <w14:schemeClr w14:val="tx1"/>
            </w14:solidFill>
          </w14:textFill>
        </w:rPr>
        <w:t>08、铁矿采选081”</w:t>
      </w:r>
      <w:r>
        <w:rPr>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本项目属于铁矿开采项目，</w:t>
      </w:r>
      <w:r>
        <w:rPr>
          <w:color w:val="000000" w:themeColor="text1"/>
          <w:sz w:val="24"/>
          <w14:textFill>
            <w14:solidFill>
              <w14:schemeClr w14:val="tx1"/>
            </w14:solidFill>
          </w14:textFill>
        </w:rPr>
        <w:t>根据《产业结构调整指导目录（20</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年本）》，属于</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鼓励类</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，本项目的建设符合国家产业政策。</w:t>
      </w:r>
    </w:p>
    <w:p w14:paraId="60B8F3F0">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选址与空间布局符合性及污染防治与环境影响符合性满足</w:t>
      </w:r>
      <w:r>
        <w:rPr>
          <w:rFonts w:hint="default" w:ascii="Times New Roman" w:hAnsi="Times New Roman" w:eastAsia="宋体" w:cs="Times New Roman"/>
          <w:color w:val="000000" w:themeColor="text1"/>
          <w:sz w:val="24"/>
          <w14:textFill>
            <w14:solidFill>
              <w14:schemeClr w14:val="tx1"/>
            </w14:solidFill>
          </w14:textFill>
        </w:rPr>
        <w:t>《新疆维吾尔自治区重点行业生态环境准入条件（2024年）》</w:t>
      </w:r>
      <w:r>
        <w:rPr>
          <w:color w:val="000000" w:themeColor="text1"/>
          <w:sz w:val="24"/>
          <w14:textFill>
            <w14:solidFill>
              <w14:schemeClr w14:val="tx1"/>
            </w14:solidFill>
          </w14:textFill>
        </w:rPr>
        <w:t>的有关要求。项目的建设与发展符合</w:t>
      </w:r>
      <w:r>
        <w:rPr>
          <w:rFonts w:hint="eastAsia"/>
          <w:color w:val="000000" w:themeColor="text1"/>
          <w:sz w:val="24"/>
          <w14:textFill>
            <w14:solidFill>
              <w14:schemeClr w14:val="tx1"/>
            </w14:solidFill>
          </w14:textFill>
        </w:rPr>
        <w:t>《哈密市国民经济和社会发展第十四个五年规划和2035年远景目标纲要》</w:t>
      </w:r>
      <w:r>
        <w:rPr>
          <w:color w:val="000000" w:themeColor="text1"/>
          <w:sz w:val="24"/>
          <w14:textFill>
            <w14:solidFill>
              <w14:schemeClr w14:val="tx1"/>
            </w14:solidFill>
          </w14:textFill>
        </w:rPr>
        <w:t>《新疆维吾尔自治区矿产资源总体规划（2021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2025年）》</w:t>
      </w:r>
      <w:r>
        <w:rPr>
          <w:rFonts w:hint="eastAsia"/>
          <w:color w:val="000000" w:themeColor="text1"/>
          <w:sz w:val="24"/>
          <w14:textFill>
            <w14:solidFill>
              <w14:schemeClr w14:val="tx1"/>
            </w14:solidFill>
          </w14:textFill>
        </w:rPr>
        <w:t>《新疆生态环境保护“十四五”规划》</w:t>
      </w:r>
      <w:r>
        <w:rPr>
          <w:rFonts w:hint="eastAsia"/>
          <w:color w:val="000000" w:themeColor="text1"/>
          <w:sz w:val="24"/>
          <w:lang w:eastAsia="zh-CN"/>
          <w14:textFill>
            <w14:solidFill>
              <w14:schemeClr w14:val="tx1"/>
            </w14:solidFill>
          </w14:textFill>
        </w:rPr>
        <w:t>《哈密市生态环境保护“十四五”规划》</w:t>
      </w:r>
      <w:r>
        <w:rPr>
          <w:rFonts w:hint="eastAsia"/>
          <w:color w:val="000000" w:themeColor="text1"/>
          <w:sz w:val="24"/>
          <w14:textFill>
            <w14:solidFill>
              <w14:schemeClr w14:val="tx1"/>
            </w14:solidFill>
          </w14:textFill>
        </w:rPr>
        <w:t>以及</w:t>
      </w:r>
      <w:r>
        <w:rPr>
          <w:rFonts w:hint="eastAsia"/>
          <w:color w:val="000000" w:themeColor="text1"/>
          <w:sz w:val="24"/>
          <w:lang w:val="en-US" w:eastAsia="zh-CN"/>
          <w14:textFill>
            <w14:solidFill>
              <w14:schemeClr w14:val="tx1"/>
            </w14:solidFill>
          </w14:textFill>
        </w:rPr>
        <w:t>生态环境分区管控</w:t>
      </w:r>
      <w:r>
        <w:rPr>
          <w:rFonts w:hint="eastAsia"/>
          <w:color w:val="000000" w:themeColor="text1"/>
          <w:sz w:val="24"/>
          <w14:textFill>
            <w14:solidFill>
              <w14:schemeClr w14:val="tx1"/>
            </w14:solidFill>
          </w14:textFill>
        </w:rPr>
        <w:t>的要求。</w:t>
      </w:r>
    </w:p>
    <w:p w14:paraId="63E4B0EF">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w:t>本项目符合清洁生产要求，</w:t>
      </w:r>
      <w:r>
        <w:rPr>
          <w:rFonts w:hint="eastAsia"/>
          <w:color w:val="000000" w:themeColor="text1"/>
          <w:sz w:val="24"/>
          <w14:textFill>
            <w14:solidFill>
              <w14:schemeClr w14:val="tx1"/>
            </w14:solidFill>
          </w14:textFill>
        </w:rPr>
        <w:t>本次评价要求建设单位积极开展清洁生产审核工作，采用国内先进的工艺设备，提高工业水重复利用率，加强废石综合利用，按照清洁生产二级标准执行环境管理工作；项目产生的各类废物污染物均采取有效的防治措施，可达标排放并符合污染物总量控制要求，经预测本项目建成后对周围环境产生的影响在可接受范围内；环境风险水平在可接受程度内；公众参与调查工作中，未收到公众对</w:t>
      </w:r>
      <w:r>
        <w:rPr>
          <w:rFonts w:hint="eastAsia"/>
          <w:color w:val="000000" w:themeColor="text1"/>
          <w:sz w:val="24"/>
          <w:lang w:val="en-US" w:eastAsia="zh-CN"/>
          <w14:textFill>
            <w14:solidFill>
              <w14:schemeClr w14:val="tx1"/>
            </w14:solidFill>
          </w14:textFill>
        </w:rPr>
        <w:t>本</w:t>
      </w:r>
      <w:r>
        <w:rPr>
          <w:rFonts w:hint="eastAsia"/>
          <w:color w:val="000000" w:themeColor="text1"/>
          <w:sz w:val="24"/>
          <w14:textFill>
            <w14:solidFill>
              <w14:schemeClr w14:val="tx1"/>
            </w14:solidFill>
          </w14:textFill>
        </w:rPr>
        <w:t>项目的反馈意见。建设单位应加强环保设施的运行维护和管理，保证各种环保设施的正常运行和污染物长期稳定达标排放。在落实并保证以上条件实施的前提下，从</w:t>
      </w:r>
      <w:r>
        <w:rPr>
          <w:rFonts w:hint="eastAsia"/>
          <w:color w:val="000000" w:themeColor="text1"/>
          <w:sz w:val="24"/>
          <w:lang w:val="en-US" w:eastAsia="zh-CN"/>
          <w14:textFill>
            <w14:solidFill>
              <w14:schemeClr w14:val="tx1"/>
            </w14:solidFill>
          </w14:textFill>
        </w:rPr>
        <w:t>生态环境保护</w:t>
      </w:r>
      <w:r>
        <w:rPr>
          <w:rFonts w:hint="eastAsia"/>
          <w:color w:val="000000" w:themeColor="text1"/>
          <w:sz w:val="24"/>
          <w14:textFill>
            <w14:solidFill>
              <w14:schemeClr w14:val="tx1"/>
            </w14:solidFill>
          </w14:textFill>
        </w:rPr>
        <w:t>角度分析，</w:t>
      </w:r>
      <w:r>
        <w:rPr>
          <w:rFonts w:hint="eastAsia"/>
          <w:color w:val="000000" w:themeColor="text1"/>
          <w:sz w:val="24"/>
          <w:lang w:val="en-US" w:eastAsia="zh-CN"/>
          <w14:textFill>
            <w14:solidFill>
              <w14:schemeClr w14:val="tx1"/>
            </w14:solidFill>
          </w14:textFill>
        </w:rPr>
        <w:t>本</w:t>
      </w:r>
      <w:r>
        <w:rPr>
          <w:rFonts w:hint="eastAsia"/>
          <w:color w:val="000000" w:themeColor="text1"/>
          <w:sz w:val="24"/>
          <w14:textFill>
            <w14:solidFill>
              <w14:schemeClr w14:val="tx1"/>
            </w14:solidFill>
          </w14:textFill>
        </w:rPr>
        <w:t>项目的建设是可行的。</w:t>
      </w:r>
    </w:p>
    <w:p w14:paraId="227A0D19">
      <w:pPr>
        <w:spacing w:line="480" w:lineRule="exact"/>
        <w:ind w:firstLine="480" w:firstLineChars="200"/>
        <w:rPr>
          <w:rFonts w:hint="eastAsia"/>
          <w:color w:val="000000" w:themeColor="text1"/>
          <w:sz w:val="24"/>
          <w:szCs w:val="24"/>
          <w14:textFill>
            <w14:solidFill>
              <w14:schemeClr w14:val="tx1"/>
            </w14:solidFill>
          </w14:textFill>
        </w:rPr>
        <w:sectPr>
          <w:footerReference r:id="rId18" w:type="default"/>
          <w:footerReference r:id="rId1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B4F5035">
      <w:pPr>
        <w:pStyle w:val="2"/>
        <w:keepNext/>
        <w:keepLines/>
        <w:spacing w:before="0" w:after="0" w:line="720" w:lineRule="exact"/>
        <w:jc w:val="both"/>
        <w:rPr>
          <w:color w:val="000000" w:themeColor="text1"/>
          <w:szCs w:val="36"/>
          <w14:textFill>
            <w14:solidFill>
              <w14:schemeClr w14:val="tx1"/>
            </w14:solidFill>
          </w14:textFill>
        </w:rPr>
      </w:pPr>
      <w:bookmarkStart w:id="72" w:name="_Toc23041"/>
      <w:bookmarkStart w:id="73" w:name="_Toc12494"/>
      <w:bookmarkStart w:id="74" w:name="_Toc14020"/>
      <w:bookmarkStart w:id="75" w:name="_Toc8507"/>
      <w:bookmarkStart w:id="76" w:name="_Toc111767538"/>
      <w:bookmarkStart w:id="77" w:name="_Toc13432"/>
      <w:bookmarkStart w:id="78" w:name="_Toc14950"/>
      <w:bookmarkStart w:id="79" w:name="_Toc1962202739"/>
      <w:r>
        <w:rPr>
          <w:color w:val="000000" w:themeColor="text1"/>
          <w:szCs w:val="36"/>
          <w14:textFill>
            <w14:solidFill>
              <w14:schemeClr w14:val="tx1"/>
            </w14:solidFill>
          </w14:textFill>
        </w:rPr>
        <w:t>2总则</w:t>
      </w:r>
      <w:bookmarkEnd w:id="72"/>
      <w:bookmarkEnd w:id="73"/>
      <w:bookmarkEnd w:id="74"/>
      <w:bookmarkEnd w:id="75"/>
      <w:bookmarkEnd w:id="76"/>
      <w:bookmarkEnd w:id="77"/>
      <w:bookmarkEnd w:id="78"/>
      <w:bookmarkEnd w:id="79"/>
    </w:p>
    <w:p w14:paraId="36CA69B7">
      <w:pPr>
        <w:pStyle w:val="3"/>
        <w:jc w:val="left"/>
        <w:rPr>
          <w:bCs/>
          <w:color w:val="000000" w:themeColor="text1"/>
          <w:kern w:val="2"/>
          <w:szCs w:val="32"/>
          <w14:textFill>
            <w14:solidFill>
              <w14:schemeClr w14:val="tx1"/>
            </w14:solidFill>
          </w14:textFill>
        </w:rPr>
      </w:pPr>
      <w:bookmarkStart w:id="80" w:name="_Toc17758"/>
      <w:bookmarkStart w:id="81" w:name="_Toc10593"/>
      <w:bookmarkStart w:id="82" w:name="_Toc26514"/>
      <w:bookmarkStart w:id="83" w:name="_Toc18022"/>
      <w:bookmarkStart w:id="84" w:name="_Toc19363"/>
      <w:bookmarkStart w:id="85" w:name="_Toc111767539"/>
      <w:bookmarkStart w:id="86" w:name="_Toc1982551041"/>
      <w:bookmarkStart w:id="87" w:name="_Toc17014"/>
      <w:r>
        <w:rPr>
          <w:bCs/>
          <w:color w:val="000000" w:themeColor="text1"/>
          <w:kern w:val="2"/>
          <w:szCs w:val="32"/>
          <w14:textFill>
            <w14:solidFill>
              <w14:schemeClr w14:val="tx1"/>
            </w14:solidFill>
          </w14:textFill>
        </w:rPr>
        <w:t>2.1评价原则和目的</w:t>
      </w:r>
      <w:bookmarkEnd w:id="80"/>
      <w:bookmarkEnd w:id="81"/>
      <w:bookmarkEnd w:id="82"/>
      <w:bookmarkEnd w:id="83"/>
      <w:bookmarkEnd w:id="84"/>
      <w:bookmarkEnd w:id="85"/>
      <w:bookmarkEnd w:id="86"/>
      <w:bookmarkEnd w:id="87"/>
    </w:p>
    <w:p w14:paraId="3C671707">
      <w:pPr>
        <w:pStyle w:val="4"/>
        <w:spacing w:before="60" w:after="60" w:line="480" w:lineRule="exact"/>
        <w:rPr>
          <w:color w:val="000000" w:themeColor="text1"/>
          <w:kern w:val="2"/>
          <w14:textFill>
            <w14:solidFill>
              <w14:schemeClr w14:val="tx1"/>
            </w14:solidFill>
          </w14:textFill>
        </w:rPr>
      </w:pPr>
      <w:bookmarkStart w:id="88" w:name="_Toc31512"/>
      <w:bookmarkStart w:id="89" w:name="_Toc9631"/>
      <w:bookmarkStart w:id="90" w:name="_Toc20347"/>
      <w:bookmarkStart w:id="91" w:name="_Toc379079235"/>
      <w:bookmarkStart w:id="92" w:name="_Toc3752"/>
      <w:r>
        <w:rPr>
          <w:color w:val="000000" w:themeColor="text1"/>
          <w:kern w:val="2"/>
          <w14:textFill>
            <w14:solidFill>
              <w14:schemeClr w14:val="tx1"/>
            </w14:solidFill>
          </w14:textFill>
        </w:rPr>
        <w:t>2.1.1评价原则</w:t>
      </w:r>
      <w:bookmarkEnd w:id="88"/>
      <w:bookmarkEnd w:id="89"/>
      <w:bookmarkEnd w:id="90"/>
      <w:bookmarkEnd w:id="91"/>
      <w:bookmarkEnd w:id="92"/>
    </w:p>
    <w:p w14:paraId="6831A33C">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突出环境影响评价的源头预防作用，坚持保护和改善环境质量。</w:t>
      </w:r>
    </w:p>
    <w:p w14:paraId="78485099">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（1）依法评价</w:t>
      </w:r>
    </w:p>
    <w:p w14:paraId="653AF84A">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贯彻执行我国环境保护相关法律法规、标准、政策和规划等，优化项目建设，服务环境管理。</w:t>
      </w:r>
    </w:p>
    <w:p w14:paraId="579A0553">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（2）科学评价</w:t>
      </w:r>
    </w:p>
    <w:p w14:paraId="7C2BC243">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规范环境影响评价方法，科学分析项目建设对环境质量的影响。</w:t>
      </w:r>
    </w:p>
    <w:p w14:paraId="7EA9F81E">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（3）突出重点</w:t>
      </w:r>
    </w:p>
    <w:p w14:paraId="0623259D">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根据建设项目的工程内容及其特点，明确与环境要素间的作用效应关系，充分利用符合时效的数据资料及成果，对建设项目主要环境影响予以重点分析和评价。</w:t>
      </w:r>
    </w:p>
    <w:p w14:paraId="7C1E12F6">
      <w:pPr>
        <w:pStyle w:val="4"/>
        <w:spacing w:before="60" w:after="60" w:line="480" w:lineRule="exact"/>
        <w:rPr>
          <w:color w:val="000000" w:themeColor="text1"/>
          <w:kern w:val="2"/>
          <w14:textFill>
            <w14:solidFill>
              <w14:schemeClr w14:val="tx1"/>
            </w14:solidFill>
          </w14:textFill>
        </w:rPr>
      </w:pPr>
      <w:bookmarkStart w:id="93" w:name="_Toc28630"/>
      <w:bookmarkStart w:id="94" w:name="_Toc1748205643"/>
      <w:bookmarkStart w:id="95" w:name="_Toc23062"/>
      <w:bookmarkStart w:id="96" w:name="_Toc4147"/>
      <w:bookmarkStart w:id="97" w:name="_Toc18630"/>
      <w:r>
        <w:rPr>
          <w:color w:val="000000" w:themeColor="text1"/>
          <w:kern w:val="2"/>
          <w14:textFill>
            <w14:solidFill>
              <w14:schemeClr w14:val="tx1"/>
            </w14:solidFill>
          </w14:textFill>
        </w:rPr>
        <w:t>2.1.2评价目的</w:t>
      </w:r>
      <w:bookmarkEnd w:id="93"/>
      <w:bookmarkEnd w:id="94"/>
      <w:bookmarkEnd w:id="95"/>
      <w:bookmarkEnd w:id="96"/>
      <w:bookmarkEnd w:id="97"/>
    </w:p>
    <w:p w14:paraId="1CED128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（1）通过现场调查、资料收集及环境监测，了解项目所在地自然环境、环境质量现状以及存在的主要环境问题；</w:t>
      </w:r>
    </w:p>
    <w:p w14:paraId="2DA244E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通过工程分析，明确建设项目的主要环境影响，筛选对环境造成影响的因子，尤其关注建设项目产生的主要污染因子。并通过类比调查、物料衡算，核算污染源源强，预测项目建设对环境影响的程度与范围；</w:t>
      </w:r>
    </w:p>
    <w:p w14:paraId="7D65887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（3）从工艺着手，分析生产工艺、生产设备及原辅材料的消耗，掌握主要污染源及排放状况；</w:t>
      </w:r>
    </w:p>
    <w:p w14:paraId="4F406D8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（4）通过分析和计算，预测污染物排放对周围环境的影响程度，判断其是否满足环境质量标准和总量控制要求；</w:t>
      </w:r>
    </w:p>
    <w:p w14:paraId="73B761B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（5）从技术、经济角度分析拟采取的环保措施的可行性，为项目环保措施的设计和环境管理提供依据；</w:t>
      </w:r>
    </w:p>
    <w:p w14:paraId="42105AC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（6）从环保法规、产业政策、环境特点、污染防治等方面进行综合分析，对拟建项目的环境可行性做出明确结论，为项目的决策、污染控制和环境管理提供科学依据。</w:t>
      </w:r>
    </w:p>
    <w:p w14:paraId="52C24F3E">
      <w:pPr>
        <w:pStyle w:val="3"/>
        <w:jc w:val="left"/>
        <w:rPr>
          <w:rFonts w:hint="eastAsia"/>
          <w:bCs/>
          <w:color w:val="000000" w:themeColor="text1"/>
          <w:kern w:val="2"/>
          <w:szCs w:val="32"/>
          <w14:textFill>
            <w14:solidFill>
              <w14:schemeClr w14:val="tx1"/>
            </w14:solidFill>
          </w14:textFill>
        </w:rPr>
      </w:pPr>
      <w:bookmarkStart w:id="98" w:name="_Toc27297"/>
      <w:bookmarkStart w:id="99" w:name="_Toc14066"/>
      <w:bookmarkStart w:id="100" w:name="_Toc4778"/>
      <w:bookmarkStart w:id="101" w:name="_Toc111767540"/>
      <w:r>
        <w:rPr>
          <w:rFonts w:hint="eastAsia"/>
          <w:bCs/>
          <w:color w:val="000000" w:themeColor="text1"/>
          <w:kern w:val="2"/>
          <w:szCs w:val="32"/>
          <w14:textFill>
            <w14:solidFill>
              <w14:schemeClr w14:val="tx1"/>
            </w14:solidFill>
          </w14:textFill>
        </w:rPr>
        <w:t>2.2编制依据</w:t>
      </w:r>
      <w:bookmarkEnd w:id="98"/>
      <w:bookmarkEnd w:id="99"/>
      <w:bookmarkEnd w:id="100"/>
      <w:bookmarkEnd w:id="101"/>
    </w:p>
    <w:p w14:paraId="39BB183B">
      <w:pPr>
        <w:pStyle w:val="4"/>
        <w:spacing w:before="60" w:after="60" w:line="480" w:lineRule="exact"/>
        <w:rPr>
          <w:color w:val="000000" w:themeColor="text1"/>
          <w:kern w:val="2"/>
          <w14:textFill>
            <w14:solidFill>
              <w14:schemeClr w14:val="tx1"/>
            </w14:solidFill>
          </w14:textFill>
        </w:rPr>
      </w:pPr>
      <w:bookmarkStart w:id="102" w:name="_Toc1072929466"/>
      <w:bookmarkStart w:id="103" w:name="_Toc20346"/>
      <w:bookmarkStart w:id="104" w:name="_Toc9703"/>
      <w:bookmarkStart w:id="105" w:name="_Toc10685"/>
      <w:bookmarkStart w:id="106" w:name="_Toc7445"/>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2</w:t>
      </w:r>
      <w:r>
        <w:rPr>
          <w:color w:val="000000" w:themeColor="text1"/>
          <w:kern w:val="2"/>
          <w14:textFill>
            <w14:solidFill>
              <w14:schemeClr w14:val="tx1"/>
            </w14:solidFill>
          </w14:textFill>
        </w:rPr>
        <w:t>.1</w:t>
      </w:r>
      <w:bookmarkEnd w:id="102"/>
      <w:bookmarkEnd w:id="103"/>
      <w:bookmarkEnd w:id="104"/>
      <w:bookmarkEnd w:id="105"/>
      <w:r>
        <w:rPr>
          <w:rFonts w:hint="eastAsia"/>
          <w:color w:val="000000" w:themeColor="text1"/>
          <w:kern w:val="2"/>
          <w14:textFill>
            <w14:solidFill>
              <w14:schemeClr w14:val="tx1"/>
            </w14:solidFill>
          </w14:textFill>
        </w:rPr>
        <w:t>国家有关</w:t>
      </w:r>
      <w:r>
        <w:rPr>
          <w:color w:val="000000" w:themeColor="text1"/>
          <w:kern w:val="2"/>
          <w14:textFill>
            <w14:solidFill>
              <w14:schemeClr w14:val="tx1"/>
            </w14:solidFill>
          </w14:textFill>
        </w:rPr>
        <w:t>法律法规和政策</w:t>
      </w:r>
      <w:bookmarkEnd w:id="106"/>
    </w:p>
    <w:p w14:paraId="51B44E67">
      <w:pPr>
        <w:spacing w:line="48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本次评价依据的国家有关法律法规和规章等详见表2.2-1。</w:t>
      </w:r>
    </w:p>
    <w:p w14:paraId="3DAEE424">
      <w:pPr>
        <w:pStyle w:val="475"/>
        <w:spacing w:beforeLines="0" w:afterLines="0" w:line="480" w:lineRule="exact"/>
        <w:ind w:firstLine="0" w:firstLineChars="0"/>
        <w:rPr>
          <w:rFonts w:hint="eastAsia" w:ascii="Times New Roman" w:hAnsi="Times New Roman" w:eastAsia="宋体"/>
          <w:color w:val="000000" w:themeColor="text1"/>
          <w:kern w:val="2"/>
          <w14:textFill>
            <w14:solidFill>
              <w14:schemeClr w14:val="tx1"/>
            </w14:solidFill>
          </w14:textFill>
        </w:rPr>
      </w:pPr>
      <w:r>
        <w:rPr>
          <w:rFonts w:hint="eastAsia" w:ascii="Times New Roman" w:hAnsi="Times New Roman" w:eastAsia="宋体"/>
          <w:color w:val="000000" w:themeColor="text1"/>
          <w:kern w:val="2"/>
          <w14:textFill>
            <w14:solidFill>
              <w14:schemeClr w14:val="tx1"/>
            </w14:solidFill>
          </w14:textFill>
        </w:rPr>
        <w:t>表2.2-1    国家有关法律法规和规章一览表</w:t>
      </w:r>
    </w:p>
    <w:tbl>
      <w:tblPr>
        <w:tblStyle w:val="79"/>
        <w:tblW w:w="85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0"/>
        <w:gridCol w:w="4729"/>
        <w:gridCol w:w="2131"/>
        <w:gridCol w:w="1196"/>
      </w:tblGrid>
      <w:tr w14:paraId="21C9F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20" w:type="dxa"/>
            <w:noWrap w:val="0"/>
            <w:vAlign w:val="center"/>
          </w:tcPr>
          <w:p w14:paraId="756A5D6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4729" w:type="dxa"/>
            <w:noWrap w:val="0"/>
            <w:vAlign w:val="center"/>
          </w:tcPr>
          <w:p w14:paraId="5DB67C3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依据名称</w:t>
            </w:r>
          </w:p>
        </w:tc>
        <w:tc>
          <w:tcPr>
            <w:tcW w:w="2131" w:type="dxa"/>
            <w:noWrap w:val="0"/>
            <w:vAlign w:val="center"/>
          </w:tcPr>
          <w:p w14:paraId="3C9B505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会议、主席令、文号</w:t>
            </w:r>
          </w:p>
        </w:tc>
        <w:tc>
          <w:tcPr>
            <w:tcW w:w="1196" w:type="dxa"/>
            <w:noWrap w:val="0"/>
            <w:vAlign w:val="center"/>
          </w:tcPr>
          <w:p w14:paraId="061D20B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实施时间</w:t>
            </w:r>
          </w:p>
        </w:tc>
      </w:tr>
      <w:tr w14:paraId="3ADE7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167EBF9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b/>
                <w:bCs/>
                <w:color w:val="000000" w:themeColor="text1"/>
                <w:kern w:val="1"/>
                <w:sz w:val="21"/>
                <w:szCs w:val="21"/>
                <w:lang w:val="en-US" w:eastAsia="zh-CN"/>
                <w14:textFill>
                  <w14:solidFill>
                    <w14:schemeClr w14:val="tx1"/>
                  </w14:solidFill>
                </w14:textFill>
              </w:rPr>
              <w:t>一</w:t>
            </w:r>
          </w:p>
        </w:tc>
        <w:tc>
          <w:tcPr>
            <w:tcW w:w="8056" w:type="dxa"/>
            <w:gridSpan w:val="3"/>
            <w:noWrap w:val="0"/>
            <w:vAlign w:val="center"/>
          </w:tcPr>
          <w:p w14:paraId="29959D9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b/>
                <w:bCs/>
                <w:color w:val="000000" w:themeColor="text1"/>
                <w:kern w:val="1"/>
                <w:sz w:val="21"/>
                <w:szCs w:val="21"/>
                <w:lang w:val="en-US" w:eastAsia="zh-CN"/>
                <w14:textFill>
                  <w14:solidFill>
                    <w14:schemeClr w14:val="tx1"/>
                  </w14:solidFill>
                </w14:textFill>
              </w:rPr>
              <w:t>生态环境保护相关法律</w:t>
            </w:r>
          </w:p>
        </w:tc>
      </w:tr>
      <w:tr w14:paraId="33564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5CE0AF2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w:t>
            </w:r>
          </w:p>
        </w:tc>
        <w:tc>
          <w:tcPr>
            <w:tcW w:w="4729" w:type="dxa"/>
            <w:shd w:val="clear" w:color="auto" w:fill="auto"/>
            <w:noWrap w:val="0"/>
            <w:vAlign w:val="center"/>
          </w:tcPr>
          <w:p w14:paraId="0661238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中华人民共和国环境保护法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1AFE18D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12届人大第8次会议</w:t>
            </w:r>
          </w:p>
        </w:tc>
        <w:tc>
          <w:tcPr>
            <w:tcW w:w="1196" w:type="dxa"/>
            <w:shd w:val="clear" w:color="auto" w:fill="auto"/>
            <w:noWrap w:val="0"/>
            <w:vAlign w:val="center"/>
          </w:tcPr>
          <w:p w14:paraId="7065F37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2015.</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1</w:t>
            </w:r>
          </w:p>
        </w:tc>
      </w:tr>
      <w:tr w14:paraId="2D8A2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278E731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w:t>
            </w:r>
          </w:p>
        </w:tc>
        <w:tc>
          <w:tcPr>
            <w:tcW w:w="4729" w:type="dxa"/>
            <w:noWrap w:val="0"/>
            <w:vAlign w:val="center"/>
          </w:tcPr>
          <w:p w14:paraId="44615CA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中华人民共和国环境影响评价法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03A5946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13届人大第7次会议</w:t>
            </w:r>
          </w:p>
        </w:tc>
        <w:tc>
          <w:tcPr>
            <w:tcW w:w="1196" w:type="dxa"/>
            <w:noWrap w:val="0"/>
            <w:vAlign w:val="center"/>
          </w:tcPr>
          <w:p w14:paraId="53351FD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2018.12.29</w:t>
            </w:r>
          </w:p>
        </w:tc>
      </w:tr>
      <w:tr w14:paraId="4F93E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543F3D0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w:t>
            </w:r>
          </w:p>
        </w:tc>
        <w:tc>
          <w:tcPr>
            <w:tcW w:w="4729" w:type="dxa"/>
            <w:noWrap w:val="0"/>
            <w:vAlign w:val="center"/>
          </w:tcPr>
          <w:p w14:paraId="2E1F0E9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中华人民共和国大气污染防治法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36C950B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13届人大第6次会议</w:t>
            </w:r>
          </w:p>
        </w:tc>
        <w:tc>
          <w:tcPr>
            <w:tcW w:w="1196" w:type="dxa"/>
            <w:noWrap w:val="0"/>
            <w:vAlign w:val="center"/>
          </w:tcPr>
          <w:p w14:paraId="2E8F2D8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2018.10.26</w:t>
            </w:r>
          </w:p>
        </w:tc>
      </w:tr>
      <w:tr w14:paraId="34B14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7033DD4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4</w:t>
            </w:r>
          </w:p>
        </w:tc>
        <w:tc>
          <w:tcPr>
            <w:tcW w:w="4729" w:type="dxa"/>
            <w:noWrap w:val="0"/>
            <w:vAlign w:val="center"/>
          </w:tcPr>
          <w:p w14:paraId="096707C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中华人民共和国水污染防治法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4C536E8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12届人大第28次会议</w:t>
            </w:r>
          </w:p>
        </w:tc>
        <w:tc>
          <w:tcPr>
            <w:tcW w:w="1196" w:type="dxa"/>
            <w:noWrap w:val="0"/>
            <w:vAlign w:val="center"/>
          </w:tcPr>
          <w:p w14:paraId="4C014DE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2018.01.01</w:t>
            </w:r>
          </w:p>
        </w:tc>
      </w:tr>
      <w:tr w14:paraId="4EFCF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6BAFC7B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5</w:t>
            </w:r>
          </w:p>
        </w:tc>
        <w:tc>
          <w:tcPr>
            <w:tcW w:w="4729" w:type="dxa"/>
            <w:noWrap w:val="0"/>
            <w:vAlign w:val="center"/>
          </w:tcPr>
          <w:p w14:paraId="7E87EFD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中华人民共和国固体废物污染环境防治法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49BBAF8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13届人大第17次会议</w:t>
            </w:r>
          </w:p>
        </w:tc>
        <w:tc>
          <w:tcPr>
            <w:tcW w:w="1196" w:type="dxa"/>
            <w:noWrap w:val="0"/>
            <w:vAlign w:val="center"/>
          </w:tcPr>
          <w:p w14:paraId="29B73C8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2020.09.01</w:t>
            </w:r>
          </w:p>
        </w:tc>
      </w:tr>
      <w:tr w14:paraId="3EC1B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37FC12C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w:t>
            </w:r>
          </w:p>
        </w:tc>
        <w:tc>
          <w:tcPr>
            <w:tcW w:w="4729" w:type="dxa"/>
            <w:noWrap w:val="0"/>
            <w:vAlign w:val="center"/>
          </w:tcPr>
          <w:p w14:paraId="6007785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中华人民共和国噪声污染防治法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645ACC5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13届人大第32次会议</w:t>
            </w:r>
          </w:p>
        </w:tc>
        <w:tc>
          <w:tcPr>
            <w:tcW w:w="1196" w:type="dxa"/>
            <w:noWrap w:val="0"/>
            <w:vAlign w:val="center"/>
          </w:tcPr>
          <w:p w14:paraId="09A0B28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22</w:t>
            </w:r>
            <w:r>
              <w:rPr>
                <w:rFonts w:hint="default" w:ascii="Times New Roman" w:hAnsi="Times New Roman" w:eastAsia="宋体" w:cs="Times New Roman"/>
                <w:b w:val="0"/>
                <w:bCs/>
                <w:color w:val="000000" w:themeColor="text1"/>
                <w:sz w:val="21"/>
                <w:szCs w:val="21"/>
                <w14:textFill>
                  <w14:solidFill>
                    <w14:schemeClr w14:val="tx1"/>
                  </w14:solidFill>
                </w14:textFill>
              </w:rPr>
              <w:t>.06.05</w:t>
            </w:r>
          </w:p>
        </w:tc>
      </w:tr>
      <w:tr w14:paraId="0337C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36AFAFB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7</w:t>
            </w:r>
          </w:p>
        </w:tc>
        <w:tc>
          <w:tcPr>
            <w:tcW w:w="4729" w:type="dxa"/>
            <w:noWrap w:val="0"/>
            <w:vAlign w:val="center"/>
          </w:tcPr>
          <w:p w14:paraId="0673D4E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中华人民共和国土壤污染防治法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71CD797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13届人大第5次会议</w:t>
            </w:r>
          </w:p>
        </w:tc>
        <w:tc>
          <w:tcPr>
            <w:tcW w:w="1196" w:type="dxa"/>
            <w:noWrap w:val="0"/>
            <w:vAlign w:val="center"/>
          </w:tcPr>
          <w:p w14:paraId="098B767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2019.</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1</w:t>
            </w:r>
          </w:p>
        </w:tc>
      </w:tr>
      <w:tr w14:paraId="0B1DD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16914CE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8</w:t>
            </w:r>
          </w:p>
        </w:tc>
        <w:tc>
          <w:tcPr>
            <w:tcW w:w="4729" w:type="dxa"/>
            <w:noWrap w:val="0"/>
            <w:vAlign w:val="center"/>
          </w:tcPr>
          <w:p w14:paraId="3DF420C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中华人民共和国水法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0730BFD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12</w:t>
            </w:r>
            <w:r>
              <w:rPr>
                <w:rFonts w:hint="default" w:ascii="Times New Roman" w:hAnsi="Times New Roman" w:eastAsia="宋体" w:cs="Times New Roman"/>
                <w:b w:val="0"/>
                <w:bCs/>
                <w:color w:val="000000" w:themeColor="text1"/>
                <w:sz w:val="21"/>
                <w:szCs w:val="21"/>
                <w14:textFill>
                  <w14:solidFill>
                    <w14:schemeClr w14:val="tx1"/>
                  </w14:solidFill>
                </w14:textFill>
              </w:rPr>
              <w:t>届人大第</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21</w:t>
            </w:r>
            <w:r>
              <w:rPr>
                <w:rFonts w:hint="default" w:ascii="Times New Roman" w:hAnsi="Times New Roman" w:eastAsia="宋体" w:cs="Times New Roman"/>
                <w:b w:val="0"/>
                <w:bCs/>
                <w:color w:val="000000" w:themeColor="text1"/>
                <w:sz w:val="21"/>
                <w:szCs w:val="21"/>
                <w14:textFill>
                  <w14:solidFill>
                    <w14:schemeClr w14:val="tx1"/>
                  </w14:solidFill>
                </w14:textFill>
              </w:rPr>
              <w:t>次会议</w:t>
            </w:r>
          </w:p>
        </w:tc>
        <w:tc>
          <w:tcPr>
            <w:tcW w:w="1196" w:type="dxa"/>
            <w:noWrap w:val="0"/>
            <w:vAlign w:val="center"/>
          </w:tcPr>
          <w:p w14:paraId="4201BC1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2016.</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7.</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2</w:t>
            </w:r>
          </w:p>
        </w:tc>
      </w:tr>
      <w:tr w14:paraId="49D20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28BB887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9</w:t>
            </w:r>
          </w:p>
        </w:tc>
        <w:tc>
          <w:tcPr>
            <w:tcW w:w="4729" w:type="dxa"/>
            <w:noWrap w:val="0"/>
            <w:vAlign w:val="center"/>
          </w:tcPr>
          <w:p w14:paraId="2FA48EB6">
            <w:pPr>
              <w:pStyle w:val="546"/>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中华人民共和国矿产资源法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285287AC">
            <w:pPr>
              <w:pStyle w:val="546"/>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届人大第1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次会议</w:t>
            </w:r>
          </w:p>
        </w:tc>
        <w:tc>
          <w:tcPr>
            <w:tcW w:w="1196" w:type="dxa"/>
            <w:noWrap w:val="0"/>
            <w:vAlign w:val="center"/>
          </w:tcPr>
          <w:p w14:paraId="151E206C">
            <w:pPr>
              <w:pStyle w:val="546"/>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20</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25.07.01</w:t>
            </w:r>
          </w:p>
        </w:tc>
      </w:tr>
      <w:tr w14:paraId="28AB3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704B9E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10</w:t>
            </w:r>
          </w:p>
        </w:tc>
        <w:tc>
          <w:tcPr>
            <w:tcW w:w="4729" w:type="dxa"/>
            <w:noWrap w:val="0"/>
            <w:vAlign w:val="center"/>
          </w:tcPr>
          <w:p w14:paraId="5F89902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《中华人民共和国突发事件应对法》</w:t>
            </w:r>
          </w:p>
        </w:tc>
        <w:tc>
          <w:tcPr>
            <w:tcW w:w="2131" w:type="dxa"/>
            <w:noWrap w:val="0"/>
            <w:vAlign w:val="center"/>
          </w:tcPr>
          <w:p w14:paraId="3E764FA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1</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4</w:t>
            </w:r>
            <w:r>
              <w:rPr>
                <w:rFonts w:hint="eastAsia" w:ascii="Times New Roman" w:hAnsi="Times New Roman" w:eastAsia="宋体"/>
                <w:b w:val="0"/>
                <w:bCs/>
                <w:color w:val="000000" w:themeColor="text1"/>
                <w:kern w:val="1"/>
                <w:sz w:val="21"/>
                <w:szCs w:val="21"/>
                <w14:textFill>
                  <w14:solidFill>
                    <w14:schemeClr w14:val="tx1"/>
                  </w14:solidFill>
                </w14:textFill>
              </w:rPr>
              <w:t>届人大第</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10</w:t>
            </w:r>
            <w:r>
              <w:rPr>
                <w:rFonts w:hint="eastAsia" w:ascii="Times New Roman" w:hAnsi="Times New Roman" w:eastAsia="宋体"/>
                <w:b w:val="0"/>
                <w:bCs/>
                <w:color w:val="000000" w:themeColor="text1"/>
                <w:kern w:val="1"/>
                <w:sz w:val="21"/>
                <w:szCs w:val="21"/>
                <w14:textFill>
                  <w14:solidFill>
                    <w14:schemeClr w14:val="tx1"/>
                  </w14:solidFill>
                </w14:textFill>
              </w:rPr>
              <w:t>次会议</w:t>
            </w:r>
          </w:p>
        </w:tc>
        <w:tc>
          <w:tcPr>
            <w:tcW w:w="1196" w:type="dxa"/>
            <w:noWrap w:val="0"/>
            <w:vAlign w:val="center"/>
          </w:tcPr>
          <w:p w14:paraId="1E739A6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20</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24.11.01</w:t>
            </w:r>
          </w:p>
        </w:tc>
      </w:tr>
      <w:tr w14:paraId="5376E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934F68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11</w:t>
            </w:r>
          </w:p>
        </w:tc>
        <w:tc>
          <w:tcPr>
            <w:tcW w:w="4729" w:type="dxa"/>
            <w:shd w:val="clear" w:color="auto" w:fill="auto"/>
            <w:noWrap w:val="0"/>
            <w:vAlign w:val="center"/>
          </w:tcPr>
          <w:p w14:paraId="042E697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中华人民共和国循环经济促进法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12872C9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13届人大第6次会议</w:t>
            </w:r>
          </w:p>
        </w:tc>
        <w:tc>
          <w:tcPr>
            <w:tcW w:w="1196" w:type="dxa"/>
            <w:shd w:val="clear" w:color="auto" w:fill="auto"/>
            <w:noWrap w:val="0"/>
            <w:vAlign w:val="center"/>
          </w:tcPr>
          <w:p w14:paraId="6B0D2D3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2018.10.26</w:t>
            </w:r>
          </w:p>
        </w:tc>
      </w:tr>
      <w:tr w14:paraId="3197A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5036C3E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12</w:t>
            </w:r>
          </w:p>
        </w:tc>
        <w:tc>
          <w:tcPr>
            <w:tcW w:w="4729" w:type="dxa"/>
            <w:shd w:val="clear" w:color="auto" w:fill="auto"/>
            <w:noWrap w:val="0"/>
            <w:vAlign w:val="center"/>
          </w:tcPr>
          <w:p w14:paraId="63D2767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中华人民共和国清洁生产促进法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04CFD72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1</w:t>
            </w:r>
            <w:r>
              <w:rPr>
                <w:rFonts w:hint="default" w:ascii="Times New Roman" w:hAnsi="Times New Roman" w:eastAsia="宋体" w:cs="Times New Roman"/>
                <w:b w:val="0"/>
                <w:bCs/>
                <w:color w:val="000000" w:themeColor="text1"/>
                <w:sz w:val="21"/>
                <w:szCs w:val="21"/>
                <w14:textFill>
                  <w14:solidFill>
                    <w14:schemeClr w14:val="tx1"/>
                  </w14:solidFill>
                </w14:textFill>
              </w:rPr>
              <w:t>届人大第</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25</w:t>
            </w:r>
            <w:r>
              <w:rPr>
                <w:rFonts w:hint="default" w:ascii="Times New Roman" w:hAnsi="Times New Roman" w:eastAsia="宋体" w:cs="Times New Roman"/>
                <w:b w:val="0"/>
                <w:bCs/>
                <w:color w:val="000000" w:themeColor="text1"/>
                <w:sz w:val="21"/>
                <w:szCs w:val="21"/>
                <w14:textFill>
                  <w14:solidFill>
                    <w14:schemeClr w14:val="tx1"/>
                  </w14:solidFill>
                </w14:textFill>
              </w:rPr>
              <w:t>次会议</w:t>
            </w:r>
          </w:p>
        </w:tc>
        <w:tc>
          <w:tcPr>
            <w:tcW w:w="1196" w:type="dxa"/>
            <w:shd w:val="clear" w:color="auto" w:fill="auto"/>
            <w:noWrap w:val="0"/>
            <w:vAlign w:val="center"/>
          </w:tcPr>
          <w:p w14:paraId="2E597C3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2.07.01</w:t>
            </w:r>
          </w:p>
        </w:tc>
      </w:tr>
      <w:tr w14:paraId="3A435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4936535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13</w:t>
            </w:r>
          </w:p>
        </w:tc>
        <w:tc>
          <w:tcPr>
            <w:tcW w:w="4729" w:type="dxa"/>
            <w:shd w:val="clear" w:color="auto" w:fill="auto"/>
            <w:noWrap w:val="0"/>
            <w:vAlign w:val="center"/>
          </w:tcPr>
          <w:p w14:paraId="32B24AB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中华人民共和国水土保持法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46CF401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11届人大第18次会议</w:t>
            </w:r>
          </w:p>
        </w:tc>
        <w:tc>
          <w:tcPr>
            <w:tcW w:w="1196" w:type="dxa"/>
            <w:shd w:val="clear" w:color="auto" w:fill="auto"/>
            <w:noWrap w:val="0"/>
            <w:vAlign w:val="center"/>
          </w:tcPr>
          <w:p w14:paraId="450B064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2011.03.01</w:t>
            </w:r>
          </w:p>
        </w:tc>
      </w:tr>
      <w:tr w14:paraId="631DF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4EDA6C1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w:t>
            </w:r>
          </w:p>
        </w:tc>
        <w:tc>
          <w:tcPr>
            <w:tcW w:w="4729" w:type="dxa"/>
            <w:shd w:val="clear" w:color="auto" w:fill="auto"/>
            <w:noWrap w:val="0"/>
            <w:vAlign w:val="center"/>
          </w:tcPr>
          <w:p w14:paraId="0FB5229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en-US" w:bidi="ar-SA"/>
                <w14:textFill>
                  <w14:solidFill>
                    <w14:schemeClr w14:val="tx1"/>
                  </w14:solidFill>
                </w14:textFill>
              </w:rPr>
              <w:t>《中华人民共和国野生动物保护法》</w:t>
            </w:r>
          </w:p>
        </w:tc>
        <w:tc>
          <w:tcPr>
            <w:tcW w:w="2131" w:type="dxa"/>
            <w:shd w:val="clear" w:color="auto" w:fill="auto"/>
            <w:noWrap w:val="0"/>
            <w:vAlign w:val="center"/>
          </w:tcPr>
          <w:p w14:paraId="3D73EAD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en-US" w:bidi="ar-SA"/>
                <w14:textFill>
                  <w14:solidFill>
                    <w14:schemeClr w14:val="tx1"/>
                  </w14:solidFill>
                </w14:textFill>
              </w:rPr>
              <w:t>1</w:t>
            </w: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1"/>
                <w:sz w:val="21"/>
                <w:szCs w:val="21"/>
                <w:lang w:val="en-US" w:eastAsia="en-US" w:bidi="ar-SA"/>
                <w14:textFill>
                  <w14:solidFill>
                    <w14:schemeClr w14:val="tx1"/>
                  </w14:solidFill>
                </w14:textFill>
              </w:rPr>
              <w:t>届人大第</w:t>
            </w: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38</w:t>
            </w:r>
            <w:r>
              <w:rPr>
                <w:rFonts w:hint="eastAsia" w:ascii="Times New Roman" w:hAnsi="Times New Roman" w:eastAsia="宋体" w:cs="Times New Roman"/>
                <w:b w:val="0"/>
                <w:bCs/>
                <w:color w:val="000000" w:themeColor="text1"/>
                <w:kern w:val="1"/>
                <w:sz w:val="21"/>
                <w:szCs w:val="21"/>
                <w:lang w:val="en-US" w:eastAsia="en-US" w:bidi="ar-SA"/>
                <w14:textFill>
                  <w14:solidFill>
                    <w14:schemeClr w14:val="tx1"/>
                  </w14:solidFill>
                </w14:textFill>
              </w:rPr>
              <w:t>次会议</w:t>
            </w:r>
          </w:p>
        </w:tc>
        <w:tc>
          <w:tcPr>
            <w:tcW w:w="1196" w:type="dxa"/>
            <w:shd w:val="clear" w:color="auto" w:fill="auto"/>
            <w:noWrap w:val="0"/>
            <w:vAlign w:val="center"/>
          </w:tcPr>
          <w:p w14:paraId="6762ECD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en-US" w:bidi="ar-SA"/>
                <w14:textFill>
                  <w14:solidFill>
                    <w14:schemeClr w14:val="tx1"/>
                  </w14:solidFill>
                </w14:textFill>
              </w:rPr>
              <w:t>20</w:t>
            </w: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23.05.01</w:t>
            </w:r>
          </w:p>
        </w:tc>
      </w:tr>
      <w:tr w14:paraId="6BCE7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2F29EE3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15</w:t>
            </w:r>
          </w:p>
        </w:tc>
        <w:tc>
          <w:tcPr>
            <w:tcW w:w="4729" w:type="dxa"/>
            <w:shd w:val="clear" w:color="auto" w:fill="auto"/>
            <w:noWrap w:val="0"/>
            <w:vAlign w:val="center"/>
          </w:tcPr>
          <w:p w14:paraId="66796D4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《中华人民共和国安全生产法》</w:t>
            </w:r>
          </w:p>
        </w:tc>
        <w:tc>
          <w:tcPr>
            <w:tcW w:w="2131" w:type="dxa"/>
            <w:shd w:val="clear" w:color="auto" w:fill="auto"/>
            <w:noWrap w:val="0"/>
            <w:vAlign w:val="center"/>
          </w:tcPr>
          <w:p w14:paraId="3C1D3E7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13届人大第29次会议</w:t>
            </w:r>
          </w:p>
        </w:tc>
        <w:tc>
          <w:tcPr>
            <w:tcW w:w="1196" w:type="dxa"/>
            <w:shd w:val="clear" w:color="auto" w:fill="auto"/>
            <w:noWrap w:val="0"/>
            <w:vAlign w:val="center"/>
          </w:tcPr>
          <w:p w14:paraId="1356B35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2021.06.10</w:t>
            </w:r>
          </w:p>
        </w:tc>
      </w:tr>
      <w:tr w14:paraId="6BFC2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57CF144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16</w:t>
            </w:r>
          </w:p>
        </w:tc>
        <w:tc>
          <w:tcPr>
            <w:tcW w:w="4729" w:type="dxa"/>
            <w:noWrap w:val="0"/>
            <w:vAlign w:val="center"/>
          </w:tcPr>
          <w:p w14:paraId="14CF101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《中华人民共和国节约能源法》</w:t>
            </w:r>
          </w:p>
        </w:tc>
        <w:tc>
          <w:tcPr>
            <w:tcW w:w="2131" w:type="dxa"/>
            <w:noWrap w:val="0"/>
            <w:vAlign w:val="center"/>
          </w:tcPr>
          <w:p w14:paraId="781E879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13届人大第6次会议</w:t>
            </w:r>
          </w:p>
        </w:tc>
        <w:tc>
          <w:tcPr>
            <w:tcW w:w="1196" w:type="dxa"/>
            <w:noWrap w:val="0"/>
            <w:vAlign w:val="center"/>
          </w:tcPr>
          <w:p w14:paraId="26FF74B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2018.10.26</w:t>
            </w:r>
          </w:p>
        </w:tc>
      </w:tr>
      <w:tr w14:paraId="44C0F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5CBD293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17</w:t>
            </w:r>
          </w:p>
        </w:tc>
        <w:tc>
          <w:tcPr>
            <w:tcW w:w="4729" w:type="dxa"/>
            <w:noWrap w:val="0"/>
            <w:vAlign w:val="center"/>
          </w:tcPr>
          <w:p w14:paraId="23AA47D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《中华人民共和国土地管理法》</w:t>
            </w:r>
          </w:p>
        </w:tc>
        <w:tc>
          <w:tcPr>
            <w:tcW w:w="2131" w:type="dxa"/>
            <w:noWrap w:val="0"/>
            <w:vAlign w:val="center"/>
          </w:tcPr>
          <w:p w14:paraId="130C166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13届人大第12次会议</w:t>
            </w:r>
          </w:p>
        </w:tc>
        <w:tc>
          <w:tcPr>
            <w:tcW w:w="1196" w:type="dxa"/>
            <w:noWrap w:val="0"/>
            <w:vAlign w:val="center"/>
          </w:tcPr>
          <w:p w14:paraId="3824437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2020.01.01</w:t>
            </w:r>
          </w:p>
        </w:tc>
      </w:tr>
      <w:tr w14:paraId="04C01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223DBB9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18</w:t>
            </w:r>
          </w:p>
        </w:tc>
        <w:tc>
          <w:tcPr>
            <w:tcW w:w="4729" w:type="dxa"/>
            <w:shd w:val="clear" w:color="auto" w:fill="auto"/>
            <w:noWrap w:val="0"/>
            <w:vAlign w:val="center"/>
          </w:tcPr>
          <w:p w14:paraId="44FBD6D4">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《中华人民共和国防沙治沙法》</w:t>
            </w:r>
          </w:p>
        </w:tc>
        <w:tc>
          <w:tcPr>
            <w:tcW w:w="2131" w:type="dxa"/>
            <w:shd w:val="clear" w:color="auto" w:fill="auto"/>
            <w:noWrap w:val="0"/>
            <w:vAlign w:val="center"/>
          </w:tcPr>
          <w:p w14:paraId="79C39952">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13</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届人大第</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6</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次会议</w:t>
            </w:r>
          </w:p>
        </w:tc>
        <w:tc>
          <w:tcPr>
            <w:tcW w:w="1196" w:type="dxa"/>
            <w:shd w:val="clear" w:color="auto" w:fill="auto"/>
            <w:noWrap w:val="0"/>
            <w:vAlign w:val="center"/>
          </w:tcPr>
          <w:p w14:paraId="47A547C7">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2018</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26</w:t>
            </w:r>
          </w:p>
        </w:tc>
      </w:tr>
      <w:tr w14:paraId="2A679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1B72E22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二</w:t>
            </w:r>
          </w:p>
        </w:tc>
        <w:tc>
          <w:tcPr>
            <w:tcW w:w="8056" w:type="dxa"/>
            <w:gridSpan w:val="3"/>
            <w:noWrap w:val="0"/>
            <w:vAlign w:val="center"/>
          </w:tcPr>
          <w:p w14:paraId="3081F2B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eastAsia" w:ascii="Times New Roman" w:hAnsi="Times New Roman" w:eastAsia="宋体" w:cs="Times New Roman"/>
                <w:b/>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行政法规与国务院发布的规范性文件</w:t>
            </w:r>
          </w:p>
        </w:tc>
      </w:tr>
      <w:tr w14:paraId="32C50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812CB7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w:t>
            </w:r>
          </w:p>
        </w:tc>
        <w:tc>
          <w:tcPr>
            <w:tcW w:w="4729" w:type="dxa"/>
            <w:noWrap w:val="0"/>
            <w:vAlign w:val="center"/>
          </w:tcPr>
          <w:p w14:paraId="5CE55EF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建设项目环境保护管理条例</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noWrap w:val="0"/>
            <w:vAlign w:val="center"/>
          </w:tcPr>
          <w:p w14:paraId="103C2D1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国务院令682号</w:t>
            </w:r>
          </w:p>
        </w:tc>
        <w:tc>
          <w:tcPr>
            <w:tcW w:w="1196" w:type="dxa"/>
            <w:noWrap w:val="0"/>
            <w:vAlign w:val="center"/>
          </w:tcPr>
          <w:p w14:paraId="02E7C25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2017.10.</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1</w:t>
            </w:r>
          </w:p>
        </w:tc>
      </w:tr>
      <w:tr w14:paraId="26B1B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64764A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w:t>
            </w:r>
          </w:p>
        </w:tc>
        <w:tc>
          <w:tcPr>
            <w:tcW w:w="4729" w:type="dxa"/>
            <w:noWrap w:val="0"/>
            <w:vAlign w:val="center"/>
          </w:tcPr>
          <w:p w14:paraId="6D001C41">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《中华人民共和国野生植物保护条例》</w:t>
            </w:r>
          </w:p>
        </w:tc>
        <w:tc>
          <w:tcPr>
            <w:tcW w:w="2131" w:type="dxa"/>
            <w:noWrap w:val="0"/>
            <w:vAlign w:val="center"/>
          </w:tcPr>
          <w:p w14:paraId="69478D1D">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国务院令第687号</w:t>
            </w:r>
          </w:p>
        </w:tc>
        <w:tc>
          <w:tcPr>
            <w:tcW w:w="1196" w:type="dxa"/>
            <w:noWrap w:val="0"/>
            <w:vAlign w:val="center"/>
          </w:tcPr>
          <w:p w14:paraId="707D1E81">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2017.10.07</w:t>
            </w:r>
          </w:p>
        </w:tc>
      </w:tr>
      <w:tr w14:paraId="5AC71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9DE2FF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w:t>
            </w:r>
          </w:p>
        </w:tc>
        <w:tc>
          <w:tcPr>
            <w:tcW w:w="4729" w:type="dxa"/>
            <w:noWrap w:val="0"/>
            <w:vAlign w:val="center"/>
          </w:tcPr>
          <w:p w14:paraId="23646039">
            <w:pPr>
              <w:pStyle w:val="679"/>
              <w:keepNext w:val="0"/>
              <w:keepLines w:val="0"/>
              <w:pageBreakBefore w:val="0"/>
              <w:widowControl w:val="0"/>
              <w:suppressLineNumbers w:val="0"/>
              <w:kinsoku/>
              <w:wordWrap/>
              <w:topLinePunct w:val="0"/>
              <w:bidi w:val="0"/>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w:t>
            </w:r>
            <w:r>
              <w:rPr>
                <w:rFonts w:hint="eastAsia" w:ascii="Times New Roman" w:hAnsi="Times New Roman" w:eastAsia="宋体"/>
                <w:b w:val="0"/>
                <w:bCs/>
                <w:color w:val="000000" w:themeColor="text1"/>
                <w:sz w:val="21"/>
                <w:szCs w:val="21"/>
                <w14:textFill>
                  <w14:solidFill>
                    <w14:schemeClr w14:val="tx1"/>
                  </w14:solidFill>
                </w14:textFill>
              </w:rPr>
              <w:t>中华人民共和国陆生野生动物保护实施条例</w:t>
            </w:r>
            <w:r>
              <w:rPr>
                <w:rFonts w:hint="default" w:ascii="Times New Roman" w:hAnsi="Times New Roman" w:eastAsia="宋体"/>
                <w:b w:val="0"/>
                <w:bCs/>
                <w:color w:val="000000" w:themeColor="text1"/>
                <w:sz w:val="21"/>
                <w:szCs w:val="21"/>
                <w14:textFill>
                  <w14:solidFill>
                    <w14:schemeClr w14:val="tx1"/>
                  </w14:solidFill>
                </w14:textFill>
              </w:rPr>
              <w:t>》</w:t>
            </w:r>
          </w:p>
        </w:tc>
        <w:tc>
          <w:tcPr>
            <w:tcW w:w="2131" w:type="dxa"/>
            <w:noWrap w:val="0"/>
            <w:vAlign w:val="center"/>
          </w:tcPr>
          <w:p w14:paraId="12461200">
            <w:pPr>
              <w:pStyle w:val="679"/>
              <w:keepNext w:val="0"/>
              <w:keepLines w:val="0"/>
              <w:pageBreakBefore w:val="0"/>
              <w:widowControl w:val="0"/>
              <w:suppressLineNumbers w:val="0"/>
              <w:kinsoku/>
              <w:wordWrap/>
              <w:topLinePunct w:val="0"/>
              <w:bidi w:val="0"/>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国务院令第666号</w:t>
            </w:r>
          </w:p>
        </w:tc>
        <w:tc>
          <w:tcPr>
            <w:tcW w:w="1196" w:type="dxa"/>
            <w:noWrap w:val="0"/>
            <w:vAlign w:val="center"/>
          </w:tcPr>
          <w:p w14:paraId="344A7DB2">
            <w:pPr>
              <w:pStyle w:val="679"/>
              <w:keepNext w:val="0"/>
              <w:keepLines w:val="0"/>
              <w:pageBreakBefore w:val="0"/>
              <w:widowControl w:val="0"/>
              <w:suppressLineNumbers w:val="0"/>
              <w:kinsoku/>
              <w:wordWrap/>
              <w:topLinePunct w:val="0"/>
              <w:bidi w:val="0"/>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2016.02.06</w:t>
            </w:r>
          </w:p>
        </w:tc>
      </w:tr>
      <w:tr w14:paraId="4D90E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CBC4C5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4</w:t>
            </w:r>
          </w:p>
        </w:tc>
        <w:tc>
          <w:tcPr>
            <w:tcW w:w="4729" w:type="dxa"/>
            <w:noWrap w:val="0"/>
            <w:vAlign w:val="center"/>
          </w:tcPr>
          <w:p w14:paraId="4A191B43">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《土地复垦条例》</w:t>
            </w:r>
          </w:p>
        </w:tc>
        <w:tc>
          <w:tcPr>
            <w:tcW w:w="2131" w:type="dxa"/>
            <w:noWrap w:val="0"/>
            <w:vAlign w:val="center"/>
          </w:tcPr>
          <w:p w14:paraId="67436BB4">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国务院令第592号</w:t>
            </w:r>
          </w:p>
        </w:tc>
        <w:tc>
          <w:tcPr>
            <w:tcW w:w="1196" w:type="dxa"/>
            <w:noWrap w:val="0"/>
            <w:vAlign w:val="center"/>
          </w:tcPr>
          <w:p w14:paraId="6470ACE1">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2011.0</w:t>
            </w:r>
            <w:r>
              <w:rPr>
                <w:rFonts w:hint="eastAsia" w:ascii="Times New Roman" w:hAnsi="Times New Roman" w:cs="Times New Roman"/>
                <w:b w:val="0"/>
                <w:bCs/>
                <w:color w:val="000000" w:themeColor="text1"/>
                <w:kern w:val="1"/>
                <w:sz w:val="21"/>
                <w:szCs w:val="21"/>
                <w:lang w:val="en-US" w:eastAsia="zh-CN" w:bidi="ar-SA"/>
                <w14:textFill>
                  <w14:solidFill>
                    <w14:schemeClr w14:val="tx1"/>
                  </w14:solidFill>
                </w14:textFill>
              </w:rPr>
              <w:t>2</w:t>
            </w: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w:t>
            </w:r>
            <w:r>
              <w:rPr>
                <w:rFonts w:hint="eastAsia" w:ascii="Times New Roman" w:hAnsi="Times New Roman" w:cs="Times New Roman"/>
                <w:b w:val="0"/>
                <w:bCs/>
                <w:color w:val="000000" w:themeColor="text1"/>
                <w:kern w:val="1"/>
                <w:sz w:val="21"/>
                <w:szCs w:val="21"/>
                <w:lang w:val="en-US" w:eastAsia="zh-CN" w:bidi="ar-SA"/>
                <w14:textFill>
                  <w14:solidFill>
                    <w14:schemeClr w14:val="tx1"/>
                  </w14:solidFill>
                </w14:textFill>
              </w:rPr>
              <w:t>22</w:t>
            </w:r>
          </w:p>
        </w:tc>
      </w:tr>
      <w:tr w14:paraId="27BDE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CC4824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5</w:t>
            </w:r>
          </w:p>
        </w:tc>
        <w:tc>
          <w:tcPr>
            <w:tcW w:w="4729" w:type="dxa"/>
            <w:noWrap w:val="0"/>
            <w:vAlign w:val="center"/>
          </w:tcPr>
          <w:p w14:paraId="6A9455B3">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w:t>
            </w:r>
            <w:r>
              <w:rPr>
                <w:rFonts w:hint="default" w:ascii="Times New Roman" w:hAnsi="Times New Roman" w:eastAsia="宋体"/>
                <w:b w:val="0"/>
                <w:bCs/>
                <w:color w:val="000000" w:themeColor="text1"/>
                <w:sz w:val="21"/>
                <w:szCs w:val="21"/>
                <w14:textFill>
                  <w14:solidFill>
                    <w14:schemeClr w14:val="tx1"/>
                  </w14:solidFill>
                </w14:textFill>
              </w:rPr>
              <w:t>地下水管理条例</w:t>
            </w:r>
            <w:r>
              <w:rPr>
                <w:rFonts w:hint="eastAsia" w:ascii="Times New Roman" w:hAnsi="Times New Roman" w:eastAsia="宋体"/>
                <w:b w:val="0"/>
                <w:bCs/>
                <w:color w:val="000000" w:themeColor="text1"/>
                <w:sz w:val="21"/>
                <w:szCs w:val="21"/>
                <w14:textFill>
                  <w14:solidFill>
                    <w14:schemeClr w14:val="tx1"/>
                  </w14:solidFill>
                </w14:textFill>
              </w:rPr>
              <w:t>》</w:t>
            </w:r>
          </w:p>
        </w:tc>
        <w:tc>
          <w:tcPr>
            <w:tcW w:w="2131" w:type="dxa"/>
            <w:noWrap w:val="0"/>
            <w:vAlign w:val="center"/>
          </w:tcPr>
          <w:p w14:paraId="5C00200E">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国务院令第748号</w:t>
            </w:r>
          </w:p>
        </w:tc>
        <w:tc>
          <w:tcPr>
            <w:tcW w:w="1196" w:type="dxa"/>
            <w:noWrap w:val="0"/>
            <w:vAlign w:val="center"/>
          </w:tcPr>
          <w:p w14:paraId="4CEB433E">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2021.12.01</w:t>
            </w:r>
          </w:p>
        </w:tc>
      </w:tr>
      <w:tr w14:paraId="195B2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4BA930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w:t>
            </w:r>
          </w:p>
        </w:tc>
        <w:tc>
          <w:tcPr>
            <w:tcW w:w="4729" w:type="dxa"/>
            <w:noWrap w:val="0"/>
            <w:vAlign w:val="center"/>
          </w:tcPr>
          <w:p w14:paraId="4455698C">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b w:val="0"/>
                <w:bCs/>
                <w:color w:val="000000" w:themeColor="text1"/>
                <w:sz w:val="21"/>
                <w:szCs w:val="21"/>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《危险化学品安全管理条例》</w:t>
            </w:r>
          </w:p>
        </w:tc>
        <w:tc>
          <w:tcPr>
            <w:tcW w:w="2131" w:type="dxa"/>
            <w:noWrap w:val="0"/>
            <w:vAlign w:val="center"/>
          </w:tcPr>
          <w:p w14:paraId="33FEB508">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国务院令第645号</w:t>
            </w:r>
          </w:p>
        </w:tc>
        <w:tc>
          <w:tcPr>
            <w:tcW w:w="1196" w:type="dxa"/>
            <w:noWrap w:val="0"/>
            <w:vAlign w:val="center"/>
          </w:tcPr>
          <w:p w14:paraId="091AEEA4">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2013.12.07</w:t>
            </w:r>
          </w:p>
        </w:tc>
      </w:tr>
      <w:tr w14:paraId="4C900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586AAB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7</w:t>
            </w:r>
          </w:p>
        </w:tc>
        <w:tc>
          <w:tcPr>
            <w:tcW w:w="4729" w:type="dxa"/>
            <w:noWrap w:val="0"/>
            <w:vAlign w:val="center"/>
          </w:tcPr>
          <w:p w14:paraId="035AA894">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《地质灾害防治条例》</w:t>
            </w:r>
          </w:p>
        </w:tc>
        <w:tc>
          <w:tcPr>
            <w:tcW w:w="2131" w:type="dxa"/>
            <w:noWrap w:val="0"/>
            <w:vAlign w:val="center"/>
          </w:tcPr>
          <w:p w14:paraId="19448A9A">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国务院令第394号</w:t>
            </w:r>
          </w:p>
        </w:tc>
        <w:tc>
          <w:tcPr>
            <w:tcW w:w="1196" w:type="dxa"/>
            <w:noWrap w:val="0"/>
            <w:vAlign w:val="center"/>
          </w:tcPr>
          <w:p w14:paraId="4FE9E02A">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2004.03.01</w:t>
            </w:r>
          </w:p>
        </w:tc>
      </w:tr>
      <w:tr w14:paraId="68EB1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1214947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8</w:t>
            </w:r>
          </w:p>
        </w:tc>
        <w:tc>
          <w:tcPr>
            <w:tcW w:w="4729" w:type="dxa"/>
            <w:noWrap w:val="0"/>
            <w:vAlign w:val="center"/>
          </w:tcPr>
          <w:p w14:paraId="4501C101">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b w:val="0"/>
                <w:bCs/>
                <w:color w:val="000000" w:themeColor="text1"/>
                <w:sz w:val="21"/>
                <w:szCs w:val="21"/>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《中华人民共和国土地管理法实施条例》</w:t>
            </w:r>
          </w:p>
        </w:tc>
        <w:tc>
          <w:tcPr>
            <w:tcW w:w="2131" w:type="dxa"/>
            <w:noWrap w:val="0"/>
            <w:vAlign w:val="center"/>
          </w:tcPr>
          <w:p w14:paraId="4F5D5848">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国务院令第</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743</w:t>
            </w:r>
            <w:r>
              <w:rPr>
                <w:rFonts w:hint="eastAsia" w:ascii="Times New Roman" w:hAnsi="Times New Roman" w:eastAsia="宋体"/>
                <w:b w:val="0"/>
                <w:bCs/>
                <w:color w:val="000000" w:themeColor="text1"/>
                <w:kern w:val="1"/>
                <w:sz w:val="21"/>
                <w:szCs w:val="21"/>
                <w14:textFill>
                  <w14:solidFill>
                    <w14:schemeClr w14:val="tx1"/>
                  </w14:solidFill>
                </w14:textFill>
              </w:rPr>
              <w:t>号</w:t>
            </w:r>
          </w:p>
        </w:tc>
        <w:tc>
          <w:tcPr>
            <w:tcW w:w="1196" w:type="dxa"/>
            <w:noWrap w:val="0"/>
            <w:vAlign w:val="center"/>
          </w:tcPr>
          <w:p w14:paraId="43AD297F">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63" w:leftChars="-30" w:right="-63" w:rightChars="-3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20</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21.09.01</w:t>
            </w:r>
          </w:p>
        </w:tc>
      </w:tr>
      <w:tr w14:paraId="75FF6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066D2A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9</w:t>
            </w:r>
          </w:p>
        </w:tc>
        <w:tc>
          <w:tcPr>
            <w:tcW w:w="4729" w:type="dxa"/>
            <w:shd w:val="clear" w:color="auto" w:fill="auto"/>
            <w:noWrap w:val="0"/>
            <w:vAlign w:val="center"/>
          </w:tcPr>
          <w:p w14:paraId="7CC6510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生态保护补偿条例</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35D4587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国务院令第</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79</w:t>
            </w:r>
            <w:r>
              <w:rPr>
                <w:rFonts w:hint="default" w:ascii="Times New Roman" w:hAnsi="Times New Roman" w:eastAsia="宋体" w:cs="Times New Roman"/>
                <w:b w:val="0"/>
                <w:bCs/>
                <w:color w:val="000000" w:themeColor="text1"/>
                <w:sz w:val="21"/>
                <w:szCs w:val="21"/>
                <w14:textFill>
                  <w14:solidFill>
                    <w14:schemeClr w14:val="tx1"/>
                  </w14:solidFill>
                </w14:textFill>
              </w:rPr>
              <w:t>号</w:t>
            </w:r>
          </w:p>
        </w:tc>
        <w:tc>
          <w:tcPr>
            <w:tcW w:w="1196" w:type="dxa"/>
            <w:shd w:val="clear" w:color="auto" w:fill="auto"/>
            <w:noWrap w:val="0"/>
            <w:vAlign w:val="center"/>
          </w:tcPr>
          <w:p w14:paraId="48C9A64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2024.06.01</w:t>
            </w:r>
          </w:p>
        </w:tc>
      </w:tr>
      <w:tr w14:paraId="31ACE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0154E6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10</w:t>
            </w:r>
          </w:p>
        </w:tc>
        <w:tc>
          <w:tcPr>
            <w:tcW w:w="4729" w:type="dxa"/>
            <w:shd w:val="clear" w:color="auto" w:fill="auto"/>
            <w:noWrap w:val="0"/>
            <w:vAlign w:val="center"/>
          </w:tcPr>
          <w:p w14:paraId="46BE1DC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国务院关于全面加强生态环境保护坚决打好污染防治攻坚战的意见</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5BB3608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中共中央、国务院发布</w:t>
            </w:r>
          </w:p>
        </w:tc>
        <w:tc>
          <w:tcPr>
            <w:tcW w:w="1196" w:type="dxa"/>
            <w:shd w:val="clear" w:color="auto" w:fill="auto"/>
            <w:noWrap w:val="0"/>
            <w:vAlign w:val="center"/>
          </w:tcPr>
          <w:p w14:paraId="6F5AF9F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2018.</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6.16</w:t>
            </w:r>
          </w:p>
        </w:tc>
      </w:tr>
      <w:tr w14:paraId="098A3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22DA472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11</w:t>
            </w:r>
          </w:p>
        </w:tc>
        <w:tc>
          <w:tcPr>
            <w:tcW w:w="4729" w:type="dxa"/>
            <w:shd w:val="clear" w:color="auto" w:fill="auto"/>
            <w:noWrap w:val="0"/>
            <w:vAlign w:val="center"/>
          </w:tcPr>
          <w:p w14:paraId="75BCE86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《关于深入打好污染防治攻坚战的意见》</w:t>
            </w:r>
          </w:p>
        </w:tc>
        <w:tc>
          <w:tcPr>
            <w:tcW w:w="2131" w:type="dxa"/>
            <w:shd w:val="clear" w:color="auto" w:fill="auto"/>
            <w:noWrap w:val="0"/>
            <w:vAlign w:val="center"/>
          </w:tcPr>
          <w:p w14:paraId="41D084B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中共中央、国务院发布</w:t>
            </w:r>
          </w:p>
        </w:tc>
        <w:tc>
          <w:tcPr>
            <w:tcW w:w="1196" w:type="dxa"/>
            <w:shd w:val="clear" w:color="auto" w:fill="auto"/>
            <w:noWrap w:val="0"/>
            <w:vAlign w:val="center"/>
          </w:tcPr>
          <w:p w14:paraId="1B5B7AC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2021.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11</w:t>
            </w:r>
            <w:r>
              <w:rPr>
                <w:rFonts w:hint="default" w:ascii="Times New Roman" w:hAnsi="Times New Roman" w:eastAsia="宋体" w:cs="Times New Roman"/>
                <w:b w:val="0"/>
                <w:bCs/>
                <w:color w:val="000000" w:themeColor="text1"/>
                <w:sz w:val="21"/>
                <w:szCs w:val="21"/>
                <w14:textFill>
                  <w14:solidFill>
                    <w14:schemeClr w14:val="tx1"/>
                  </w14:solidFill>
                </w14:textFill>
              </w:rPr>
              <w:t>.02</w:t>
            </w:r>
          </w:p>
        </w:tc>
      </w:tr>
      <w:tr w14:paraId="2609A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2BC0EFF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12</w:t>
            </w:r>
          </w:p>
        </w:tc>
        <w:tc>
          <w:tcPr>
            <w:tcW w:w="4729" w:type="dxa"/>
            <w:shd w:val="clear" w:color="auto" w:fill="auto"/>
            <w:noWrap w:val="0"/>
            <w:vAlign w:val="center"/>
          </w:tcPr>
          <w:p w14:paraId="366C8B3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《国务院关于印发全国主体功能区规划的通知》</w:t>
            </w:r>
          </w:p>
        </w:tc>
        <w:tc>
          <w:tcPr>
            <w:tcW w:w="2131" w:type="dxa"/>
            <w:shd w:val="clear" w:color="auto" w:fill="auto"/>
            <w:noWrap w:val="0"/>
            <w:vAlign w:val="center"/>
          </w:tcPr>
          <w:p w14:paraId="4DC621A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国发〔2010〕46号</w:t>
            </w:r>
          </w:p>
        </w:tc>
        <w:tc>
          <w:tcPr>
            <w:tcW w:w="1196" w:type="dxa"/>
            <w:shd w:val="clear" w:color="auto" w:fill="auto"/>
            <w:noWrap w:val="0"/>
            <w:vAlign w:val="center"/>
          </w:tcPr>
          <w:p w14:paraId="0CD6E6D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2010.12.21</w:t>
            </w:r>
          </w:p>
        </w:tc>
      </w:tr>
      <w:tr w14:paraId="0E010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60FD2A5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13</w:t>
            </w:r>
          </w:p>
        </w:tc>
        <w:tc>
          <w:tcPr>
            <w:tcW w:w="4729" w:type="dxa"/>
            <w:shd w:val="clear" w:color="auto" w:fill="auto"/>
            <w:noWrap w:val="0"/>
            <w:vAlign w:val="center"/>
          </w:tcPr>
          <w:p w14:paraId="2D0A5B9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《关于进一步加强企业安全生产工作的通知》</w:t>
            </w:r>
          </w:p>
        </w:tc>
        <w:tc>
          <w:tcPr>
            <w:tcW w:w="2131" w:type="dxa"/>
            <w:shd w:val="clear" w:color="auto" w:fill="auto"/>
            <w:noWrap w:val="0"/>
            <w:vAlign w:val="center"/>
          </w:tcPr>
          <w:p w14:paraId="2B1FD17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国发〔2010〕23号</w:t>
            </w:r>
          </w:p>
        </w:tc>
        <w:tc>
          <w:tcPr>
            <w:tcW w:w="1196" w:type="dxa"/>
            <w:shd w:val="clear" w:color="auto" w:fill="auto"/>
            <w:noWrap w:val="0"/>
            <w:vAlign w:val="center"/>
          </w:tcPr>
          <w:p w14:paraId="49916E1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2010.07.19</w:t>
            </w:r>
          </w:p>
        </w:tc>
      </w:tr>
      <w:tr w14:paraId="09A60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6810375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w:t>
            </w:r>
          </w:p>
        </w:tc>
        <w:tc>
          <w:tcPr>
            <w:tcW w:w="4729" w:type="dxa"/>
            <w:shd w:val="clear" w:color="auto" w:fill="auto"/>
            <w:noWrap w:val="0"/>
            <w:vAlign w:val="center"/>
          </w:tcPr>
          <w:p w14:paraId="2BD9DA8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《国务院关于加强环境保护重点工作的意见》</w:t>
            </w:r>
          </w:p>
        </w:tc>
        <w:tc>
          <w:tcPr>
            <w:tcW w:w="2131" w:type="dxa"/>
            <w:shd w:val="clear" w:color="auto" w:fill="auto"/>
            <w:noWrap w:val="0"/>
            <w:vAlign w:val="center"/>
          </w:tcPr>
          <w:p w14:paraId="4B50B3C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国发〔2011〕35号</w:t>
            </w:r>
          </w:p>
        </w:tc>
        <w:tc>
          <w:tcPr>
            <w:tcW w:w="1196" w:type="dxa"/>
            <w:shd w:val="clear" w:color="auto" w:fill="auto"/>
            <w:noWrap w:val="0"/>
            <w:vAlign w:val="center"/>
          </w:tcPr>
          <w:p w14:paraId="59741DE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2011.10.17</w:t>
            </w:r>
          </w:p>
        </w:tc>
      </w:tr>
      <w:tr w14:paraId="74D95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1F6FC27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15</w:t>
            </w:r>
          </w:p>
        </w:tc>
        <w:tc>
          <w:tcPr>
            <w:tcW w:w="4729" w:type="dxa"/>
            <w:shd w:val="clear" w:color="auto" w:fill="auto"/>
            <w:noWrap w:val="0"/>
            <w:vAlign w:val="center"/>
          </w:tcPr>
          <w:p w14:paraId="24AE4817">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kern w:val="1"/>
                <w:position w:val="0"/>
                <w:sz w:val="21"/>
                <w:szCs w:val="21"/>
                <w:highlight w:val="none"/>
                <w:lang w:val="en-US" w:eastAsia="zh-CN" w:bidi="ar-SA"/>
                <w14:textFill>
                  <w14:solidFill>
                    <w14:schemeClr w14:val="tx1"/>
                  </w14:solidFill>
                </w14:textFill>
              </w:rPr>
              <w:t>《国务院关于印发&lt;空气质量持续改善行动计划&gt;的通知》</w:t>
            </w:r>
          </w:p>
        </w:tc>
        <w:tc>
          <w:tcPr>
            <w:tcW w:w="2131" w:type="dxa"/>
            <w:shd w:val="clear" w:color="auto" w:fill="auto"/>
            <w:noWrap w:val="0"/>
            <w:vAlign w:val="center"/>
          </w:tcPr>
          <w:p w14:paraId="15836FAE">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国发〔2023〕24号</w:t>
            </w:r>
          </w:p>
        </w:tc>
        <w:tc>
          <w:tcPr>
            <w:tcW w:w="1196" w:type="dxa"/>
            <w:shd w:val="clear" w:color="auto" w:fill="auto"/>
            <w:noWrap w:val="0"/>
            <w:vAlign w:val="center"/>
          </w:tcPr>
          <w:p w14:paraId="5C7213FC">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2023.11.30</w:t>
            </w:r>
          </w:p>
        </w:tc>
      </w:tr>
      <w:tr w14:paraId="3B550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1453899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16</w:t>
            </w:r>
          </w:p>
        </w:tc>
        <w:tc>
          <w:tcPr>
            <w:tcW w:w="4729" w:type="dxa"/>
            <w:shd w:val="clear" w:color="auto" w:fill="auto"/>
            <w:noWrap w:val="0"/>
            <w:vAlign w:val="center"/>
          </w:tcPr>
          <w:p w14:paraId="524CAB40">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《关于加强生态环境分区管控的意见》</w:t>
            </w:r>
          </w:p>
        </w:tc>
        <w:tc>
          <w:tcPr>
            <w:tcW w:w="2131" w:type="dxa"/>
            <w:shd w:val="clear" w:color="auto" w:fill="auto"/>
            <w:noWrap w:val="0"/>
            <w:vAlign w:val="center"/>
          </w:tcPr>
          <w:p w14:paraId="3BE8129B">
            <w:pPr>
              <w:pStyle w:val="679"/>
              <w:keepNext w:val="0"/>
              <w:keepLines w:val="0"/>
              <w:pageBreakBefore w:val="0"/>
              <w:suppressLineNumbers w:val="0"/>
              <w:kinsoku/>
              <w:wordWrap/>
              <w:topLinePunct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中共中央、国务院发布</w:t>
            </w:r>
          </w:p>
        </w:tc>
        <w:tc>
          <w:tcPr>
            <w:tcW w:w="1196" w:type="dxa"/>
            <w:shd w:val="clear" w:color="auto" w:fill="auto"/>
            <w:noWrap w:val="0"/>
            <w:vAlign w:val="center"/>
          </w:tcPr>
          <w:p w14:paraId="4D7A35F4">
            <w:pPr>
              <w:pStyle w:val="679"/>
              <w:keepNext w:val="0"/>
              <w:keepLines w:val="0"/>
              <w:pageBreakBefore w:val="0"/>
              <w:suppressLineNumbers w:val="0"/>
              <w:kinsoku/>
              <w:wordWrap/>
              <w:topLinePunct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2024.03.06</w:t>
            </w:r>
          </w:p>
        </w:tc>
      </w:tr>
      <w:tr w14:paraId="11D7B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281632F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17</w:t>
            </w:r>
          </w:p>
        </w:tc>
        <w:tc>
          <w:tcPr>
            <w:tcW w:w="4729" w:type="dxa"/>
            <w:shd w:val="clear" w:color="auto" w:fill="auto"/>
            <w:noWrap w:val="0"/>
            <w:vAlign w:val="center"/>
          </w:tcPr>
          <w:p w14:paraId="09C830D9">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《民用爆炸物品安全管理条例》</w:t>
            </w:r>
          </w:p>
        </w:tc>
        <w:tc>
          <w:tcPr>
            <w:tcW w:w="2131" w:type="dxa"/>
            <w:shd w:val="clear" w:color="auto" w:fill="auto"/>
            <w:noWrap w:val="0"/>
            <w:vAlign w:val="center"/>
          </w:tcPr>
          <w:p w14:paraId="293C4BA2">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国务院令第466号</w:t>
            </w:r>
          </w:p>
        </w:tc>
        <w:tc>
          <w:tcPr>
            <w:tcW w:w="1196" w:type="dxa"/>
            <w:shd w:val="clear" w:color="auto" w:fill="auto"/>
            <w:noWrap w:val="0"/>
            <w:vAlign w:val="center"/>
          </w:tcPr>
          <w:p w14:paraId="4142FB4D">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2006</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09</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01</w:t>
            </w:r>
          </w:p>
        </w:tc>
      </w:tr>
      <w:tr w14:paraId="5F683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66ED2A1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18</w:t>
            </w:r>
          </w:p>
        </w:tc>
        <w:tc>
          <w:tcPr>
            <w:tcW w:w="4729" w:type="dxa"/>
            <w:shd w:val="clear" w:color="auto" w:fill="auto"/>
            <w:noWrap w:val="0"/>
            <w:vAlign w:val="center"/>
          </w:tcPr>
          <w:p w14:paraId="17085A28">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《矿产资源开采登记管理办法》</w:t>
            </w:r>
          </w:p>
        </w:tc>
        <w:tc>
          <w:tcPr>
            <w:tcW w:w="2131" w:type="dxa"/>
            <w:shd w:val="clear" w:color="auto" w:fill="auto"/>
            <w:noWrap w:val="0"/>
            <w:vAlign w:val="center"/>
          </w:tcPr>
          <w:p w14:paraId="1B039D16">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国务院令第241号</w:t>
            </w:r>
          </w:p>
        </w:tc>
        <w:tc>
          <w:tcPr>
            <w:tcW w:w="1196" w:type="dxa"/>
            <w:shd w:val="clear" w:color="auto" w:fill="auto"/>
            <w:noWrap w:val="0"/>
            <w:vAlign w:val="center"/>
          </w:tcPr>
          <w:p w14:paraId="1F4B349F">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2014</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07</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09</w:t>
            </w:r>
          </w:p>
        </w:tc>
      </w:tr>
      <w:tr w14:paraId="7B008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686DCB2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19</w:t>
            </w:r>
          </w:p>
        </w:tc>
        <w:tc>
          <w:tcPr>
            <w:tcW w:w="4729" w:type="dxa"/>
            <w:shd w:val="clear" w:color="auto" w:fill="auto"/>
            <w:noWrap w:val="0"/>
            <w:vAlign w:val="center"/>
          </w:tcPr>
          <w:p w14:paraId="1C1A20A5">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《国务院关于印发水污染防治行动计划的通知》</w:t>
            </w:r>
          </w:p>
        </w:tc>
        <w:tc>
          <w:tcPr>
            <w:tcW w:w="2131" w:type="dxa"/>
            <w:shd w:val="clear" w:color="auto" w:fill="auto"/>
            <w:noWrap w:val="0"/>
            <w:vAlign w:val="center"/>
          </w:tcPr>
          <w:p w14:paraId="2A470375">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国发〔2015〕17号</w:t>
            </w:r>
          </w:p>
        </w:tc>
        <w:tc>
          <w:tcPr>
            <w:tcW w:w="1196" w:type="dxa"/>
            <w:shd w:val="clear" w:color="auto" w:fill="auto"/>
            <w:noWrap w:val="0"/>
            <w:vAlign w:val="center"/>
          </w:tcPr>
          <w:p w14:paraId="2E80F0B1">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2015</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04</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02</w:t>
            </w:r>
          </w:p>
        </w:tc>
      </w:tr>
      <w:tr w14:paraId="785FC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3EF499C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20</w:t>
            </w:r>
          </w:p>
        </w:tc>
        <w:tc>
          <w:tcPr>
            <w:tcW w:w="4729" w:type="dxa"/>
            <w:shd w:val="clear" w:color="auto" w:fill="auto"/>
            <w:noWrap w:val="0"/>
            <w:vAlign w:val="center"/>
          </w:tcPr>
          <w:p w14:paraId="60A3EEA0">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国务院关于印发大气污染防治行动计划的通知</w:t>
            </w:r>
            <w:r>
              <w:rPr>
                <w:rFonts w:hint="eastAsia" w:ascii="Times New Roman" w:hAnsi="Times New Roman" w:eastAsia="宋体" w:cs="Times New Roman"/>
                <w:b w:val="0"/>
                <w:bCs/>
                <w:color w:val="000000" w:themeColor="text1"/>
                <w:kern w:val="1"/>
                <w:sz w:val="21"/>
                <w:szCs w:val="21"/>
                <w:lang w:eastAsia="zh-CN"/>
                <w14:textFill>
                  <w14:solidFill>
                    <w14:schemeClr w14:val="tx1"/>
                  </w14:solidFill>
                </w14:textFill>
              </w:rPr>
              <w:t>》</w:t>
            </w:r>
          </w:p>
        </w:tc>
        <w:tc>
          <w:tcPr>
            <w:tcW w:w="2131" w:type="dxa"/>
            <w:shd w:val="clear" w:color="auto" w:fill="auto"/>
            <w:noWrap w:val="0"/>
            <w:vAlign w:val="center"/>
          </w:tcPr>
          <w:p w14:paraId="25DC012D">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1"/>
                <w:sz w:val="21"/>
                <w:szCs w:val="21"/>
                <w14:textFill>
                  <w14:solidFill>
                    <w14:schemeClr w14:val="tx1"/>
                  </w14:solidFill>
                </w14:textFill>
              </w:rPr>
              <w:t>国发〔2013〕37号</w:t>
            </w:r>
          </w:p>
        </w:tc>
        <w:tc>
          <w:tcPr>
            <w:tcW w:w="1196" w:type="dxa"/>
            <w:shd w:val="clear" w:color="auto" w:fill="auto"/>
            <w:noWrap w:val="0"/>
            <w:vAlign w:val="center"/>
          </w:tcPr>
          <w:p w14:paraId="5CA08F88">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1"/>
                <w:sz w:val="21"/>
                <w:szCs w:val="21"/>
                <w14:textFill>
                  <w14:solidFill>
                    <w14:schemeClr w14:val="tx1"/>
                  </w14:solidFill>
                </w14:textFill>
              </w:rPr>
              <w:t>2013</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1"/>
                <w:sz w:val="21"/>
                <w:szCs w:val="21"/>
                <w14:textFill>
                  <w14:solidFill>
                    <w14:schemeClr w14:val="tx1"/>
                  </w14:solidFill>
                </w14:textFill>
              </w:rPr>
              <w:t>09</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1"/>
                <w:sz w:val="21"/>
                <w:szCs w:val="21"/>
                <w14:textFill>
                  <w14:solidFill>
                    <w14:schemeClr w14:val="tx1"/>
                  </w14:solidFill>
                </w14:textFill>
              </w:rPr>
              <w:t>10</w:t>
            </w:r>
          </w:p>
        </w:tc>
      </w:tr>
      <w:tr w14:paraId="69D82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0024421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21</w:t>
            </w:r>
          </w:p>
        </w:tc>
        <w:tc>
          <w:tcPr>
            <w:tcW w:w="4729" w:type="dxa"/>
            <w:shd w:val="clear" w:color="auto" w:fill="auto"/>
            <w:noWrap w:val="0"/>
            <w:vAlign w:val="center"/>
          </w:tcPr>
          <w:p w14:paraId="3FCE6D0A">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《国务院关于印发土壤污染防治行动计划的通知》</w:t>
            </w:r>
          </w:p>
        </w:tc>
        <w:tc>
          <w:tcPr>
            <w:tcW w:w="2131" w:type="dxa"/>
            <w:shd w:val="clear" w:color="auto" w:fill="auto"/>
            <w:noWrap w:val="0"/>
            <w:vAlign w:val="center"/>
          </w:tcPr>
          <w:p w14:paraId="20AB5699">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国发〔2016〕31号</w:t>
            </w:r>
          </w:p>
        </w:tc>
        <w:tc>
          <w:tcPr>
            <w:tcW w:w="1196" w:type="dxa"/>
            <w:shd w:val="clear" w:color="auto" w:fill="auto"/>
            <w:noWrap w:val="0"/>
            <w:vAlign w:val="center"/>
          </w:tcPr>
          <w:p w14:paraId="0657A07E">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2016</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05</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28</w:t>
            </w:r>
          </w:p>
        </w:tc>
      </w:tr>
      <w:tr w14:paraId="322C3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11D88EE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22</w:t>
            </w:r>
          </w:p>
        </w:tc>
        <w:tc>
          <w:tcPr>
            <w:tcW w:w="4729" w:type="dxa"/>
            <w:shd w:val="clear" w:color="auto" w:fill="auto"/>
            <w:noWrap w:val="0"/>
            <w:vAlign w:val="center"/>
          </w:tcPr>
          <w:p w14:paraId="06081EA5">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《中共中央办公厅</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 xml:space="preserve"> </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国务院办公厅印发关于划定并严守生态保护红线的若干意见》</w:t>
            </w:r>
          </w:p>
        </w:tc>
        <w:tc>
          <w:tcPr>
            <w:tcW w:w="2131" w:type="dxa"/>
            <w:shd w:val="clear" w:color="auto" w:fill="auto"/>
            <w:noWrap w:val="0"/>
            <w:vAlign w:val="center"/>
          </w:tcPr>
          <w:p w14:paraId="3FEA9858">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w:t>
            </w:r>
          </w:p>
        </w:tc>
        <w:tc>
          <w:tcPr>
            <w:tcW w:w="1196" w:type="dxa"/>
            <w:shd w:val="clear" w:color="auto" w:fill="auto"/>
            <w:noWrap w:val="0"/>
            <w:vAlign w:val="center"/>
          </w:tcPr>
          <w:p w14:paraId="62CCC521">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14:textFill>
                  <w14:solidFill>
                    <w14:schemeClr w14:val="tx1"/>
                  </w14:solidFill>
                </w14:textFill>
              </w:rPr>
              <w:t>2017</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02</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14:textFill>
                  <w14:solidFill>
                    <w14:schemeClr w14:val="tx1"/>
                  </w14:solidFill>
                </w14:textFill>
              </w:rPr>
              <w:t>07</w:t>
            </w:r>
          </w:p>
        </w:tc>
      </w:tr>
      <w:tr w14:paraId="4ECA7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3D82DB0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23</w:t>
            </w:r>
          </w:p>
        </w:tc>
        <w:tc>
          <w:tcPr>
            <w:tcW w:w="4729" w:type="dxa"/>
            <w:shd w:val="clear" w:color="auto" w:fill="auto"/>
            <w:noWrap w:val="0"/>
            <w:vAlign w:val="center"/>
          </w:tcPr>
          <w:p w14:paraId="244D5F1E">
            <w:pPr>
              <w:pStyle w:val="679"/>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排污许可管理条例</w:t>
            </w:r>
            <w:r>
              <w:rPr>
                <w:rFonts w:hint="eastAsia" w:cs="Times New Roman"/>
                <w:color w:val="000000" w:themeColor="text1"/>
                <w:spacing w:val="0"/>
                <w:w w:val="100"/>
                <w:position w:val="0"/>
                <w:sz w:val="21"/>
                <w:szCs w:val="21"/>
                <w:lang w:eastAsia="zh-CN"/>
                <w14:textFill>
                  <w14:solidFill>
                    <w14:schemeClr w14:val="tx1"/>
                  </w14:solidFill>
                </w14:textFill>
              </w:rPr>
              <w:t>》</w:t>
            </w:r>
          </w:p>
        </w:tc>
        <w:tc>
          <w:tcPr>
            <w:tcW w:w="2131" w:type="dxa"/>
            <w:shd w:val="clear" w:color="auto" w:fill="auto"/>
            <w:noWrap w:val="0"/>
            <w:vAlign w:val="center"/>
          </w:tcPr>
          <w:p w14:paraId="54FE02D2">
            <w:pPr>
              <w:pStyle w:val="679"/>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国务院令第736号</w:t>
            </w:r>
          </w:p>
        </w:tc>
        <w:tc>
          <w:tcPr>
            <w:tcW w:w="1196" w:type="dxa"/>
            <w:shd w:val="clear" w:color="auto" w:fill="auto"/>
            <w:noWrap w:val="0"/>
            <w:vAlign w:val="center"/>
          </w:tcPr>
          <w:p w14:paraId="1DC3086D">
            <w:pPr>
              <w:pStyle w:val="679"/>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2021</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03</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01</w:t>
            </w:r>
          </w:p>
        </w:tc>
      </w:tr>
      <w:tr w14:paraId="1EC0A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10DBBE0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24</w:t>
            </w:r>
          </w:p>
        </w:tc>
        <w:tc>
          <w:tcPr>
            <w:tcW w:w="4729" w:type="dxa"/>
            <w:shd w:val="clear" w:color="auto" w:fill="auto"/>
            <w:noWrap w:val="0"/>
            <w:vAlign w:val="center"/>
          </w:tcPr>
          <w:p w14:paraId="10B55BD8">
            <w:pPr>
              <w:pStyle w:val="679"/>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color w:val="auto"/>
                <w:sz w:val="21"/>
                <w:szCs w:val="21"/>
                <w:highlight w:val="none"/>
              </w:rPr>
              <w:t>《</w:t>
            </w:r>
            <w:r>
              <w:rPr>
                <w:rFonts w:hint="eastAsia"/>
                <w:color w:val="auto"/>
                <w:sz w:val="21"/>
                <w:szCs w:val="21"/>
                <w:highlight w:val="none"/>
              </w:rPr>
              <w:t>国务院关于印发“十四五”节能减排综合工作方案的通知</w:t>
            </w:r>
            <w:r>
              <w:rPr>
                <w:rFonts w:hint="default"/>
                <w:color w:val="auto"/>
                <w:sz w:val="21"/>
                <w:szCs w:val="21"/>
                <w:highlight w:val="none"/>
              </w:rPr>
              <w:t>》</w:t>
            </w:r>
          </w:p>
        </w:tc>
        <w:tc>
          <w:tcPr>
            <w:tcW w:w="2131" w:type="dxa"/>
            <w:shd w:val="clear" w:color="auto" w:fill="auto"/>
            <w:noWrap w:val="0"/>
            <w:vAlign w:val="center"/>
          </w:tcPr>
          <w:p w14:paraId="0225DAD0">
            <w:pPr>
              <w:pStyle w:val="67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国发〔20</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33</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号</w:t>
            </w:r>
          </w:p>
        </w:tc>
        <w:tc>
          <w:tcPr>
            <w:tcW w:w="1196" w:type="dxa"/>
            <w:shd w:val="clear" w:color="auto" w:fill="auto"/>
            <w:noWrap w:val="0"/>
            <w:vAlign w:val="center"/>
          </w:tcPr>
          <w:p w14:paraId="42EBD316">
            <w:pPr>
              <w:pStyle w:val="67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21.12.28</w:t>
            </w:r>
          </w:p>
        </w:tc>
      </w:tr>
      <w:tr w14:paraId="5D3B7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7C4ACC8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25</w:t>
            </w:r>
          </w:p>
        </w:tc>
        <w:tc>
          <w:tcPr>
            <w:tcW w:w="4729" w:type="dxa"/>
            <w:shd w:val="clear" w:color="auto" w:fill="auto"/>
            <w:noWrap w:val="0"/>
            <w:vAlign w:val="center"/>
          </w:tcPr>
          <w:p w14:paraId="030D1619">
            <w:pPr>
              <w:pStyle w:val="679"/>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color w:val="auto"/>
                <w:sz w:val="21"/>
                <w:szCs w:val="21"/>
                <w:highlight w:val="none"/>
              </w:rPr>
              <w:t>《国务院关于加强节能工作的决定》</w:t>
            </w:r>
          </w:p>
        </w:tc>
        <w:tc>
          <w:tcPr>
            <w:tcW w:w="2131" w:type="dxa"/>
            <w:shd w:val="clear" w:color="auto" w:fill="auto"/>
            <w:noWrap w:val="0"/>
            <w:vAlign w:val="center"/>
          </w:tcPr>
          <w:p w14:paraId="093A201B">
            <w:pPr>
              <w:pStyle w:val="67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国发〔2006〕28号</w:t>
            </w:r>
          </w:p>
        </w:tc>
        <w:tc>
          <w:tcPr>
            <w:tcW w:w="1196" w:type="dxa"/>
            <w:shd w:val="clear" w:color="auto" w:fill="auto"/>
            <w:noWrap w:val="0"/>
            <w:vAlign w:val="center"/>
          </w:tcPr>
          <w:p w14:paraId="0503FFB2">
            <w:pPr>
              <w:pStyle w:val="67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2006</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08</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06</w:t>
            </w:r>
          </w:p>
        </w:tc>
      </w:tr>
      <w:tr w14:paraId="7665F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noWrap w:val="0"/>
            <w:vAlign w:val="center"/>
          </w:tcPr>
          <w:p w14:paraId="114F21A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26</w:t>
            </w:r>
          </w:p>
        </w:tc>
        <w:tc>
          <w:tcPr>
            <w:tcW w:w="4729" w:type="dxa"/>
            <w:shd w:val="clear" w:color="auto" w:fill="auto"/>
            <w:noWrap w:val="0"/>
            <w:vAlign w:val="center"/>
          </w:tcPr>
          <w:p w14:paraId="117976A4">
            <w:pPr>
              <w:pStyle w:val="679"/>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《固体废物综合治理行动计划》</w:t>
            </w:r>
          </w:p>
        </w:tc>
        <w:tc>
          <w:tcPr>
            <w:tcW w:w="2131" w:type="dxa"/>
            <w:shd w:val="clear" w:color="auto" w:fill="auto"/>
            <w:noWrap w:val="0"/>
            <w:vAlign w:val="center"/>
          </w:tcPr>
          <w:p w14:paraId="6891AD45">
            <w:pPr>
              <w:pStyle w:val="67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国发〔2025〕14号</w:t>
            </w:r>
          </w:p>
        </w:tc>
        <w:tc>
          <w:tcPr>
            <w:tcW w:w="1196" w:type="dxa"/>
            <w:shd w:val="clear" w:color="auto" w:fill="auto"/>
            <w:noWrap w:val="0"/>
            <w:vAlign w:val="center"/>
          </w:tcPr>
          <w:p w14:paraId="5DFCD5FC">
            <w:pPr>
              <w:pStyle w:val="67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14:textFill>
                  <w14:solidFill>
                    <w14:schemeClr w14:val="tx1"/>
                  </w14:solidFill>
                </w14:textFill>
              </w:rPr>
              <w:t>2025.12.27</w:t>
            </w:r>
          </w:p>
        </w:tc>
      </w:tr>
      <w:tr w14:paraId="56528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510D5B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kern w:val="1"/>
                <w:sz w:val="21"/>
                <w:szCs w:val="21"/>
                <w:lang w:val="en-US" w:eastAsia="zh-CN" w:bidi="ar-SA"/>
                <w14:textFill>
                  <w14:solidFill>
                    <w14:schemeClr w14:val="tx1"/>
                  </w14:solidFill>
                </w14:textFill>
              </w:rPr>
              <w:t>三</w:t>
            </w:r>
          </w:p>
        </w:tc>
        <w:tc>
          <w:tcPr>
            <w:tcW w:w="8056" w:type="dxa"/>
            <w:gridSpan w:val="3"/>
            <w:shd w:val="clear" w:color="auto" w:fill="auto"/>
            <w:noWrap w:val="0"/>
            <w:vAlign w:val="center"/>
          </w:tcPr>
          <w:p w14:paraId="00230C7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部门规章与部门发布的规范性文件</w:t>
            </w:r>
          </w:p>
        </w:tc>
      </w:tr>
      <w:tr w14:paraId="2AD8B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807680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w:t>
            </w:r>
          </w:p>
        </w:tc>
        <w:tc>
          <w:tcPr>
            <w:tcW w:w="4729" w:type="dxa"/>
            <w:shd w:val="clear" w:color="auto" w:fill="auto"/>
            <w:noWrap w:val="0"/>
            <w:vAlign w:val="center"/>
          </w:tcPr>
          <w:p w14:paraId="7E32DF3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产业结构调整指导目录（20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val="0"/>
                <w:bCs/>
                <w:color w:val="000000" w:themeColor="text1"/>
                <w:sz w:val="21"/>
                <w:szCs w:val="21"/>
                <w14:textFill>
                  <w14:solidFill>
                    <w14:schemeClr w14:val="tx1"/>
                  </w14:solidFill>
                </w14:textFill>
              </w:rPr>
              <w:t>年本）</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750C5A5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国家发展和改革委员会令第</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14:textFill>
                  <w14:solidFill>
                    <w14:schemeClr w14:val="tx1"/>
                  </w14:solidFill>
                </w14:textFill>
              </w:rPr>
              <w:t>号</w:t>
            </w:r>
          </w:p>
        </w:tc>
        <w:tc>
          <w:tcPr>
            <w:tcW w:w="1196" w:type="dxa"/>
            <w:shd w:val="clear" w:color="auto" w:fill="auto"/>
            <w:noWrap w:val="0"/>
            <w:vAlign w:val="center"/>
          </w:tcPr>
          <w:p w14:paraId="385181F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202</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4.02.01</w:t>
            </w:r>
          </w:p>
        </w:tc>
      </w:tr>
      <w:tr w14:paraId="15B71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6501106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w:t>
            </w:r>
          </w:p>
        </w:tc>
        <w:tc>
          <w:tcPr>
            <w:tcW w:w="4729" w:type="dxa"/>
            <w:shd w:val="clear" w:color="auto" w:fill="auto"/>
            <w:noWrap w:val="0"/>
            <w:vAlign w:val="center"/>
          </w:tcPr>
          <w:p w14:paraId="0A8ECE5D">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《西部地区鼓励类产业目录（2025年本）》</w:t>
            </w:r>
          </w:p>
        </w:tc>
        <w:tc>
          <w:tcPr>
            <w:tcW w:w="2131" w:type="dxa"/>
            <w:shd w:val="clear" w:color="auto" w:fill="auto"/>
            <w:noWrap w:val="0"/>
            <w:vAlign w:val="center"/>
          </w:tcPr>
          <w:p w14:paraId="5AC38FE1">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国家发展和改革委员会令第28号</w:t>
            </w:r>
          </w:p>
        </w:tc>
        <w:tc>
          <w:tcPr>
            <w:tcW w:w="1196" w:type="dxa"/>
            <w:shd w:val="clear" w:color="auto" w:fill="auto"/>
            <w:noWrap w:val="0"/>
            <w:vAlign w:val="center"/>
          </w:tcPr>
          <w:p w14:paraId="44683776">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cs" w:ascii="Times New Roman" w:hAnsi="Times New Roman" w:eastAsia="宋体" w:cs="Times New Roman"/>
                <w:b/>
                <w:bCs w:val="0"/>
                <w:color w:val="000000" w:themeColor="text1"/>
                <w:kern w:val="0"/>
                <w:sz w:val="21"/>
                <w:szCs w:val="21"/>
                <w:cs/>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02</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5.</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01</w:t>
            </w:r>
          </w:p>
        </w:tc>
      </w:tr>
      <w:tr w14:paraId="21947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1E9F8DF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3</w:t>
            </w:r>
          </w:p>
        </w:tc>
        <w:tc>
          <w:tcPr>
            <w:tcW w:w="4729" w:type="dxa"/>
            <w:shd w:val="clear" w:color="auto" w:fill="auto"/>
            <w:noWrap w:val="0"/>
            <w:vAlign w:val="center"/>
          </w:tcPr>
          <w:p w14:paraId="28630B0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6"/>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6"/>
                <w:sz w:val="21"/>
                <w:szCs w:val="21"/>
                <w14:textFill>
                  <w14:solidFill>
                    <w14:schemeClr w14:val="tx1"/>
                  </w14:solidFill>
                </w14:textFill>
              </w:rPr>
              <w:t>建设项目环境影响评价分类管理名录</w:t>
            </w:r>
            <w:r>
              <w:rPr>
                <w:rFonts w:hint="default" w:ascii="Times New Roman" w:hAnsi="Times New Roman" w:eastAsia="宋体" w:cs="Times New Roman"/>
                <w:b w:val="0"/>
                <w:bCs/>
                <w:color w:val="000000" w:themeColor="text1"/>
                <w:spacing w:val="-6"/>
                <w:sz w:val="21"/>
                <w:szCs w:val="21"/>
                <w:lang w:eastAsia="zh-CN"/>
                <w14:textFill>
                  <w14:solidFill>
                    <w14:schemeClr w14:val="tx1"/>
                  </w14:solidFill>
                </w14:textFill>
              </w:rPr>
              <w:t>》</w:t>
            </w:r>
          </w:p>
        </w:tc>
        <w:tc>
          <w:tcPr>
            <w:tcW w:w="2131" w:type="dxa"/>
            <w:shd w:val="clear" w:color="auto" w:fill="auto"/>
            <w:noWrap w:val="0"/>
            <w:vAlign w:val="center"/>
          </w:tcPr>
          <w:p w14:paraId="3D5A01A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生态环境部令第16号</w:t>
            </w:r>
          </w:p>
        </w:tc>
        <w:tc>
          <w:tcPr>
            <w:tcW w:w="1196" w:type="dxa"/>
            <w:shd w:val="clear" w:color="auto" w:fill="auto"/>
            <w:noWrap w:val="0"/>
            <w:vAlign w:val="center"/>
          </w:tcPr>
          <w:p w14:paraId="790C4C9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2021.01.01</w:t>
            </w:r>
          </w:p>
        </w:tc>
      </w:tr>
      <w:tr w14:paraId="38697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E18FC3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4</w:t>
            </w:r>
          </w:p>
        </w:tc>
        <w:tc>
          <w:tcPr>
            <w:tcW w:w="4729" w:type="dxa"/>
            <w:shd w:val="clear" w:color="auto" w:fill="auto"/>
            <w:noWrap w:val="0"/>
            <w:vAlign w:val="center"/>
          </w:tcPr>
          <w:p w14:paraId="7321AF6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矿山生态环境保护与污染防治技术政策</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498C1A8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环发</w:t>
            </w:r>
            <w:r>
              <w:rPr>
                <w:rFonts w:hint="default" w:ascii="Times New Roman" w:hAnsi="Times New Roman" w:eastAsia="宋体" w:cs="Times New Roman"/>
                <w:b w:val="0"/>
                <w:bCs/>
                <w:color w:val="000000" w:themeColor="text1"/>
                <w:sz w:val="21"/>
                <w:szCs w:val="21"/>
                <w14:textFill>
                  <w14:solidFill>
                    <w14:schemeClr w14:val="tx1"/>
                  </w14:solidFill>
                </w14:textFill>
              </w:rPr>
              <w:t>〔20</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05</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109号</w:t>
            </w:r>
          </w:p>
        </w:tc>
        <w:tc>
          <w:tcPr>
            <w:tcW w:w="1196" w:type="dxa"/>
            <w:shd w:val="clear" w:color="auto" w:fill="auto"/>
            <w:noWrap w:val="0"/>
            <w:vAlign w:val="center"/>
          </w:tcPr>
          <w:p w14:paraId="4BAFC7B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2005.09.07</w:t>
            </w:r>
          </w:p>
        </w:tc>
      </w:tr>
      <w:tr w14:paraId="6F7DC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33FBBF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5</w:t>
            </w:r>
          </w:p>
        </w:tc>
        <w:tc>
          <w:tcPr>
            <w:tcW w:w="4729" w:type="dxa"/>
            <w:shd w:val="clear" w:color="auto" w:fill="auto"/>
            <w:noWrap w:val="0"/>
            <w:vAlign w:val="center"/>
          </w:tcPr>
          <w:p w14:paraId="69A9B3D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环境影响评价公众参与办法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3EE97DA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生态环境部令第4号</w:t>
            </w:r>
          </w:p>
        </w:tc>
        <w:tc>
          <w:tcPr>
            <w:tcW w:w="1196" w:type="dxa"/>
            <w:shd w:val="clear" w:color="auto" w:fill="auto"/>
            <w:noWrap w:val="0"/>
            <w:vAlign w:val="center"/>
          </w:tcPr>
          <w:p w14:paraId="6D4D4DC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2019.</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1</w:t>
            </w:r>
          </w:p>
        </w:tc>
      </w:tr>
      <w:tr w14:paraId="1D580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5DF714D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6</w:t>
            </w:r>
          </w:p>
        </w:tc>
        <w:tc>
          <w:tcPr>
            <w:tcW w:w="4729" w:type="dxa"/>
            <w:shd w:val="clear" w:color="auto" w:fill="auto"/>
            <w:noWrap w:val="0"/>
            <w:vAlign w:val="center"/>
          </w:tcPr>
          <w:p w14:paraId="13D1159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关于切实加强风险防范严格环境影响评价管理的通知</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4E06427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环发〔</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2012</w:t>
            </w:r>
            <w:r>
              <w:rPr>
                <w:rFonts w:hint="default" w:ascii="Times New Roman" w:hAnsi="Times New Roman" w:eastAsia="宋体" w:cs="Times New Roman"/>
                <w:b w:val="0"/>
                <w:bCs/>
                <w:color w:val="000000" w:themeColor="text1"/>
                <w:sz w:val="21"/>
                <w:szCs w:val="21"/>
                <w14:textFill>
                  <w14:solidFill>
                    <w14:schemeClr w14:val="tx1"/>
                  </w14:solidFill>
                </w14:textFill>
              </w:rPr>
              <w:t>〕98号</w:t>
            </w:r>
          </w:p>
        </w:tc>
        <w:tc>
          <w:tcPr>
            <w:tcW w:w="1196" w:type="dxa"/>
            <w:shd w:val="clear" w:color="auto" w:fill="auto"/>
            <w:noWrap w:val="0"/>
            <w:vAlign w:val="center"/>
          </w:tcPr>
          <w:p w14:paraId="6BB3D12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2012.</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8.</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7</w:t>
            </w:r>
          </w:p>
        </w:tc>
      </w:tr>
      <w:tr w14:paraId="09F0F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7E21D93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7</w:t>
            </w:r>
          </w:p>
        </w:tc>
        <w:tc>
          <w:tcPr>
            <w:tcW w:w="4729" w:type="dxa"/>
            <w:shd w:val="clear" w:color="auto" w:fill="auto"/>
            <w:noWrap w:val="0"/>
            <w:vAlign w:val="center"/>
          </w:tcPr>
          <w:p w14:paraId="473BE7A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关于进一步加强环境影响评价管理防范环境风险的通知</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7BC5636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环发</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2012</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77号</w:t>
            </w:r>
          </w:p>
        </w:tc>
        <w:tc>
          <w:tcPr>
            <w:tcW w:w="1196" w:type="dxa"/>
            <w:shd w:val="clear" w:color="auto" w:fill="auto"/>
            <w:noWrap w:val="0"/>
            <w:vAlign w:val="center"/>
          </w:tcPr>
          <w:p w14:paraId="2F263B9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2012.07.03</w:t>
            </w:r>
          </w:p>
        </w:tc>
      </w:tr>
      <w:tr w14:paraId="48895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A31E11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8</w:t>
            </w:r>
          </w:p>
        </w:tc>
        <w:tc>
          <w:tcPr>
            <w:tcW w:w="4729" w:type="dxa"/>
            <w:shd w:val="clear" w:color="auto" w:fill="auto"/>
            <w:noWrap w:val="0"/>
            <w:vAlign w:val="center"/>
          </w:tcPr>
          <w:p w14:paraId="071896B3">
            <w:pPr>
              <w:keepNext w:val="0"/>
              <w:keepLines w:val="0"/>
              <w:pageBreakBefore w:val="0"/>
              <w:widowControl w:val="0"/>
              <w:suppressLineNumbers w:val="0"/>
              <w:suppressAutoHyphens/>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排污许可管理办法</w:t>
            </w:r>
            <w: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w:t>
            </w:r>
          </w:p>
        </w:tc>
        <w:tc>
          <w:tcPr>
            <w:tcW w:w="2131" w:type="dxa"/>
            <w:shd w:val="clear" w:color="auto" w:fill="auto"/>
            <w:noWrap w:val="0"/>
            <w:vAlign w:val="center"/>
          </w:tcPr>
          <w:p w14:paraId="5CA9FF33">
            <w:pPr>
              <w:keepNext w:val="0"/>
              <w:keepLines w:val="0"/>
              <w:pageBreakBefore w:val="0"/>
              <w:widowControl w:val="0"/>
              <w:suppressLineNumbers w:val="0"/>
              <w:suppressAutoHyphens/>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生态环境部令第</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号</w:t>
            </w:r>
          </w:p>
        </w:tc>
        <w:tc>
          <w:tcPr>
            <w:tcW w:w="1196" w:type="dxa"/>
            <w:shd w:val="clear" w:color="auto" w:fill="auto"/>
            <w:noWrap w:val="0"/>
            <w:vAlign w:val="center"/>
          </w:tcPr>
          <w:p w14:paraId="6938485F">
            <w:pPr>
              <w:keepNext w:val="0"/>
              <w:keepLines w:val="0"/>
              <w:pageBreakBefore w:val="0"/>
              <w:widowControl w:val="0"/>
              <w:suppressLineNumbers w:val="0"/>
              <w:suppressAutoHyphens/>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2024.07.01</w:t>
            </w:r>
          </w:p>
        </w:tc>
      </w:tr>
      <w:tr w14:paraId="43C92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7117FB3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9</w:t>
            </w:r>
          </w:p>
        </w:tc>
        <w:tc>
          <w:tcPr>
            <w:tcW w:w="4729" w:type="dxa"/>
            <w:shd w:val="clear" w:color="auto" w:fill="auto"/>
            <w:noWrap w:val="0"/>
            <w:vAlign w:val="center"/>
          </w:tcPr>
          <w:p w14:paraId="7B5AF16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关于进一步加强环境保护信息公开工作的通知</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46F7848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环办〔</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2012</w:t>
            </w:r>
            <w:r>
              <w:rPr>
                <w:rFonts w:hint="default" w:ascii="Times New Roman" w:hAnsi="Times New Roman" w:eastAsia="宋体" w:cs="Times New Roman"/>
                <w:b w:val="0"/>
                <w:bCs/>
                <w:color w:val="000000" w:themeColor="text1"/>
                <w:sz w:val="21"/>
                <w:szCs w:val="21"/>
                <w14:textFill>
                  <w14:solidFill>
                    <w14:schemeClr w14:val="tx1"/>
                  </w14:solidFill>
                </w14:textFill>
              </w:rPr>
              <w:t>〕134号</w:t>
            </w:r>
          </w:p>
        </w:tc>
        <w:tc>
          <w:tcPr>
            <w:tcW w:w="1196" w:type="dxa"/>
            <w:shd w:val="clear" w:color="auto" w:fill="auto"/>
            <w:noWrap w:val="0"/>
            <w:vAlign w:val="center"/>
          </w:tcPr>
          <w:p w14:paraId="5865319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2012.10.30</w:t>
            </w:r>
          </w:p>
        </w:tc>
      </w:tr>
      <w:tr w14:paraId="267BB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11B3DC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10</w:t>
            </w:r>
          </w:p>
        </w:tc>
        <w:tc>
          <w:tcPr>
            <w:tcW w:w="4729" w:type="dxa"/>
            <w:shd w:val="clear" w:color="auto" w:fill="auto"/>
            <w:noWrap w:val="0"/>
            <w:vAlign w:val="center"/>
          </w:tcPr>
          <w:p w14:paraId="36F6F04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关于进一步加强工业节水工作的意见</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07FA526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spacing w:val="-10"/>
                <w:kern w:val="2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1"/>
                <w:sz w:val="21"/>
                <w:szCs w:val="21"/>
                <w14:textFill>
                  <w14:solidFill>
                    <w14:schemeClr w14:val="tx1"/>
                  </w14:solidFill>
                </w14:textFill>
              </w:rPr>
              <w:t>工信部节</w:t>
            </w:r>
            <w:r>
              <w:rPr>
                <w:rFonts w:hint="default" w:ascii="Times New Roman" w:hAnsi="Times New Roman" w:eastAsia="宋体" w:cs="Times New Roman"/>
                <w:b w:val="0"/>
                <w:bCs/>
                <w:color w:val="000000" w:themeColor="text1"/>
                <w:spacing w:val="-10"/>
                <w:kern w:val="2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10"/>
                <w:kern w:val="21"/>
                <w:sz w:val="21"/>
                <w:szCs w:val="21"/>
                <w14:textFill>
                  <w14:solidFill>
                    <w14:schemeClr w14:val="tx1"/>
                  </w14:solidFill>
                </w14:textFill>
              </w:rPr>
              <w:t>2010</w:t>
            </w:r>
            <w:r>
              <w:rPr>
                <w:rFonts w:hint="default" w:ascii="Times New Roman" w:hAnsi="Times New Roman" w:eastAsia="宋体" w:cs="Times New Roman"/>
                <w:b w:val="0"/>
                <w:bCs/>
                <w:color w:val="000000" w:themeColor="text1"/>
                <w:spacing w:val="-10"/>
                <w:kern w:val="2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10"/>
                <w:kern w:val="21"/>
                <w:sz w:val="21"/>
                <w:szCs w:val="21"/>
                <w14:textFill>
                  <w14:solidFill>
                    <w14:schemeClr w14:val="tx1"/>
                  </w14:solidFill>
                </w14:textFill>
              </w:rPr>
              <w:t>218号</w:t>
            </w:r>
          </w:p>
        </w:tc>
        <w:tc>
          <w:tcPr>
            <w:tcW w:w="1196" w:type="dxa"/>
            <w:shd w:val="clear" w:color="auto" w:fill="auto"/>
            <w:noWrap w:val="0"/>
            <w:vAlign w:val="center"/>
          </w:tcPr>
          <w:p w14:paraId="0FF8F08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2010.</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5.</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4</w:t>
            </w:r>
          </w:p>
        </w:tc>
      </w:tr>
      <w:tr w14:paraId="14862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180D4EE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11</w:t>
            </w:r>
          </w:p>
        </w:tc>
        <w:tc>
          <w:tcPr>
            <w:tcW w:w="4729" w:type="dxa"/>
            <w:shd w:val="clear" w:color="auto" w:fill="auto"/>
            <w:noWrap w:val="0"/>
            <w:vAlign w:val="center"/>
          </w:tcPr>
          <w:p w14:paraId="152BDE7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关于以改善环境质量为核心加强环境影响评价管理的通知</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78B1518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环环评</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2016</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150号</w:t>
            </w:r>
          </w:p>
        </w:tc>
        <w:tc>
          <w:tcPr>
            <w:tcW w:w="1196" w:type="dxa"/>
            <w:shd w:val="clear" w:color="auto" w:fill="auto"/>
            <w:noWrap w:val="0"/>
            <w:vAlign w:val="center"/>
          </w:tcPr>
          <w:p w14:paraId="657505D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2016.10.27</w:t>
            </w:r>
          </w:p>
        </w:tc>
      </w:tr>
      <w:tr w14:paraId="05210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7E8E97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12</w:t>
            </w:r>
          </w:p>
        </w:tc>
        <w:tc>
          <w:tcPr>
            <w:tcW w:w="4729" w:type="dxa"/>
            <w:shd w:val="clear" w:color="auto" w:fill="auto"/>
            <w:noWrap w:val="0"/>
            <w:vAlign w:val="center"/>
          </w:tcPr>
          <w:p w14:paraId="3FC34E2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建设项目环境影响评价信息公开机制方案</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76C9C19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环发</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2015</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162号</w:t>
            </w:r>
          </w:p>
        </w:tc>
        <w:tc>
          <w:tcPr>
            <w:tcW w:w="1196" w:type="dxa"/>
            <w:shd w:val="clear" w:color="auto" w:fill="auto"/>
            <w:noWrap w:val="0"/>
            <w:vAlign w:val="center"/>
          </w:tcPr>
          <w:p w14:paraId="258C0D7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2015.12.11</w:t>
            </w:r>
          </w:p>
        </w:tc>
      </w:tr>
      <w:tr w14:paraId="618AF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6A60B21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13</w:t>
            </w:r>
          </w:p>
        </w:tc>
        <w:tc>
          <w:tcPr>
            <w:tcW w:w="4729" w:type="dxa"/>
            <w:shd w:val="clear" w:color="auto" w:fill="auto"/>
            <w:noWrap w:val="0"/>
            <w:vAlign w:val="center"/>
          </w:tcPr>
          <w:p w14:paraId="667D77B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控制污染物排放许可制实施方案</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2EC2288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国办发</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2016</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81号</w:t>
            </w:r>
          </w:p>
        </w:tc>
        <w:tc>
          <w:tcPr>
            <w:tcW w:w="1196" w:type="dxa"/>
            <w:shd w:val="clear" w:color="auto" w:fill="auto"/>
            <w:noWrap w:val="0"/>
            <w:vAlign w:val="center"/>
          </w:tcPr>
          <w:p w14:paraId="5C313B5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2016.11.21</w:t>
            </w:r>
          </w:p>
        </w:tc>
      </w:tr>
      <w:tr w14:paraId="74731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81FE5E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w:t>
            </w:r>
          </w:p>
        </w:tc>
        <w:tc>
          <w:tcPr>
            <w:tcW w:w="4729" w:type="dxa"/>
            <w:shd w:val="clear" w:color="auto" w:fill="auto"/>
            <w:noWrap w:val="0"/>
            <w:vAlign w:val="center"/>
          </w:tcPr>
          <w:p w14:paraId="1AF70AE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关于划定并严守生态保护红线的若干意见</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5A8610F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中共中央办公厅、国务院办公厅印发</w:t>
            </w:r>
          </w:p>
        </w:tc>
        <w:tc>
          <w:tcPr>
            <w:tcW w:w="1196" w:type="dxa"/>
            <w:shd w:val="clear" w:color="auto" w:fill="auto"/>
            <w:noWrap w:val="0"/>
            <w:vAlign w:val="center"/>
          </w:tcPr>
          <w:p w14:paraId="5DDBBDB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2017.</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2.</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7</w:t>
            </w:r>
          </w:p>
        </w:tc>
      </w:tr>
      <w:tr w14:paraId="7BF0D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9B402B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15</w:t>
            </w:r>
          </w:p>
        </w:tc>
        <w:tc>
          <w:tcPr>
            <w:tcW w:w="4729" w:type="dxa"/>
            <w:shd w:val="clear" w:color="auto" w:fill="auto"/>
            <w:noWrap w:val="0"/>
            <w:vAlign w:val="center"/>
          </w:tcPr>
          <w:p w14:paraId="23C373C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《关于进一步加强矿山安全生产工作的意见》</w:t>
            </w:r>
          </w:p>
        </w:tc>
        <w:tc>
          <w:tcPr>
            <w:tcW w:w="2131" w:type="dxa"/>
            <w:shd w:val="clear" w:color="auto" w:fill="auto"/>
            <w:noWrap w:val="0"/>
            <w:vAlign w:val="center"/>
          </w:tcPr>
          <w:p w14:paraId="32F9A06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中共中央办公厅、国务院办公厅印发</w:t>
            </w:r>
          </w:p>
        </w:tc>
        <w:tc>
          <w:tcPr>
            <w:tcW w:w="1196" w:type="dxa"/>
            <w:shd w:val="clear" w:color="auto" w:fill="auto"/>
            <w:noWrap w:val="0"/>
            <w:vAlign w:val="center"/>
          </w:tcPr>
          <w:p w14:paraId="26A26EC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2023</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color w:val="000000" w:themeColor="text1"/>
                <w:kern w:val="1"/>
                <w:sz w:val="21"/>
                <w:szCs w:val="21"/>
                <w14:textFill>
                  <w14:solidFill>
                    <w14:schemeClr w14:val="tx1"/>
                  </w14:solidFill>
                </w14:textFill>
              </w:rPr>
              <w:t>09</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color w:val="000000" w:themeColor="text1"/>
                <w:kern w:val="1"/>
                <w:sz w:val="21"/>
                <w:szCs w:val="21"/>
                <w14:textFill>
                  <w14:solidFill>
                    <w14:schemeClr w14:val="tx1"/>
                  </w14:solidFill>
                </w14:textFill>
              </w:rPr>
              <w:t>06</w:t>
            </w:r>
          </w:p>
        </w:tc>
      </w:tr>
      <w:tr w14:paraId="2D092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1D435E3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16</w:t>
            </w:r>
          </w:p>
        </w:tc>
        <w:tc>
          <w:tcPr>
            <w:tcW w:w="4729" w:type="dxa"/>
            <w:shd w:val="clear" w:color="auto" w:fill="auto"/>
            <w:noWrap w:val="0"/>
            <w:vAlign w:val="center"/>
          </w:tcPr>
          <w:p w14:paraId="4FCF2D89">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《国家危险废物名录（202</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5年</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版）》</w:t>
            </w:r>
          </w:p>
        </w:tc>
        <w:tc>
          <w:tcPr>
            <w:tcW w:w="2131" w:type="dxa"/>
            <w:shd w:val="clear" w:color="auto" w:fill="auto"/>
            <w:noWrap w:val="0"/>
            <w:vAlign w:val="center"/>
          </w:tcPr>
          <w:p w14:paraId="54A9C5D2">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生态环境部、国家发展和改革委员会、公安部、交通运输部、国家卫生健康委员会</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令第</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36</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号</w:t>
            </w:r>
          </w:p>
        </w:tc>
        <w:tc>
          <w:tcPr>
            <w:tcW w:w="1196" w:type="dxa"/>
            <w:shd w:val="clear" w:color="auto" w:fill="auto"/>
            <w:noWrap w:val="0"/>
            <w:vAlign w:val="center"/>
          </w:tcPr>
          <w:p w14:paraId="3E5E76E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202</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5.01.01</w:t>
            </w:r>
          </w:p>
        </w:tc>
      </w:tr>
      <w:tr w14:paraId="1A41F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11F764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17</w:t>
            </w:r>
          </w:p>
        </w:tc>
        <w:tc>
          <w:tcPr>
            <w:tcW w:w="4729" w:type="dxa"/>
            <w:shd w:val="clear" w:color="auto" w:fill="auto"/>
            <w:noWrap w:val="0"/>
            <w:vAlign w:val="center"/>
          </w:tcPr>
          <w:p w14:paraId="68C923E9">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highlight w:val="yellow"/>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关于发布《矿产资源开发利用辐射环境监督管理名录》的公告</w:t>
            </w:r>
          </w:p>
        </w:tc>
        <w:tc>
          <w:tcPr>
            <w:tcW w:w="2131" w:type="dxa"/>
            <w:shd w:val="clear" w:color="auto" w:fill="auto"/>
            <w:noWrap w:val="0"/>
            <w:vAlign w:val="center"/>
          </w:tcPr>
          <w:p w14:paraId="0FEF2888">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生态环境部</w:t>
            </w: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发</w:t>
            </w:r>
            <w:r>
              <w:rPr>
                <w:rFonts w:hint="default" w:ascii="Times New Roman" w:hAnsi="Times New Roman" w:eastAsia="宋体" w:cs="Times New Roman"/>
                <w:b w:val="0"/>
                <w:bCs/>
                <w:color w:val="000000" w:themeColor="text1"/>
                <w:spacing w:val="0"/>
                <w:w w:val="100"/>
                <w:position w:val="0"/>
                <w:sz w:val="21"/>
                <w:szCs w:val="21"/>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20</w:t>
            </w: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20</w:t>
            </w:r>
            <w:r>
              <w:rPr>
                <w:rFonts w:hint="default" w:ascii="Times New Roman" w:hAnsi="Times New Roman" w:eastAsia="宋体" w:cs="Times New Roman"/>
                <w:b w:val="0"/>
                <w:bCs/>
                <w:color w:val="000000" w:themeColor="text1"/>
                <w:spacing w:val="0"/>
                <w:w w:val="100"/>
                <w:position w:val="0"/>
                <w:sz w:val="21"/>
                <w:szCs w:val="21"/>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54</w:t>
            </w:r>
            <w:r>
              <w:rPr>
                <w:rFonts w:hint="default" w:ascii="Times New Roman" w:hAnsi="Times New Roman" w:eastAsia="宋体" w:cs="Times New Roman"/>
                <w:b w:val="0"/>
                <w:bCs/>
                <w:color w:val="000000" w:themeColor="text1"/>
                <w:spacing w:val="0"/>
                <w:w w:val="100"/>
                <w:position w:val="0"/>
                <w:sz w:val="21"/>
                <w:szCs w:val="21"/>
                <w14:textFill>
                  <w14:solidFill>
                    <w14:schemeClr w14:val="tx1"/>
                  </w14:solidFill>
                </w14:textFill>
              </w:rPr>
              <w:t>号</w:t>
            </w:r>
          </w:p>
        </w:tc>
        <w:tc>
          <w:tcPr>
            <w:tcW w:w="1196" w:type="dxa"/>
            <w:shd w:val="clear" w:color="auto" w:fill="auto"/>
            <w:noWrap w:val="0"/>
            <w:vAlign w:val="center"/>
          </w:tcPr>
          <w:p w14:paraId="12A0A66B">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20</w:t>
            </w: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w:t>
            </w:r>
            <w:r>
              <w:rPr>
                <w:rFonts w:hint="eastAsia"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1.01.01</w:t>
            </w:r>
          </w:p>
        </w:tc>
      </w:tr>
      <w:tr w14:paraId="07601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74D315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18</w:t>
            </w:r>
          </w:p>
        </w:tc>
        <w:tc>
          <w:tcPr>
            <w:tcW w:w="4729" w:type="dxa"/>
            <w:shd w:val="clear" w:color="auto" w:fill="auto"/>
            <w:noWrap w:val="0"/>
            <w:vAlign w:val="center"/>
          </w:tcPr>
          <w:p w14:paraId="3567428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Calibri" w:hAnsi="Calibri" w:eastAsia="宋体" w:cs="Times New Roman"/>
                <w:b/>
                <w:color w:val="000000"/>
                <w:kern w:val="1"/>
                <w:sz w:val="30"/>
                <w:szCs w:val="20"/>
                <w:lang w:val="en-US" w:eastAsia="zh-CN" w:bidi="ar-SA"/>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土地复垦条例实施办法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（2019年修</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正</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02C8D2D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自然资源部部务会议</w:t>
            </w:r>
          </w:p>
        </w:tc>
        <w:tc>
          <w:tcPr>
            <w:tcW w:w="1196" w:type="dxa"/>
            <w:shd w:val="clear" w:color="auto" w:fill="auto"/>
            <w:noWrap w:val="0"/>
            <w:vAlign w:val="center"/>
          </w:tcPr>
          <w:p w14:paraId="25BBDBE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2019.08.14</w:t>
            </w:r>
          </w:p>
        </w:tc>
      </w:tr>
      <w:tr w14:paraId="13DF6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1405190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19</w:t>
            </w:r>
          </w:p>
        </w:tc>
        <w:tc>
          <w:tcPr>
            <w:tcW w:w="4729" w:type="dxa"/>
            <w:shd w:val="clear" w:color="auto" w:fill="auto"/>
            <w:noWrap w:val="0"/>
            <w:vAlign w:val="center"/>
          </w:tcPr>
          <w:p w14:paraId="1D4F1AE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关于印发《企业事业单位突发环境事件应急预案备案管理办法（试行）》的通知</w:t>
            </w:r>
          </w:p>
        </w:tc>
        <w:tc>
          <w:tcPr>
            <w:tcW w:w="2131" w:type="dxa"/>
            <w:shd w:val="clear" w:color="auto" w:fill="auto"/>
            <w:noWrap w:val="0"/>
            <w:vAlign w:val="center"/>
          </w:tcPr>
          <w:p w14:paraId="347CFA1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环发〔2015〕4号</w:t>
            </w:r>
          </w:p>
        </w:tc>
        <w:tc>
          <w:tcPr>
            <w:tcW w:w="1196" w:type="dxa"/>
            <w:shd w:val="clear" w:color="auto" w:fill="auto"/>
            <w:noWrap w:val="0"/>
            <w:vAlign w:val="center"/>
          </w:tcPr>
          <w:p w14:paraId="0C9C5C7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2015.01.08</w:t>
            </w:r>
          </w:p>
        </w:tc>
      </w:tr>
      <w:tr w14:paraId="65EA2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23A848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20</w:t>
            </w:r>
          </w:p>
        </w:tc>
        <w:tc>
          <w:tcPr>
            <w:tcW w:w="4729" w:type="dxa"/>
            <w:shd w:val="clear" w:color="auto" w:fill="auto"/>
            <w:noWrap w:val="0"/>
            <w:vAlign w:val="center"/>
          </w:tcPr>
          <w:p w14:paraId="36B8DBA0">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关于印发《土壤污染源头防控行动计划》的通知</w:t>
            </w:r>
          </w:p>
        </w:tc>
        <w:tc>
          <w:tcPr>
            <w:tcW w:w="2131" w:type="dxa"/>
            <w:shd w:val="clear" w:color="auto" w:fill="auto"/>
            <w:noWrap w:val="0"/>
            <w:vAlign w:val="center"/>
          </w:tcPr>
          <w:p w14:paraId="5C7DF6C0">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环土壤〔2024〕80号</w:t>
            </w:r>
          </w:p>
        </w:tc>
        <w:tc>
          <w:tcPr>
            <w:tcW w:w="1196" w:type="dxa"/>
            <w:shd w:val="clear" w:color="auto" w:fill="auto"/>
            <w:noWrap w:val="0"/>
            <w:vAlign w:val="center"/>
          </w:tcPr>
          <w:p w14:paraId="12181068">
            <w:pPr>
              <w:pStyle w:val="679"/>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2024.11.06</w:t>
            </w:r>
          </w:p>
        </w:tc>
      </w:tr>
      <w:tr w14:paraId="186C3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7C584E4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21</w:t>
            </w:r>
          </w:p>
        </w:tc>
        <w:tc>
          <w:tcPr>
            <w:tcW w:w="4729" w:type="dxa"/>
            <w:shd w:val="clear" w:color="auto" w:fill="auto"/>
            <w:noWrap w:val="0"/>
            <w:vAlign w:val="center"/>
          </w:tcPr>
          <w:p w14:paraId="6E5ED72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《国家重点保护野生动物名录》</w:t>
            </w:r>
          </w:p>
        </w:tc>
        <w:tc>
          <w:tcPr>
            <w:tcW w:w="2131" w:type="dxa"/>
            <w:shd w:val="clear" w:color="auto" w:fill="auto"/>
            <w:noWrap w:val="0"/>
            <w:vAlign w:val="center"/>
          </w:tcPr>
          <w:p w14:paraId="049091E2">
            <w:pPr>
              <w:pStyle w:val="679"/>
              <w:keepNext w:val="0"/>
              <w:keepLines w:val="0"/>
              <w:pageBreakBefore w:val="0"/>
              <w:widowControl w:val="0"/>
              <w:suppressLineNumbers w:val="0"/>
              <w:kinsoku/>
              <w:wordWrap/>
              <w:overflowPunct/>
              <w:topLinePunct w:val="0"/>
              <w:bidi w:val="0"/>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shd w:val="clear" w:color="auto" w:fill="FFFFFF"/>
                <w14:textFill>
                  <w14:solidFill>
                    <w14:schemeClr w14:val="tx1"/>
                  </w14:solidFill>
                </w14:textFill>
              </w:rPr>
              <w:t>国家林业和草原局农业农村部</w:t>
            </w:r>
          </w:p>
        </w:tc>
        <w:tc>
          <w:tcPr>
            <w:tcW w:w="1196" w:type="dxa"/>
            <w:shd w:val="clear" w:color="auto" w:fill="auto"/>
            <w:noWrap w:val="0"/>
            <w:vAlign w:val="center"/>
          </w:tcPr>
          <w:p w14:paraId="7C399D6C">
            <w:pPr>
              <w:pStyle w:val="679"/>
              <w:keepNext w:val="0"/>
              <w:keepLines w:val="0"/>
              <w:pageBreakBefore w:val="0"/>
              <w:widowControl w:val="0"/>
              <w:suppressLineNumbers w:val="0"/>
              <w:kinsoku/>
              <w:wordWrap/>
              <w:overflowPunct/>
              <w:topLinePunct w:val="0"/>
              <w:bidi w:val="0"/>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2021.02.05</w:t>
            </w:r>
          </w:p>
        </w:tc>
      </w:tr>
      <w:tr w14:paraId="35912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F1ACE8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22</w:t>
            </w:r>
          </w:p>
        </w:tc>
        <w:tc>
          <w:tcPr>
            <w:tcW w:w="4729" w:type="dxa"/>
            <w:shd w:val="clear" w:color="auto" w:fill="auto"/>
            <w:noWrap w:val="0"/>
            <w:vAlign w:val="center"/>
          </w:tcPr>
          <w:p w14:paraId="3F5EE29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《国家重点保护野生植物名录》</w:t>
            </w:r>
          </w:p>
        </w:tc>
        <w:tc>
          <w:tcPr>
            <w:tcW w:w="2131" w:type="dxa"/>
            <w:shd w:val="clear" w:color="auto" w:fill="auto"/>
            <w:noWrap w:val="0"/>
            <w:vAlign w:val="center"/>
          </w:tcPr>
          <w:p w14:paraId="021BFE4F">
            <w:pPr>
              <w:pStyle w:val="679"/>
              <w:keepNext w:val="0"/>
              <w:keepLines w:val="0"/>
              <w:pageBreakBefore w:val="0"/>
              <w:widowControl w:val="0"/>
              <w:suppressLineNumbers w:val="0"/>
              <w:kinsoku/>
              <w:wordWrap/>
              <w:overflowPunct/>
              <w:topLinePunct w:val="0"/>
              <w:bidi w:val="0"/>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kern w:val="0"/>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shd w:val="clear" w:color="auto" w:fill="FFFFFF"/>
                <w14:textFill>
                  <w14:solidFill>
                    <w14:schemeClr w14:val="tx1"/>
                  </w14:solidFill>
                </w14:textFill>
              </w:rPr>
              <w:t>国家林业和草原局农业农村部</w:t>
            </w:r>
          </w:p>
        </w:tc>
        <w:tc>
          <w:tcPr>
            <w:tcW w:w="1196" w:type="dxa"/>
            <w:shd w:val="clear" w:color="auto" w:fill="auto"/>
            <w:noWrap w:val="0"/>
            <w:vAlign w:val="center"/>
          </w:tcPr>
          <w:p w14:paraId="5E69751F">
            <w:pPr>
              <w:pStyle w:val="679"/>
              <w:keepNext w:val="0"/>
              <w:keepLines w:val="0"/>
              <w:pageBreakBefore w:val="0"/>
              <w:widowControl w:val="0"/>
              <w:suppressLineNumbers w:val="0"/>
              <w:kinsoku/>
              <w:wordWrap/>
              <w:overflowPunct/>
              <w:topLinePunct w:val="0"/>
              <w:bidi w:val="0"/>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2021.09.07</w:t>
            </w:r>
          </w:p>
        </w:tc>
      </w:tr>
      <w:tr w14:paraId="7D483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5315349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23</w:t>
            </w:r>
          </w:p>
        </w:tc>
        <w:tc>
          <w:tcPr>
            <w:tcW w:w="4729" w:type="dxa"/>
            <w:shd w:val="clear" w:color="auto" w:fill="auto"/>
            <w:noWrap w:val="0"/>
            <w:vAlign w:val="center"/>
          </w:tcPr>
          <w:p w14:paraId="5031AAA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企业环境信息依法披露管理办法</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125B6D53">
            <w:pPr>
              <w:pStyle w:val="679"/>
              <w:keepNext w:val="0"/>
              <w:keepLines w:val="0"/>
              <w:pageBreakBefore w:val="0"/>
              <w:widowControl w:val="0"/>
              <w:suppressLineNumbers w:val="0"/>
              <w:kinsoku/>
              <w:wordWrap/>
              <w:overflowPunct/>
              <w:topLinePunct w:val="0"/>
              <w:bidi w:val="0"/>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kern w:val="0"/>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shd w:val="clear" w:color="auto" w:fill="FFFFFF"/>
                <w14:textFill>
                  <w14:solidFill>
                    <w14:schemeClr w14:val="tx1"/>
                  </w14:solidFill>
                </w14:textFill>
              </w:rPr>
              <w:t>生态环境部令第24号</w:t>
            </w:r>
          </w:p>
        </w:tc>
        <w:tc>
          <w:tcPr>
            <w:tcW w:w="1196" w:type="dxa"/>
            <w:shd w:val="clear" w:color="auto" w:fill="auto"/>
            <w:noWrap w:val="0"/>
            <w:vAlign w:val="center"/>
          </w:tcPr>
          <w:p w14:paraId="4DC64AD2">
            <w:pPr>
              <w:pStyle w:val="679"/>
              <w:keepNext w:val="0"/>
              <w:keepLines w:val="0"/>
              <w:pageBreakBefore w:val="0"/>
              <w:widowControl w:val="0"/>
              <w:suppressLineNumbers w:val="0"/>
              <w:kinsoku/>
              <w:wordWrap/>
              <w:overflowPunct/>
              <w:topLinePunct w:val="0"/>
              <w:bidi w:val="0"/>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2022.02.08</w:t>
            </w:r>
          </w:p>
        </w:tc>
      </w:tr>
      <w:tr w14:paraId="631A0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6942617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24</w:t>
            </w:r>
          </w:p>
        </w:tc>
        <w:tc>
          <w:tcPr>
            <w:tcW w:w="4729" w:type="dxa"/>
            <w:shd w:val="clear" w:color="auto" w:fill="auto"/>
            <w:noWrap w:val="0"/>
            <w:vAlign w:val="center"/>
          </w:tcPr>
          <w:p w14:paraId="38065BB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《地下水保护利用管理办法》</w:t>
            </w:r>
          </w:p>
        </w:tc>
        <w:tc>
          <w:tcPr>
            <w:tcW w:w="2131" w:type="dxa"/>
            <w:shd w:val="clear" w:color="auto" w:fill="auto"/>
            <w:noWrap w:val="0"/>
            <w:vAlign w:val="center"/>
          </w:tcPr>
          <w:p w14:paraId="1D0B21E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水资管〔2023〕214号</w:t>
            </w:r>
          </w:p>
        </w:tc>
        <w:tc>
          <w:tcPr>
            <w:tcW w:w="1196" w:type="dxa"/>
            <w:shd w:val="clear" w:color="auto" w:fill="auto"/>
            <w:noWrap w:val="0"/>
            <w:vAlign w:val="center"/>
          </w:tcPr>
          <w:p w14:paraId="6F6A1ED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2023</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color w:val="000000" w:themeColor="text1"/>
                <w:kern w:val="1"/>
                <w:sz w:val="21"/>
                <w:szCs w:val="21"/>
                <w14:textFill>
                  <w14:solidFill>
                    <w14:schemeClr w14:val="tx1"/>
                  </w14:solidFill>
                </w14:textFill>
              </w:rPr>
              <w:t>06</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color w:val="000000" w:themeColor="text1"/>
                <w:kern w:val="1"/>
                <w:sz w:val="21"/>
                <w:szCs w:val="21"/>
                <w14:textFill>
                  <w14:solidFill>
                    <w14:schemeClr w14:val="tx1"/>
                  </w14:solidFill>
                </w14:textFill>
              </w:rPr>
              <w:t>28</w:t>
            </w:r>
          </w:p>
        </w:tc>
      </w:tr>
      <w:tr w14:paraId="32275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B9940A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25</w:t>
            </w:r>
          </w:p>
        </w:tc>
        <w:tc>
          <w:tcPr>
            <w:tcW w:w="4729" w:type="dxa"/>
            <w:shd w:val="clear" w:color="auto" w:fill="auto"/>
            <w:noWrap w:val="0"/>
            <w:vAlign w:val="center"/>
          </w:tcPr>
          <w:p w14:paraId="14D4FA2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《关于进一步加强绿色矿山建设的通知》</w:t>
            </w:r>
          </w:p>
        </w:tc>
        <w:tc>
          <w:tcPr>
            <w:tcW w:w="2131" w:type="dxa"/>
            <w:shd w:val="clear" w:color="auto" w:fill="auto"/>
            <w:noWrap w:val="0"/>
            <w:vAlign w:val="center"/>
          </w:tcPr>
          <w:p w14:paraId="68D8105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自然</w:t>
            </w:r>
            <w:r>
              <w:rPr>
                <w:rFonts w:hint="eastAsia" w:ascii="Times New Roman" w:hAnsi="Times New Roman" w:eastAsia="宋体"/>
                <w:b w:val="0"/>
                <w:bCs/>
                <w:color w:val="000000" w:themeColor="text1"/>
                <w:kern w:val="1"/>
                <w:sz w:val="21"/>
                <w:szCs w:val="21"/>
                <w14:textFill>
                  <w14:solidFill>
                    <w14:schemeClr w14:val="tx1"/>
                  </w14:solidFill>
                </w14:textFill>
              </w:rPr>
              <w:t>资规〔20</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24</w:t>
            </w:r>
            <w:r>
              <w:rPr>
                <w:rFonts w:hint="eastAsia" w:ascii="Times New Roman" w:hAnsi="Times New Roman" w:eastAsia="宋体"/>
                <w:b w:val="0"/>
                <w:bCs/>
                <w:color w:val="000000" w:themeColor="text1"/>
                <w:kern w:val="1"/>
                <w:sz w:val="21"/>
                <w:szCs w:val="21"/>
                <w14:textFill>
                  <w14:solidFill>
                    <w14:schemeClr w14:val="tx1"/>
                  </w14:solidFill>
                </w14:textFill>
              </w:rPr>
              <w:t>〕</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1</w:t>
            </w:r>
            <w:r>
              <w:rPr>
                <w:rFonts w:hint="eastAsia" w:ascii="Times New Roman" w:hAnsi="Times New Roman" w:eastAsia="宋体"/>
                <w:b w:val="0"/>
                <w:bCs/>
                <w:color w:val="000000" w:themeColor="text1"/>
                <w:kern w:val="1"/>
                <w:sz w:val="21"/>
                <w:szCs w:val="21"/>
                <w14:textFill>
                  <w14:solidFill>
                    <w14:schemeClr w14:val="tx1"/>
                  </w14:solidFill>
                </w14:textFill>
              </w:rPr>
              <w:t>号</w:t>
            </w:r>
          </w:p>
        </w:tc>
        <w:tc>
          <w:tcPr>
            <w:tcW w:w="1196" w:type="dxa"/>
            <w:shd w:val="clear" w:color="auto" w:fill="auto"/>
            <w:noWrap w:val="0"/>
            <w:vAlign w:val="center"/>
          </w:tcPr>
          <w:p w14:paraId="43D78E0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20</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24.04.15</w:t>
            </w:r>
          </w:p>
        </w:tc>
      </w:tr>
      <w:tr w14:paraId="4FC46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0764D2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26</w:t>
            </w:r>
          </w:p>
        </w:tc>
        <w:tc>
          <w:tcPr>
            <w:tcW w:w="4729" w:type="dxa"/>
            <w:shd w:val="clear" w:color="auto" w:fill="auto"/>
            <w:noWrap w:val="0"/>
            <w:vAlign w:val="center"/>
          </w:tcPr>
          <w:p w14:paraId="15E553AB">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eastAsia" w:ascii="Times New Roman" w:hAnsi="Times New Roman" w:eastAsia="宋体"/>
                <w:b w:val="0"/>
                <w:bCs/>
                <w:color w:val="000000" w:themeColor="text1"/>
                <w:kern w:val="1"/>
                <w:sz w:val="21"/>
                <w:szCs w:val="21"/>
                <w:lang w:eastAsia="zh-CN"/>
                <w14:textFill>
                  <w14:solidFill>
                    <w14:schemeClr w14:val="tx1"/>
                  </w14:solidFill>
                </w14:textFill>
              </w:rPr>
              <w:t>《关于加强矿井水保护和利用的指导意见》</w:t>
            </w:r>
          </w:p>
        </w:tc>
        <w:tc>
          <w:tcPr>
            <w:tcW w:w="2131" w:type="dxa"/>
            <w:shd w:val="clear" w:color="auto" w:fill="auto"/>
            <w:noWrap w:val="0"/>
            <w:vAlign w:val="center"/>
          </w:tcPr>
          <w:p w14:paraId="5E27179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发改环资〔2024〕226号</w:t>
            </w:r>
          </w:p>
        </w:tc>
        <w:tc>
          <w:tcPr>
            <w:tcW w:w="1196" w:type="dxa"/>
            <w:shd w:val="clear" w:color="auto" w:fill="auto"/>
            <w:noWrap w:val="0"/>
            <w:vAlign w:val="center"/>
          </w:tcPr>
          <w:p w14:paraId="1E79AE8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kern w:val="18"/>
                <w:sz w:val="21"/>
                <w:szCs w:val="21"/>
                <w:lang w:val="en-US" w:eastAsia="zh-CN"/>
                <w14:textFill>
                  <w14:solidFill>
                    <w14:schemeClr w14:val="tx1"/>
                  </w14:solidFill>
                </w14:textFill>
              </w:rPr>
              <w:t>2024.02.23</w:t>
            </w:r>
          </w:p>
        </w:tc>
      </w:tr>
      <w:tr w14:paraId="24397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76E5D3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27</w:t>
            </w:r>
          </w:p>
        </w:tc>
        <w:tc>
          <w:tcPr>
            <w:tcW w:w="4729" w:type="dxa"/>
            <w:shd w:val="clear" w:color="auto" w:fill="auto"/>
            <w:noWrap w:val="0"/>
            <w:vAlign w:val="center"/>
          </w:tcPr>
          <w:p w14:paraId="0A267295">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highlight w:val="none"/>
                <w:lang w:val="en-US" w:eastAsia="ar-SA"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highlight w:val="none"/>
                <w:lang w:eastAsia="zh-CN"/>
                <w14:textFill>
                  <w14:solidFill>
                    <w14:schemeClr w14:val="tx1"/>
                  </w14:solidFill>
                </w14:textFill>
              </w:rPr>
              <w:t>《大宗固体废物综合利用实施方案》</w:t>
            </w:r>
          </w:p>
        </w:tc>
        <w:tc>
          <w:tcPr>
            <w:tcW w:w="2131" w:type="dxa"/>
            <w:shd w:val="clear" w:color="auto" w:fill="auto"/>
            <w:noWrap w:val="0"/>
            <w:vAlign w:val="center"/>
          </w:tcPr>
          <w:p w14:paraId="5BE86F00">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发改环资〔2011〕2919号</w:t>
            </w:r>
          </w:p>
        </w:tc>
        <w:tc>
          <w:tcPr>
            <w:tcW w:w="1196" w:type="dxa"/>
            <w:shd w:val="clear" w:color="auto" w:fill="auto"/>
            <w:noWrap w:val="0"/>
            <w:vAlign w:val="center"/>
          </w:tcPr>
          <w:p w14:paraId="7B7B57E2">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2011.12.10</w:t>
            </w:r>
          </w:p>
        </w:tc>
      </w:tr>
      <w:tr w14:paraId="3F16A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16082577">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28</w:t>
            </w:r>
          </w:p>
        </w:tc>
        <w:tc>
          <w:tcPr>
            <w:tcW w:w="4729" w:type="dxa"/>
            <w:shd w:val="clear" w:color="auto" w:fill="auto"/>
            <w:noWrap w:val="0"/>
            <w:vAlign w:val="center"/>
          </w:tcPr>
          <w:p w14:paraId="234CD593">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highlight w:val="none"/>
                <w14:textFill>
                  <w14:solidFill>
                    <w14:schemeClr w14:val="tx1"/>
                  </w14:solidFill>
                </w14:textFill>
              </w:rPr>
              <w:t>《国家发展改革委办公厅关于开展大宗固体废弃物综合利用示范的通知》</w:t>
            </w:r>
          </w:p>
        </w:tc>
        <w:tc>
          <w:tcPr>
            <w:tcW w:w="2131" w:type="dxa"/>
            <w:shd w:val="clear" w:color="auto" w:fill="auto"/>
            <w:noWrap w:val="0"/>
            <w:vAlign w:val="center"/>
          </w:tcPr>
          <w:p w14:paraId="615FCC7C">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14:textFill>
                  <w14:solidFill>
                    <w14:schemeClr w14:val="tx1"/>
                  </w14:solidFill>
                </w14:textFill>
              </w:rPr>
              <w:t>发改办环资〔2021〕438号</w:t>
            </w:r>
          </w:p>
        </w:tc>
        <w:tc>
          <w:tcPr>
            <w:tcW w:w="1196" w:type="dxa"/>
            <w:shd w:val="clear" w:color="auto" w:fill="auto"/>
            <w:noWrap w:val="0"/>
            <w:vAlign w:val="center"/>
          </w:tcPr>
          <w:p w14:paraId="38D07157">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cs/>
                <w14:textFill>
                  <w14:solidFill>
                    <w14:schemeClr w14:val="tx1"/>
                  </w14:solidFill>
                </w14:textFill>
              </w:rPr>
              <w:t>2021.</w:t>
            </w:r>
            <w:r>
              <w:rPr>
                <w:rFonts w:hint="eastAsia" w:ascii="Times New Roman" w:hAnsi="Times New Roman" w:eastAsia="宋体" w:cs="Times New Roman"/>
                <w:b w:val="0"/>
                <w:bCs/>
                <w:color w:val="000000" w:themeColor="text1"/>
                <w:spacing w:val="0"/>
                <w:w w:val="100"/>
                <w:position w:val="0"/>
                <w:sz w:val="21"/>
                <w:szCs w:val="21"/>
                <w:cs w:val="0"/>
                <w:lang w:val="en-US" w:eastAsia="zh-CN"/>
                <w14:textFill>
                  <w14:solidFill>
                    <w14:schemeClr w14:val="tx1"/>
                  </w14:solidFill>
                </w14:textFill>
              </w:rPr>
              <w:t>0</w:t>
            </w:r>
            <w:r>
              <w:rPr>
                <w:rFonts w:hint="default" w:ascii="Times New Roman" w:hAnsi="Times New Roman" w:eastAsia="宋体" w:cs="Times New Roman"/>
                <w:b w:val="0"/>
                <w:bCs/>
                <w:color w:val="000000" w:themeColor="text1"/>
                <w:spacing w:val="0"/>
                <w:w w:val="100"/>
                <w:position w:val="0"/>
                <w:sz w:val="21"/>
                <w:szCs w:val="21"/>
                <w:cs/>
                <w14:textFill>
                  <w14:solidFill>
                    <w14:schemeClr w14:val="tx1"/>
                  </w14:solidFill>
                </w14:textFill>
              </w:rPr>
              <w:t>5.30</w:t>
            </w:r>
          </w:p>
        </w:tc>
      </w:tr>
      <w:tr w14:paraId="0B2C2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23B2B41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29</w:t>
            </w:r>
          </w:p>
        </w:tc>
        <w:tc>
          <w:tcPr>
            <w:tcW w:w="4729" w:type="dxa"/>
            <w:shd w:val="clear" w:color="auto" w:fill="auto"/>
            <w:noWrap w:val="0"/>
            <w:vAlign w:val="center"/>
          </w:tcPr>
          <w:p w14:paraId="2DD54193">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w:t>
            </w:r>
            <w:r>
              <w:rPr>
                <w:rFonts w:hint="eastAsia" w:ascii="Times New Roman" w:hAnsi="Times New Roman" w:cs="Times New Roman"/>
                <w:b w:val="0"/>
                <w:bCs/>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十四五</w:t>
            </w:r>
            <w:r>
              <w:rPr>
                <w:rFonts w:hint="eastAsia" w:ascii="Times New Roman" w:hAnsi="Times New Roman" w:cs="Times New Roman"/>
                <w:b w:val="0"/>
                <w:bCs/>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大宗固体废物综合利用的指导意见》</w:t>
            </w:r>
          </w:p>
        </w:tc>
        <w:tc>
          <w:tcPr>
            <w:tcW w:w="2131" w:type="dxa"/>
            <w:shd w:val="clear" w:color="auto" w:fill="auto"/>
            <w:noWrap w:val="0"/>
            <w:vAlign w:val="center"/>
          </w:tcPr>
          <w:p w14:paraId="4A563603">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shd w:val="clear" w:color="auto" w:fill="FFFFFF"/>
                <w14:textFill>
                  <w14:solidFill>
                    <w14:schemeClr w14:val="tx1"/>
                  </w14:solidFill>
                </w14:textFill>
              </w:rPr>
              <w:t>发改环资〔2021〕381号</w:t>
            </w:r>
          </w:p>
        </w:tc>
        <w:tc>
          <w:tcPr>
            <w:tcW w:w="1196" w:type="dxa"/>
            <w:shd w:val="clear" w:color="auto" w:fill="auto"/>
            <w:noWrap w:val="0"/>
            <w:vAlign w:val="center"/>
          </w:tcPr>
          <w:p w14:paraId="39FDB72F">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2021.</w:t>
            </w:r>
            <w:r>
              <w:rPr>
                <w:rFonts w:hint="eastAsia"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3.18</w:t>
            </w:r>
          </w:p>
        </w:tc>
      </w:tr>
      <w:tr w14:paraId="4A622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7F73822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30</w:t>
            </w:r>
          </w:p>
        </w:tc>
        <w:tc>
          <w:tcPr>
            <w:tcW w:w="4729" w:type="dxa"/>
            <w:shd w:val="clear" w:color="auto" w:fill="auto"/>
            <w:noWrap w:val="0"/>
            <w:vAlign w:val="center"/>
          </w:tcPr>
          <w:p w14:paraId="55DE8EC6">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《环境空气细颗粒物污染综合防治技术政策》</w:t>
            </w:r>
          </w:p>
        </w:tc>
        <w:tc>
          <w:tcPr>
            <w:tcW w:w="2131" w:type="dxa"/>
            <w:shd w:val="clear" w:color="auto" w:fill="auto"/>
            <w:noWrap w:val="0"/>
            <w:vAlign w:val="center"/>
          </w:tcPr>
          <w:p w14:paraId="6337675B">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shd w:val="clear" w:color="auto" w:fill="FFFFFF"/>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w w:val="100"/>
                <w:position w:val="0"/>
                <w:sz w:val="21"/>
                <w:szCs w:val="21"/>
                <w:shd w:val="clear" w:color="auto" w:fill="FFFFFF"/>
                <w:lang w:val="en-US" w:eastAsia="zh-CN"/>
                <w14:textFill>
                  <w14:solidFill>
                    <w14:schemeClr w14:val="tx1"/>
                  </w14:solidFill>
                </w14:textFill>
              </w:rPr>
              <w:t>原环境保护部</w:t>
            </w:r>
            <w:r>
              <w:rPr>
                <w:rFonts w:hint="default" w:ascii="Times New Roman" w:hAnsi="Times New Roman" w:eastAsia="宋体" w:cs="Times New Roman"/>
                <w:b w:val="0"/>
                <w:bCs/>
                <w:color w:val="000000" w:themeColor="text1"/>
                <w:spacing w:val="0"/>
                <w:w w:val="100"/>
                <w:position w:val="0"/>
                <w:sz w:val="21"/>
                <w:szCs w:val="21"/>
                <w:shd w:val="clear" w:color="auto" w:fill="FFFFFF"/>
                <w14:textFill>
                  <w14:solidFill>
                    <w14:schemeClr w14:val="tx1"/>
                  </w14:solidFill>
                </w14:textFill>
              </w:rPr>
              <w:t>2013年第59号</w:t>
            </w:r>
          </w:p>
        </w:tc>
        <w:tc>
          <w:tcPr>
            <w:tcW w:w="1196" w:type="dxa"/>
            <w:shd w:val="clear" w:color="auto" w:fill="auto"/>
            <w:noWrap w:val="0"/>
            <w:vAlign w:val="center"/>
          </w:tcPr>
          <w:p w14:paraId="36221C8E">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2013.</w:t>
            </w:r>
            <w:r>
              <w:rPr>
                <w:rFonts w:hint="eastAsia"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9.13</w:t>
            </w:r>
          </w:p>
        </w:tc>
      </w:tr>
      <w:tr w14:paraId="7C4AD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993D6F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31</w:t>
            </w:r>
          </w:p>
        </w:tc>
        <w:tc>
          <w:tcPr>
            <w:tcW w:w="4729" w:type="dxa"/>
            <w:shd w:val="clear" w:color="auto" w:fill="auto"/>
            <w:noWrap w:val="0"/>
            <w:vAlign w:val="center"/>
          </w:tcPr>
          <w:p w14:paraId="3A31BC22">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《国土资源部关于铁、铜、铅、锌、稀土、钾盐和萤石等矿产资源合理开发利用</w:t>
            </w:r>
            <w:r>
              <w:rPr>
                <w:rFonts w:hint="eastAsia" w:ascii="Times New Roman" w:hAnsi="Times New Roman" w:cs="Times New Roman"/>
                <w:b w:val="0"/>
                <w:bCs/>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三率</w:t>
            </w:r>
            <w:r>
              <w:rPr>
                <w:rFonts w:hint="eastAsia" w:ascii="Times New Roman" w:hAnsi="Times New Roman" w:cs="Times New Roman"/>
                <w:b w:val="0"/>
                <w:bCs/>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最低指标要求（试行）的公告》</w:t>
            </w:r>
          </w:p>
        </w:tc>
        <w:tc>
          <w:tcPr>
            <w:tcW w:w="2131" w:type="dxa"/>
            <w:shd w:val="clear" w:color="auto" w:fill="auto"/>
            <w:noWrap w:val="0"/>
            <w:vAlign w:val="center"/>
          </w:tcPr>
          <w:p w14:paraId="42F29BA5">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shd w:val="clear" w:color="auto" w:fill="FFFFFF"/>
                <w14:textFill>
                  <w14:solidFill>
                    <w14:schemeClr w14:val="tx1"/>
                  </w14:solidFill>
                </w14:textFill>
              </w:rPr>
              <w:t>国土资源部2013年第21号</w:t>
            </w:r>
          </w:p>
        </w:tc>
        <w:tc>
          <w:tcPr>
            <w:tcW w:w="1196" w:type="dxa"/>
            <w:shd w:val="clear" w:color="auto" w:fill="auto"/>
            <w:noWrap w:val="0"/>
            <w:vAlign w:val="center"/>
          </w:tcPr>
          <w:p w14:paraId="6CF7920A">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2013.12.30</w:t>
            </w:r>
          </w:p>
        </w:tc>
      </w:tr>
      <w:tr w14:paraId="367EB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48ACE5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32</w:t>
            </w:r>
          </w:p>
        </w:tc>
        <w:tc>
          <w:tcPr>
            <w:tcW w:w="4729" w:type="dxa"/>
            <w:shd w:val="clear" w:color="auto" w:fill="auto"/>
            <w:noWrap w:val="0"/>
            <w:vAlign w:val="center"/>
          </w:tcPr>
          <w:p w14:paraId="62FA3AA6">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《固定污染源排污许可分类管理名录（2019年版）》</w:t>
            </w:r>
          </w:p>
        </w:tc>
        <w:tc>
          <w:tcPr>
            <w:tcW w:w="2131" w:type="dxa"/>
            <w:shd w:val="clear" w:color="auto" w:fill="auto"/>
            <w:noWrap w:val="0"/>
            <w:vAlign w:val="center"/>
          </w:tcPr>
          <w:p w14:paraId="338860AB">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shd w:val="clear" w:color="auto" w:fill="FFFFFF"/>
                <w14:textFill>
                  <w14:solidFill>
                    <w14:schemeClr w14:val="tx1"/>
                  </w14:solidFill>
                </w14:textFill>
              </w:rPr>
              <w:t>生态环境部令第11号</w:t>
            </w:r>
          </w:p>
        </w:tc>
        <w:tc>
          <w:tcPr>
            <w:tcW w:w="1196" w:type="dxa"/>
            <w:shd w:val="clear" w:color="auto" w:fill="auto"/>
            <w:noWrap w:val="0"/>
            <w:vAlign w:val="center"/>
          </w:tcPr>
          <w:p w14:paraId="5FEAF5C1">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2019.12.20</w:t>
            </w:r>
          </w:p>
        </w:tc>
      </w:tr>
      <w:tr w14:paraId="61D34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0C42DF1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33</w:t>
            </w:r>
          </w:p>
        </w:tc>
        <w:tc>
          <w:tcPr>
            <w:tcW w:w="4729" w:type="dxa"/>
            <w:shd w:val="clear" w:color="auto" w:fill="auto"/>
            <w:noWrap w:val="0"/>
            <w:vAlign w:val="center"/>
          </w:tcPr>
          <w:p w14:paraId="56098A5F">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《一般工业固体废物管理台账制定指南（试行）》</w:t>
            </w:r>
          </w:p>
        </w:tc>
        <w:tc>
          <w:tcPr>
            <w:tcW w:w="2131" w:type="dxa"/>
            <w:shd w:val="clear" w:color="auto" w:fill="auto"/>
            <w:noWrap w:val="0"/>
            <w:vAlign w:val="center"/>
          </w:tcPr>
          <w:p w14:paraId="4CBD0FD8">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shd w:val="clear" w:color="auto" w:fill="FFFFFF"/>
                <w14:textFill>
                  <w14:solidFill>
                    <w14:schemeClr w14:val="tx1"/>
                  </w14:solidFill>
                </w14:textFill>
              </w:rPr>
              <w:t>生态环境部2021年第82号</w:t>
            </w:r>
          </w:p>
        </w:tc>
        <w:tc>
          <w:tcPr>
            <w:tcW w:w="1196" w:type="dxa"/>
            <w:shd w:val="clear" w:color="auto" w:fill="auto"/>
            <w:noWrap w:val="0"/>
            <w:vAlign w:val="center"/>
          </w:tcPr>
          <w:p w14:paraId="725127DD">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2021.12.30</w:t>
            </w:r>
          </w:p>
        </w:tc>
      </w:tr>
      <w:tr w14:paraId="52A7B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FC227C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bookmarkStart w:id="107" w:name="OLE_LINK198" w:colFirst="0" w:colLast="0"/>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34</w:t>
            </w:r>
          </w:p>
        </w:tc>
        <w:tc>
          <w:tcPr>
            <w:tcW w:w="4729" w:type="dxa"/>
            <w:shd w:val="clear" w:color="auto" w:fill="auto"/>
            <w:noWrap w:val="0"/>
            <w:vAlign w:val="center"/>
          </w:tcPr>
          <w:p w14:paraId="74E42C8E">
            <w:pPr>
              <w:pStyle w:val="546"/>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exact"/>
              <w:ind w:left="-63" w:leftChars="-30" w:right="-63" w:rightChars="-30" w:firstLine="0" w:firstLineChars="0"/>
              <w:jc w:val="center"/>
              <w:textAlignment w:val="auto"/>
              <w:rPr>
                <w:rFonts w:hint="default" w:ascii="Times New Roman" w:hAnsi="Times New Roman" w:eastAsia="宋体" w:cs="Times New Roman"/>
                <w:b w:val="0"/>
                <w:bCs/>
                <w:color w:val="000000" w:themeColor="text1"/>
                <w:spacing w:val="0"/>
                <w:w w:val="100"/>
                <w:kern w:val="1"/>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w:t>
            </w:r>
            <w:r>
              <w:rPr>
                <w:rFonts w:hint="eastAsia" w:ascii="Times New Roman" w:hAnsi="Times New Roman" w:cs="Times New Roman"/>
                <w:b w:val="0"/>
                <w:bCs/>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十四五</w:t>
            </w:r>
            <w:r>
              <w:rPr>
                <w:rFonts w:hint="eastAsia" w:ascii="Times New Roman" w:hAnsi="Times New Roman" w:cs="Times New Roman"/>
                <w:b w:val="0"/>
                <w:bCs/>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1"/>
                <w:szCs w:val="21"/>
                <w:lang w:eastAsia="zh-CN"/>
                <w14:textFill>
                  <w14:solidFill>
                    <w14:schemeClr w14:val="tx1"/>
                  </w14:solidFill>
                </w14:textFill>
              </w:rPr>
              <w:t>土壤、地下水和农村生态环境保护规划》</w:t>
            </w:r>
          </w:p>
        </w:tc>
        <w:tc>
          <w:tcPr>
            <w:tcW w:w="2131" w:type="dxa"/>
            <w:shd w:val="clear" w:color="auto" w:fill="auto"/>
            <w:noWrap w:val="0"/>
            <w:vAlign w:val="center"/>
          </w:tcPr>
          <w:p w14:paraId="026B41BD">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shd w:val="clear" w:color="auto" w:fill="FFFFFF"/>
                <w14:textFill>
                  <w14:solidFill>
                    <w14:schemeClr w14:val="tx1"/>
                  </w14:solidFill>
                </w14:textFill>
              </w:rPr>
              <w:t>环土壤〔2021〕120号</w:t>
            </w:r>
          </w:p>
        </w:tc>
        <w:tc>
          <w:tcPr>
            <w:tcW w:w="1196" w:type="dxa"/>
            <w:shd w:val="clear" w:color="auto" w:fill="auto"/>
            <w:noWrap w:val="0"/>
            <w:vAlign w:val="center"/>
          </w:tcPr>
          <w:p w14:paraId="44C94B78">
            <w:pPr>
              <w:pStyle w:val="679"/>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eastAsia="宋体" w:cs="Times New Roman"/>
                <w:b w:val="0"/>
                <w:bCs/>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lang w:val="en-US" w:eastAsia="zh-CN"/>
                <w14:textFill>
                  <w14:solidFill>
                    <w14:schemeClr w14:val="tx1"/>
                  </w14:solidFill>
                </w14:textFill>
              </w:rPr>
              <w:t>2021.12.29</w:t>
            </w:r>
          </w:p>
        </w:tc>
      </w:tr>
      <w:tr w14:paraId="71F18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3D3D29F5">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35</w:t>
            </w:r>
          </w:p>
        </w:tc>
        <w:tc>
          <w:tcPr>
            <w:tcW w:w="4729" w:type="dxa"/>
            <w:shd w:val="clear" w:color="auto" w:fill="auto"/>
            <w:noWrap w:val="0"/>
            <w:vAlign w:val="center"/>
          </w:tcPr>
          <w:p w14:paraId="28654865">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《固体废物分类与代码目录》</w:t>
            </w:r>
          </w:p>
        </w:tc>
        <w:tc>
          <w:tcPr>
            <w:tcW w:w="2131" w:type="dxa"/>
            <w:shd w:val="clear" w:color="auto" w:fill="auto"/>
            <w:noWrap w:val="0"/>
            <w:vAlign w:val="center"/>
          </w:tcPr>
          <w:p w14:paraId="7D4BD598">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生态环境部2024年第4号</w:t>
            </w:r>
          </w:p>
        </w:tc>
        <w:tc>
          <w:tcPr>
            <w:tcW w:w="1196" w:type="dxa"/>
            <w:shd w:val="clear" w:color="auto" w:fill="auto"/>
            <w:noWrap w:val="0"/>
            <w:vAlign w:val="center"/>
          </w:tcPr>
          <w:p w14:paraId="30C53519">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2024</w:t>
            </w:r>
            <w:r>
              <w:rPr>
                <w:rFonts w:hint="eastAsia" w:ascii="Times New Roman" w:hAnsi="Times New Roman"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01</w:t>
            </w:r>
            <w:r>
              <w:rPr>
                <w:rFonts w:hint="eastAsia" w:ascii="Times New Roman" w:hAnsi="Times New Roman" w:cs="Times New Roman"/>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19</w:t>
            </w:r>
          </w:p>
        </w:tc>
      </w:tr>
      <w:tr w14:paraId="5BEB2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6FFE8D1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36</w:t>
            </w:r>
          </w:p>
        </w:tc>
        <w:tc>
          <w:tcPr>
            <w:tcW w:w="4729" w:type="dxa"/>
            <w:shd w:val="clear" w:color="auto" w:fill="auto"/>
            <w:noWrap w:val="0"/>
            <w:vAlign w:val="center"/>
          </w:tcPr>
          <w:p w14:paraId="08693A1E">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《关于印发〈污染影响类建设项目重大变动清单（试行）〉的通知》</w:t>
            </w:r>
          </w:p>
        </w:tc>
        <w:tc>
          <w:tcPr>
            <w:tcW w:w="2131" w:type="dxa"/>
            <w:shd w:val="clear" w:color="auto" w:fill="auto"/>
            <w:noWrap w:val="0"/>
            <w:vAlign w:val="center"/>
          </w:tcPr>
          <w:p w14:paraId="5D5B514D">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环办环评函〔2020〕688号</w:t>
            </w:r>
          </w:p>
        </w:tc>
        <w:tc>
          <w:tcPr>
            <w:tcW w:w="1196" w:type="dxa"/>
            <w:shd w:val="clear" w:color="auto" w:fill="auto"/>
            <w:noWrap w:val="0"/>
            <w:vAlign w:val="center"/>
          </w:tcPr>
          <w:p w14:paraId="693B9FAA">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1"/>
                <w:sz w:val="21"/>
                <w:szCs w:val="21"/>
                <w:lang w:val="en-US" w:eastAsia="zh-CN"/>
                <w14:textFill>
                  <w14:solidFill>
                    <w14:schemeClr w14:val="tx1"/>
                  </w14:solidFill>
                </w14:textFill>
              </w:rPr>
              <w:t>2020.12.13</w:t>
            </w:r>
          </w:p>
        </w:tc>
      </w:tr>
      <w:tr w14:paraId="6645F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0" w:type="dxa"/>
            <w:shd w:val="clear" w:color="auto" w:fill="auto"/>
            <w:noWrap w:val="0"/>
            <w:vAlign w:val="center"/>
          </w:tcPr>
          <w:p w14:paraId="49AE7FB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63" w:leftChars="-30" w:right="-63"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bookmarkStart w:id="108" w:name="_Toc31400"/>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37</w:t>
            </w:r>
          </w:p>
        </w:tc>
        <w:tc>
          <w:tcPr>
            <w:tcW w:w="4729" w:type="dxa"/>
            <w:shd w:val="clear" w:color="auto" w:fill="auto"/>
            <w:noWrap w:val="0"/>
            <w:vAlign w:val="center"/>
          </w:tcPr>
          <w:p w14:paraId="72055DC1">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市场准入负面清单（2025年版）</w:t>
            </w:r>
            <w:r>
              <w:rPr>
                <w:rFonts w:hint="eastAsia" w:ascii="Times New Roman" w:hAnsi="Times New Roman" w:eastAsia="宋体" w:cs="Times New Roman"/>
                <w:b w:val="0"/>
                <w:bCs/>
                <w:color w:val="000000" w:themeColor="text1"/>
                <w:kern w:val="1"/>
                <w:sz w:val="21"/>
                <w:szCs w:val="21"/>
                <w:lang w:eastAsia="zh-CN"/>
                <w14:textFill>
                  <w14:solidFill>
                    <w14:schemeClr w14:val="tx1"/>
                  </w14:solidFill>
                </w14:textFill>
              </w:rPr>
              <w:t>》</w:t>
            </w:r>
          </w:p>
        </w:tc>
        <w:tc>
          <w:tcPr>
            <w:tcW w:w="2131" w:type="dxa"/>
            <w:shd w:val="clear" w:color="auto" w:fill="auto"/>
            <w:noWrap w:val="0"/>
            <w:vAlign w:val="center"/>
          </w:tcPr>
          <w:p w14:paraId="48C9C13E">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发改体改规〔2025〕466号</w:t>
            </w:r>
          </w:p>
        </w:tc>
        <w:tc>
          <w:tcPr>
            <w:tcW w:w="1196" w:type="dxa"/>
            <w:shd w:val="clear" w:color="auto" w:fill="auto"/>
            <w:noWrap w:val="0"/>
            <w:vAlign w:val="center"/>
          </w:tcPr>
          <w:p w14:paraId="40072590">
            <w:pPr>
              <w:pStyle w:val="546"/>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2025</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04</w:t>
            </w:r>
            <w:r>
              <w:rPr>
                <w:rFonts w:hint="eastAsia" w:ascii="Times New Roman" w:hAnsi="Times New Roman" w:eastAsia="宋体" w:cs="Times New Roman"/>
                <w:b w:val="0"/>
                <w:bCs/>
                <w:color w:val="000000" w:themeColor="text1"/>
                <w:kern w:val="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16</w:t>
            </w:r>
          </w:p>
        </w:tc>
      </w:tr>
      <w:bookmarkEnd w:id="107"/>
    </w:tbl>
    <w:p w14:paraId="47CF1DF6">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2</w:t>
      </w:r>
      <w:r>
        <w:rPr>
          <w:color w:val="000000" w:themeColor="text1"/>
          <w:kern w:val="2"/>
          <w14:textFill>
            <w14:solidFill>
              <w14:schemeClr w14:val="tx1"/>
            </w14:solidFill>
          </w14:textFill>
        </w:rPr>
        <w:t>.</w:t>
      </w:r>
      <w:r>
        <w:rPr>
          <w:rFonts w:hint="eastAsia"/>
          <w:color w:val="000000" w:themeColor="text1"/>
          <w:kern w:val="2"/>
          <w14:textFill>
            <w14:solidFill>
              <w14:schemeClr w14:val="tx1"/>
            </w14:solidFill>
          </w14:textFill>
        </w:rPr>
        <w:t>2</w:t>
      </w:r>
      <w:r>
        <w:rPr>
          <w:color w:val="000000" w:themeColor="text1"/>
          <w:kern w:val="2"/>
          <w14:textFill>
            <w14:solidFill>
              <w14:schemeClr w14:val="tx1"/>
            </w14:solidFill>
          </w14:textFill>
        </w:rPr>
        <w:t>地方有关法律法规、文件</w:t>
      </w:r>
      <w:bookmarkEnd w:id="108"/>
    </w:p>
    <w:p w14:paraId="78FBCC78">
      <w:pPr>
        <w:pStyle w:val="202"/>
        <w:keepNext w:val="0"/>
        <w:keepLines w:val="0"/>
        <w:pageBreakBefore w:val="0"/>
        <w:widowControl w:val="0"/>
        <w:kinsoku/>
        <w:wordWrap/>
        <w:overflowPunct w:val="0"/>
        <w:topLinePunct/>
        <w:autoSpaceDE/>
        <w:autoSpaceDN/>
        <w:bidi w:val="0"/>
        <w:adjustRightInd/>
        <w:snapToGrid/>
        <w:spacing w:line="480" w:lineRule="exact"/>
        <w:ind w:firstLine="480"/>
        <w:textAlignment w:val="auto"/>
        <w:rPr>
          <w:rFonts w:ascii="Times New Roman" w:hAnsi="Times New Roman" w:cs="Times New Roman" w:eastAsiaTheme="minorEastAsia"/>
          <w:color w:val="000000" w:themeColor="text1"/>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t>本次评价依据的地方</w:t>
      </w:r>
      <w:r>
        <w:rPr>
          <w:rFonts w:hint="eastAsia" w:ascii="Times New Roman" w:hAnsi="Times New Roman" w:cs="Times New Roman" w:eastAsiaTheme="minorEastAsia"/>
          <w:color w:val="000000" w:themeColor="text1"/>
          <w14:textFill>
            <w14:solidFill>
              <w14:schemeClr w14:val="tx1"/>
            </w14:solidFill>
          </w14:textFill>
        </w:rPr>
        <w:t>有关法律法规和规章</w:t>
      </w:r>
      <w:r>
        <w:rPr>
          <w:rFonts w:hint="eastAsia" w:ascii="Times New Roman" w:hAnsi="Times New Roman" w:cs="Times New Roman" w:eastAsiaTheme="minorEastAsia"/>
          <w:color w:val="000000" w:themeColor="text1"/>
          <w:lang w:val="en-US" w:eastAsia="zh-CN"/>
          <w14:textFill>
            <w14:solidFill>
              <w14:schemeClr w14:val="tx1"/>
            </w14:solidFill>
          </w14:textFill>
        </w:rPr>
        <w:t>等详见表2.2-2。</w:t>
      </w:r>
    </w:p>
    <w:p w14:paraId="4F43FBBC">
      <w:pPr>
        <w:pStyle w:val="475"/>
        <w:spacing w:beforeLines="0" w:afterLines="0" w:line="480" w:lineRule="exact"/>
        <w:ind w:firstLine="0" w:firstLineChars="0"/>
        <w:rPr>
          <w:rFonts w:hint="eastAsia" w:ascii="Times New Roman" w:hAnsi="Times New Roman" w:eastAsia="宋体"/>
          <w:color w:val="000000" w:themeColor="text1"/>
          <w:kern w:val="2"/>
          <w14:textFill>
            <w14:solidFill>
              <w14:schemeClr w14:val="tx1"/>
            </w14:solidFill>
          </w14:textFill>
        </w:rPr>
      </w:pPr>
      <w:r>
        <w:rPr>
          <w:rFonts w:hint="eastAsia" w:ascii="Times New Roman" w:hAnsi="Times New Roman" w:eastAsia="宋体"/>
          <w:color w:val="000000" w:themeColor="text1"/>
          <w:kern w:val="2"/>
          <w14:textFill>
            <w14:solidFill>
              <w14:schemeClr w14:val="tx1"/>
            </w14:solidFill>
          </w14:textFill>
        </w:rPr>
        <w:t xml:space="preserve">表2.2-2    </w:t>
      </w:r>
      <w:r>
        <w:rPr>
          <w:rFonts w:ascii="Times New Roman" w:hAnsi="Times New Roman" w:eastAsia="宋体"/>
          <w:color w:val="000000" w:themeColor="text1"/>
          <w:kern w:val="2"/>
          <w14:textFill>
            <w14:solidFill>
              <w14:schemeClr w14:val="tx1"/>
            </w14:solidFill>
          </w14:textFill>
        </w:rPr>
        <w:t>地方有关法律法规、文件</w:t>
      </w:r>
      <w:r>
        <w:rPr>
          <w:rFonts w:hint="eastAsia" w:ascii="Times New Roman" w:hAnsi="Times New Roman" w:eastAsia="宋体"/>
          <w:color w:val="000000" w:themeColor="text1"/>
          <w:kern w:val="2"/>
          <w14:textFill>
            <w14:solidFill>
              <w14:schemeClr w14:val="tx1"/>
            </w14:solidFill>
          </w14:textFill>
        </w:rPr>
        <w:t>一览表</w:t>
      </w:r>
    </w:p>
    <w:tbl>
      <w:tblPr>
        <w:tblStyle w:val="79"/>
        <w:tblW w:w="86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0"/>
        <w:gridCol w:w="4729"/>
        <w:gridCol w:w="2131"/>
        <w:gridCol w:w="1196"/>
      </w:tblGrid>
      <w:tr w14:paraId="396F5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00" w:type="dxa"/>
            <w:noWrap w:val="0"/>
            <w:vAlign w:val="center"/>
          </w:tcPr>
          <w:p w14:paraId="571DC2D2">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4729" w:type="dxa"/>
            <w:noWrap w:val="0"/>
            <w:vAlign w:val="center"/>
          </w:tcPr>
          <w:p w14:paraId="42E4880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依据名称</w:t>
            </w:r>
          </w:p>
        </w:tc>
        <w:tc>
          <w:tcPr>
            <w:tcW w:w="2131" w:type="dxa"/>
            <w:noWrap w:val="0"/>
            <w:vAlign w:val="center"/>
          </w:tcPr>
          <w:p w14:paraId="48871D6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会议、文号</w:t>
            </w:r>
          </w:p>
        </w:tc>
        <w:tc>
          <w:tcPr>
            <w:tcW w:w="1196" w:type="dxa"/>
            <w:noWrap w:val="0"/>
            <w:vAlign w:val="center"/>
          </w:tcPr>
          <w:p w14:paraId="4D481C42">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实施时间</w:t>
            </w:r>
          </w:p>
        </w:tc>
      </w:tr>
      <w:tr w14:paraId="71107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468EBD09">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w:t>
            </w:r>
          </w:p>
        </w:tc>
        <w:tc>
          <w:tcPr>
            <w:tcW w:w="4729" w:type="dxa"/>
            <w:shd w:val="clear" w:color="auto" w:fill="auto"/>
            <w:noWrap w:val="0"/>
            <w:vAlign w:val="center"/>
          </w:tcPr>
          <w:p w14:paraId="18997FA1">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《新疆维吾尔自治区环境保护条例》</w:t>
            </w:r>
          </w:p>
        </w:tc>
        <w:tc>
          <w:tcPr>
            <w:tcW w:w="2131" w:type="dxa"/>
            <w:shd w:val="clear" w:color="auto" w:fill="auto"/>
            <w:noWrap w:val="0"/>
            <w:vAlign w:val="center"/>
          </w:tcPr>
          <w:p w14:paraId="14F157C0">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13届人大第6次会议</w:t>
            </w:r>
          </w:p>
        </w:tc>
        <w:tc>
          <w:tcPr>
            <w:tcW w:w="1196" w:type="dxa"/>
            <w:shd w:val="clear" w:color="auto" w:fill="auto"/>
            <w:noWrap w:val="0"/>
            <w:vAlign w:val="center"/>
          </w:tcPr>
          <w:p w14:paraId="28C3D7E6">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2018.09.21</w:t>
            </w:r>
          </w:p>
        </w:tc>
      </w:tr>
      <w:tr w14:paraId="46055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4C7E850D">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w:t>
            </w:r>
          </w:p>
        </w:tc>
        <w:tc>
          <w:tcPr>
            <w:tcW w:w="4729" w:type="dxa"/>
            <w:shd w:val="clear" w:color="auto" w:fill="auto"/>
            <w:noWrap w:val="0"/>
            <w:vAlign w:val="center"/>
          </w:tcPr>
          <w:p w14:paraId="604CF69F">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《关于进一步推进和完善矿产资源管理有关工作的通知》</w:t>
            </w:r>
          </w:p>
        </w:tc>
        <w:tc>
          <w:tcPr>
            <w:tcW w:w="2131" w:type="dxa"/>
            <w:shd w:val="clear" w:color="auto" w:fill="auto"/>
            <w:noWrap w:val="0"/>
            <w:vAlign w:val="center"/>
          </w:tcPr>
          <w:p w14:paraId="5BF7383D">
            <w:pPr>
              <w:pStyle w:val="679"/>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新自然资规〔2021〕3号</w:t>
            </w:r>
          </w:p>
        </w:tc>
        <w:tc>
          <w:tcPr>
            <w:tcW w:w="1196" w:type="dxa"/>
            <w:shd w:val="clear" w:color="auto" w:fill="auto"/>
            <w:noWrap w:val="0"/>
            <w:vAlign w:val="center"/>
          </w:tcPr>
          <w:p w14:paraId="0AD9D827">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r>
      <w:tr w14:paraId="18717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14C9412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3</w:t>
            </w:r>
          </w:p>
        </w:tc>
        <w:tc>
          <w:tcPr>
            <w:tcW w:w="4729" w:type="dxa"/>
            <w:shd w:val="clear" w:color="auto" w:fill="auto"/>
            <w:noWrap w:val="0"/>
            <w:vAlign w:val="center"/>
          </w:tcPr>
          <w:p w14:paraId="7A320522">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《新疆维吾尔自治区野生植物保护条例》</w:t>
            </w:r>
          </w:p>
        </w:tc>
        <w:tc>
          <w:tcPr>
            <w:tcW w:w="2131" w:type="dxa"/>
            <w:shd w:val="clear" w:color="auto" w:fill="auto"/>
            <w:noWrap w:val="0"/>
            <w:vAlign w:val="center"/>
          </w:tcPr>
          <w:p w14:paraId="729A7284">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13届人大第6次会议</w:t>
            </w:r>
          </w:p>
        </w:tc>
        <w:tc>
          <w:tcPr>
            <w:tcW w:w="1196" w:type="dxa"/>
            <w:shd w:val="clear" w:color="auto" w:fill="auto"/>
            <w:noWrap w:val="0"/>
            <w:vAlign w:val="center"/>
          </w:tcPr>
          <w:p w14:paraId="04C95DEE">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r>
      <w:tr w14:paraId="50642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39700644">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4</w:t>
            </w:r>
          </w:p>
        </w:tc>
        <w:tc>
          <w:tcPr>
            <w:tcW w:w="4729" w:type="dxa"/>
            <w:shd w:val="clear" w:color="auto" w:fill="auto"/>
            <w:noWrap w:val="0"/>
            <w:vAlign w:val="center"/>
          </w:tcPr>
          <w:p w14:paraId="29342D24">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《新疆维吾尔自治区自然保护区管理条例》</w:t>
            </w:r>
          </w:p>
        </w:tc>
        <w:tc>
          <w:tcPr>
            <w:tcW w:w="2131" w:type="dxa"/>
            <w:shd w:val="clear" w:color="auto" w:fill="auto"/>
            <w:noWrap w:val="0"/>
            <w:vAlign w:val="center"/>
          </w:tcPr>
          <w:p w14:paraId="71FE90BC">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13届人大第6次会议</w:t>
            </w:r>
          </w:p>
        </w:tc>
        <w:tc>
          <w:tcPr>
            <w:tcW w:w="1196" w:type="dxa"/>
            <w:shd w:val="clear" w:color="auto" w:fill="auto"/>
            <w:noWrap w:val="0"/>
            <w:vAlign w:val="center"/>
          </w:tcPr>
          <w:p w14:paraId="4ECC1F4E">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r>
      <w:tr w14:paraId="308FD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3C28ED5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5</w:t>
            </w:r>
          </w:p>
        </w:tc>
        <w:tc>
          <w:tcPr>
            <w:tcW w:w="4729" w:type="dxa"/>
            <w:shd w:val="clear" w:color="auto" w:fill="auto"/>
            <w:noWrap w:val="0"/>
            <w:vAlign w:val="center"/>
          </w:tcPr>
          <w:p w14:paraId="7B385295">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《中国新疆水环境功能区划》</w:t>
            </w:r>
          </w:p>
        </w:tc>
        <w:tc>
          <w:tcPr>
            <w:tcW w:w="2131" w:type="dxa"/>
            <w:shd w:val="clear" w:color="auto" w:fill="auto"/>
            <w:noWrap w:val="0"/>
            <w:vAlign w:val="center"/>
          </w:tcPr>
          <w:p w14:paraId="20E564F5">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新政函〔2002〕194号</w:t>
            </w:r>
          </w:p>
        </w:tc>
        <w:tc>
          <w:tcPr>
            <w:tcW w:w="1196" w:type="dxa"/>
            <w:shd w:val="clear" w:color="auto" w:fill="auto"/>
            <w:noWrap w:val="0"/>
            <w:vAlign w:val="center"/>
          </w:tcPr>
          <w:p w14:paraId="46244F56">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2002.12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w:t>
            </w:r>
          </w:p>
        </w:tc>
      </w:tr>
      <w:tr w14:paraId="1890D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5ACEFF3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6</w:t>
            </w:r>
          </w:p>
        </w:tc>
        <w:tc>
          <w:tcPr>
            <w:tcW w:w="4729" w:type="dxa"/>
            <w:shd w:val="clear" w:color="auto" w:fill="auto"/>
            <w:noWrap w:val="0"/>
            <w:vAlign w:val="center"/>
          </w:tcPr>
          <w:p w14:paraId="5C5DABD1">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《新疆生态功能区划》</w:t>
            </w:r>
          </w:p>
        </w:tc>
        <w:tc>
          <w:tcPr>
            <w:tcW w:w="2131" w:type="dxa"/>
            <w:shd w:val="clear" w:color="auto" w:fill="auto"/>
            <w:noWrap w:val="0"/>
            <w:vAlign w:val="center"/>
          </w:tcPr>
          <w:p w14:paraId="2B0B319C">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新政函〔2005〕96号</w:t>
            </w:r>
          </w:p>
        </w:tc>
        <w:tc>
          <w:tcPr>
            <w:tcW w:w="1196" w:type="dxa"/>
            <w:shd w:val="clear" w:color="auto" w:fill="auto"/>
            <w:noWrap w:val="0"/>
            <w:vAlign w:val="center"/>
          </w:tcPr>
          <w:p w14:paraId="24C20238">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2005.07.14</w:t>
            </w:r>
          </w:p>
        </w:tc>
      </w:tr>
      <w:tr w14:paraId="04D78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72E3C412">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7</w:t>
            </w:r>
          </w:p>
        </w:tc>
        <w:tc>
          <w:tcPr>
            <w:tcW w:w="4729" w:type="dxa"/>
            <w:shd w:val="clear" w:color="auto" w:fill="auto"/>
            <w:noWrap w:val="0"/>
            <w:vAlign w:val="center"/>
          </w:tcPr>
          <w:p w14:paraId="1DE022C1">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《关于印发新疆维吾尔自治区土壤污染防治工作方案的通知》</w:t>
            </w:r>
          </w:p>
        </w:tc>
        <w:tc>
          <w:tcPr>
            <w:tcW w:w="2131" w:type="dxa"/>
            <w:shd w:val="clear" w:color="auto" w:fill="auto"/>
            <w:noWrap w:val="0"/>
            <w:vAlign w:val="center"/>
          </w:tcPr>
          <w:p w14:paraId="09E21CE0">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新政发〔2017〕25号</w:t>
            </w:r>
          </w:p>
        </w:tc>
        <w:tc>
          <w:tcPr>
            <w:tcW w:w="1196" w:type="dxa"/>
            <w:shd w:val="clear" w:color="auto" w:fill="auto"/>
            <w:noWrap w:val="0"/>
            <w:vAlign w:val="center"/>
          </w:tcPr>
          <w:p w14:paraId="0D402D48">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2017.03.01</w:t>
            </w:r>
          </w:p>
        </w:tc>
      </w:tr>
      <w:tr w14:paraId="5E3B7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068C1824">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8</w:t>
            </w:r>
          </w:p>
        </w:tc>
        <w:tc>
          <w:tcPr>
            <w:tcW w:w="4729" w:type="dxa"/>
            <w:shd w:val="clear" w:color="auto" w:fill="auto"/>
            <w:noWrap w:val="0"/>
            <w:vAlign w:val="center"/>
          </w:tcPr>
          <w:p w14:paraId="264148C8">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《新疆生态环境保护</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十四五</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规划》</w:t>
            </w:r>
          </w:p>
        </w:tc>
        <w:tc>
          <w:tcPr>
            <w:tcW w:w="2131" w:type="dxa"/>
            <w:shd w:val="clear" w:color="auto" w:fill="auto"/>
            <w:noWrap w:val="0"/>
            <w:vAlign w:val="center"/>
          </w:tcPr>
          <w:p w14:paraId="6FC77E94">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96" w:type="dxa"/>
            <w:shd w:val="clear" w:color="auto" w:fill="auto"/>
            <w:noWrap w:val="0"/>
            <w:vAlign w:val="center"/>
          </w:tcPr>
          <w:p w14:paraId="146C0DE0">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r>
      <w:tr w14:paraId="2E3F9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3A41324B">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9</w:t>
            </w:r>
          </w:p>
        </w:tc>
        <w:tc>
          <w:tcPr>
            <w:tcW w:w="4729" w:type="dxa"/>
            <w:shd w:val="clear" w:color="auto" w:fill="auto"/>
            <w:noWrap w:val="0"/>
            <w:vAlign w:val="center"/>
          </w:tcPr>
          <w:p w14:paraId="006E2C07">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《新疆维吾尔自治区大气污染防治条例》</w:t>
            </w:r>
          </w:p>
        </w:tc>
        <w:tc>
          <w:tcPr>
            <w:tcW w:w="2131" w:type="dxa"/>
            <w:shd w:val="clear" w:color="auto" w:fill="auto"/>
            <w:noWrap w:val="0"/>
            <w:vAlign w:val="center"/>
          </w:tcPr>
          <w:p w14:paraId="4D64C787">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13届人大第7次会议</w:t>
            </w:r>
          </w:p>
        </w:tc>
        <w:tc>
          <w:tcPr>
            <w:tcW w:w="1196" w:type="dxa"/>
            <w:shd w:val="clear" w:color="auto" w:fill="auto"/>
            <w:noWrap w:val="0"/>
            <w:vAlign w:val="center"/>
          </w:tcPr>
          <w:p w14:paraId="77E7B4D7">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2019.01.01</w:t>
            </w:r>
          </w:p>
        </w:tc>
      </w:tr>
      <w:tr w14:paraId="30068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noWrap w:val="0"/>
            <w:vAlign w:val="center"/>
          </w:tcPr>
          <w:p w14:paraId="6147FEED">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10</w:t>
            </w:r>
          </w:p>
        </w:tc>
        <w:tc>
          <w:tcPr>
            <w:tcW w:w="4729" w:type="dxa"/>
            <w:shd w:val="clear" w:color="auto" w:fill="auto"/>
            <w:noWrap w:val="0"/>
            <w:vAlign w:val="center"/>
          </w:tcPr>
          <w:p w14:paraId="5CF48F9E">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《关于印发新疆自治区级水土流失重点预防区和重点治理区复核划分成果的通知》</w:t>
            </w:r>
          </w:p>
        </w:tc>
        <w:tc>
          <w:tcPr>
            <w:tcW w:w="2131" w:type="dxa"/>
            <w:shd w:val="clear" w:color="auto" w:fill="auto"/>
            <w:noWrap w:val="0"/>
            <w:vAlign w:val="center"/>
          </w:tcPr>
          <w:p w14:paraId="3FFC6084">
            <w:pPr>
              <w:pStyle w:val="679"/>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新水水保〔2019〕4号</w:t>
            </w:r>
          </w:p>
        </w:tc>
        <w:tc>
          <w:tcPr>
            <w:tcW w:w="1196" w:type="dxa"/>
            <w:shd w:val="clear" w:color="auto" w:fill="auto"/>
            <w:noWrap w:val="0"/>
            <w:vAlign w:val="center"/>
          </w:tcPr>
          <w:p w14:paraId="7E343E08">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2019.01.21</w:t>
            </w:r>
          </w:p>
        </w:tc>
      </w:tr>
      <w:tr w14:paraId="55DF8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6B2E1F52">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11</w:t>
            </w:r>
          </w:p>
        </w:tc>
        <w:tc>
          <w:tcPr>
            <w:tcW w:w="4729" w:type="dxa"/>
            <w:shd w:val="clear" w:color="auto" w:fill="auto"/>
            <w:noWrap w:val="0"/>
            <w:vAlign w:val="center"/>
          </w:tcPr>
          <w:p w14:paraId="1D0A5DDF">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《新疆维吾尔自治区主体功能区规划》</w:t>
            </w:r>
          </w:p>
        </w:tc>
        <w:tc>
          <w:tcPr>
            <w:tcW w:w="2131" w:type="dxa"/>
            <w:shd w:val="clear" w:color="auto" w:fill="auto"/>
            <w:noWrap w:val="0"/>
            <w:vAlign w:val="center"/>
          </w:tcPr>
          <w:p w14:paraId="74463E74">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96" w:type="dxa"/>
            <w:shd w:val="clear" w:color="auto" w:fill="auto"/>
            <w:noWrap w:val="0"/>
            <w:vAlign w:val="center"/>
          </w:tcPr>
          <w:p w14:paraId="05137A59">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2016.10.24</w:t>
            </w:r>
          </w:p>
        </w:tc>
      </w:tr>
      <w:tr w14:paraId="53592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6D0BB9BA">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12</w:t>
            </w:r>
          </w:p>
        </w:tc>
        <w:tc>
          <w:tcPr>
            <w:tcW w:w="4729" w:type="dxa"/>
            <w:shd w:val="clear" w:color="auto" w:fill="auto"/>
            <w:noWrap w:val="0"/>
            <w:vAlign w:val="center"/>
          </w:tcPr>
          <w:p w14:paraId="3EC1AB80">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zh-CN"/>
                <w14:textFill>
                  <w14:solidFill>
                    <w14:schemeClr w14:val="tx1"/>
                  </w14:solidFill>
                </w14:textFill>
              </w:rPr>
              <w:t>新疆维吾尔自治区国民经济和社会发展第十四个五年规划和2035年远景目标纲要</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2131" w:type="dxa"/>
            <w:shd w:val="clear" w:color="auto" w:fill="auto"/>
            <w:noWrap w:val="0"/>
            <w:vAlign w:val="center"/>
          </w:tcPr>
          <w:p w14:paraId="332D70C6">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zh-CN"/>
                <w14:textFill>
                  <w14:solidFill>
                    <w14:schemeClr w14:val="tx1"/>
                  </w14:solidFill>
                </w14:textFill>
              </w:rPr>
              <w:t>新疆维吾尔自治区第十三届人民代表大会第四次会议通过</w:t>
            </w:r>
          </w:p>
        </w:tc>
        <w:tc>
          <w:tcPr>
            <w:tcW w:w="1196" w:type="dxa"/>
            <w:shd w:val="clear" w:color="auto" w:fill="auto"/>
            <w:noWrap w:val="0"/>
            <w:vAlign w:val="center"/>
          </w:tcPr>
          <w:p w14:paraId="2BFB2D7F">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2021.06.04</w:t>
            </w:r>
          </w:p>
        </w:tc>
      </w:tr>
      <w:tr w14:paraId="2B058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776DB2A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13</w:t>
            </w:r>
          </w:p>
        </w:tc>
        <w:tc>
          <w:tcPr>
            <w:tcW w:w="4729" w:type="dxa"/>
            <w:shd w:val="clear" w:color="auto" w:fill="auto"/>
            <w:noWrap w:val="0"/>
            <w:vAlign w:val="center"/>
          </w:tcPr>
          <w:p w14:paraId="4683F7D0">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新疆维吾尔自治区矿产资源总体规划（2021-2025年）</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1DAC4FB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spacing w:val="-6"/>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6"/>
                <w:kern w:val="0"/>
                <w:sz w:val="21"/>
                <w:szCs w:val="21"/>
                <w:lang w:eastAsia="zh-CN"/>
                <w14:textFill>
                  <w14:solidFill>
                    <w14:schemeClr w14:val="tx1"/>
                  </w14:solidFill>
                </w14:textFill>
              </w:rPr>
              <w:t>新疆维吾尔自治区人民政府</w:t>
            </w:r>
          </w:p>
        </w:tc>
        <w:tc>
          <w:tcPr>
            <w:tcW w:w="1196" w:type="dxa"/>
            <w:shd w:val="clear" w:color="auto" w:fill="auto"/>
            <w:noWrap w:val="0"/>
            <w:vAlign w:val="center"/>
          </w:tcPr>
          <w:p w14:paraId="30B9ABE8">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2022.08.28</w:t>
            </w:r>
          </w:p>
        </w:tc>
      </w:tr>
      <w:tr w14:paraId="21852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7B644606">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14</w:t>
            </w:r>
          </w:p>
        </w:tc>
        <w:tc>
          <w:tcPr>
            <w:tcW w:w="4729" w:type="dxa"/>
            <w:shd w:val="clear" w:color="auto" w:fill="auto"/>
            <w:noWrap w:val="0"/>
            <w:vAlign w:val="center"/>
          </w:tcPr>
          <w:p w14:paraId="49C19EE8">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《新疆自然资源</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十四五</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规划》</w:t>
            </w:r>
          </w:p>
        </w:tc>
        <w:tc>
          <w:tcPr>
            <w:tcW w:w="2131" w:type="dxa"/>
            <w:shd w:val="clear" w:color="auto" w:fill="auto"/>
            <w:noWrap w:val="0"/>
            <w:vAlign w:val="center"/>
          </w:tcPr>
          <w:p w14:paraId="2EE353F3">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spacing w:val="-6"/>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6"/>
                <w:kern w:val="0"/>
                <w:sz w:val="21"/>
                <w:szCs w:val="21"/>
                <w:lang w:eastAsia="zh-CN"/>
                <w14:textFill>
                  <w14:solidFill>
                    <w14:schemeClr w14:val="tx1"/>
                  </w14:solidFill>
                </w14:textFill>
              </w:rPr>
              <w:t>新疆维吾尔自治区自然资源厅</w:t>
            </w:r>
          </w:p>
        </w:tc>
        <w:tc>
          <w:tcPr>
            <w:tcW w:w="1196" w:type="dxa"/>
            <w:shd w:val="clear" w:color="auto" w:fill="auto"/>
            <w:noWrap w:val="0"/>
            <w:vAlign w:val="center"/>
          </w:tcPr>
          <w:p w14:paraId="437BF737">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2022.03.16</w:t>
            </w:r>
          </w:p>
        </w:tc>
      </w:tr>
      <w:tr w14:paraId="14EB4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7359A10D">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15</w:t>
            </w:r>
          </w:p>
        </w:tc>
        <w:tc>
          <w:tcPr>
            <w:tcW w:w="4729" w:type="dxa"/>
            <w:shd w:val="clear" w:color="auto" w:fill="auto"/>
            <w:noWrap w:val="0"/>
            <w:vAlign w:val="center"/>
          </w:tcPr>
          <w:p w14:paraId="70D49F4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生态环境保护</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十四五</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规划》</w:t>
            </w:r>
          </w:p>
        </w:tc>
        <w:tc>
          <w:tcPr>
            <w:tcW w:w="2131" w:type="dxa"/>
            <w:shd w:val="clear" w:color="auto" w:fill="auto"/>
            <w:noWrap w:val="0"/>
            <w:vAlign w:val="center"/>
          </w:tcPr>
          <w:p w14:paraId="3C873FEC">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自治区党委、自治区人民政府</w:t>
            </w:r>
          </w:p>
        </w:tc>
        <w:tc>
          <w:tcPr>
            <w:tcW w:w="1196" w:type="dxa"/>
            <w:shd w:val="clear" w:color="auto" w:fill="auto"/>
            <w:noWrap w:val="0"/>
            <w:vAlign w:val="center"/>
          </w:tcPr>
          <w:p w14:paraId="239DF39B">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07</w:t>
            </w:r>
          </w:p>
        </w:tc>
      </w:tr>
      <w:tr w14:paraId="4EF7E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5EF28015">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16</w:t>
            </w:r>
          </w:p>
        </w:tc>
        <w:tc>
          <w:tcPr>
            <w:tcW w:w="4729" w:type="dxa"/>
            <w:shd w:val="clear" w:color="auto" w:fill="auto"/>
            <w:noWrap w:val="0"/>
            <w:vAlign w:val="center"/>
          </w:tcPr>
          <w:p w14:paraId="618B77CA">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《新疆维吾尔自治区生态环境分区管控动态更新成果》</w:t>
            </w:r>
          </w:p>
        </w:tc>
        <w:tc>
          <w:tcPr>
            <w:tcW w:w="2131" w:type="dxa"/>
            <w:shd w:val="clear" w:color="auto" w:fill="auto"/>
            <w:noWrap w:val="0"/>
            <w:vAlign w:val="center"/>
          </w:tcPr>
          <w:p w14:paraId="0A9BC616">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新环环评发</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〔20</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24</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157号</w:t>
            </w:r>
          </w:p>
        </w:tc>
        <w:tc>
          <w:tcPr>
            <w:tcW w:w="1196" w:type="dxa"/>
            <w:shd w:val="clear" w:color="auto" w:fill="auto"/>
            <w:noWrap w:val="0"/>
            <w:vAlign w:val="center"/>
          </w:tcPr>
          <w:p w14:paraId="34C837C4">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2024.11.15</w:t>
            </w:r>
          </w:p>
        </w:tc>
      </w:tr>
      <w:tr w14:paraId="62A9A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70E3DCA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17</w:t>
            </w:r>
          </w:p>
        </w:tc>
        <w:tc>
          <w:tcPr>
            <w:tcW w:w="4729" w:type="dxa"/>
            <w:shd w:val="clear" w:color="auto" w:fill="auto"/>
            <w:noWrap w:val="0"/>
            <w:vAlign w:val="center"/>
          </w:tcPr>
          <w:p w14:paraId="246A8BAA">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default"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《自治区党委办公厅自治区人民政府办公厅印发新疆维吾尔自治区污染防治攻坚战成效考核实施方案》</w:t>
            </w:r>
          </w:p>
        </w:tc>
        <w:tc>
          <w:tcPr>
            <w:tcW w:w="2131" w:type="dxa"/>
            <w:shd w:val="clear" w:color="auto" w:fill="auto"/>
            <w:noWrap w:val="0"/>
            <w:vAlign w:val="center"/>
          </w:tcPr>
          <w:p w14:paraId="5369DD2F">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自治区党委办公厅、自治区人民政府办公厅</w:t>
            </w:r>
          </w:p>
        </w:tc>
        <w:tc>
          <w:tcPr>
            <w:tcW w:w="1196" w:type="dxa"/>
            <w:shd w:val="clear" w:color="auto" w:fill="auto"/>
            <w:noWrap w:val="0"/>
            <w:vAlign w:val="center"/>
          </w:tcPr>
          <w:p w14:paraId="2DE27E23">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11</w:t>
            </w:r>
          </w:p>
        </w:tc>
      </w:tr>
      <w:tr w14:paraId="25D64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553790FA">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18</w:t>
            </w:r>
          </w:p>
        </w:tc>
        <w:tc>
          <w:tcPr>
            <w:tcW w:w="4729" w:type="dxa"/>
            <w:shd w:val="clear" w:color="auto" w:fill="auto"/>
            <w:noWrap w:val="0"/>
            <w:vAlign w:val="center"/>
          </w:tcPr>
          <w:p w14:paraId="34073665">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《自治区党委、自治区人民政府印发〈关于全面加强生态环境保护坚决打好污染防治攻坚战实施方案〉的通知》</w:t>
            </w:r>
          </w:p>
        </w:tc>
        <w:tc>
          <w:tcPr>
            <w:tcW w:w="2131" w:type="dxa"/>
            <w:shd w:val="clear" w:color="auto" w:fill="auto"/>
            <w:noWrap w:val="0"/>
            <w:vAlign w:val="center"/>
          </w:tcPr>
          <w:p w14:paraId="2BEAAA80">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新党发〔2018〕23号</w:t>
            </w:r>
          </w:p>
        </w:tc>
        <w:tc>
          <w:tcPr>
            <w:tcW w:w="1196" w:type="dxa"/>
            <w:shd w:val="clear" w:color="auto" w:fill="auto"/>
            <w:noWrap w:val="0"/>
            <w:vAlign w:val="center"/>
          </w:tcPr>
          <w:p w14:paraId="652CACC4">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2018.09.28</w:t>
            </w:r>
          </w:p>
        </w:tc>
      </w:tr>
      <w:tr w14:paraId="0A47C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7F2B000B">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19</w:t>
            </w:r>
          </w:p>
        </w:tc>
        <w:tc>
          <w:tcPr>
            <w:tcW w:w="4729" w:type="dxa"/>
            <w:shd w:val="clear" w:color="auto" w:fill="auto"/>
            <w:noWrap w:val="0"/>
            <w:vAlign w:val="center"/>
          </w:tcPr>
          <w:p w14:paraId="6F81822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default"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《关于深入打好污染防治攻坚战的实施方案》</w:t>
            </w:r>
          </w:p>
        </w:tc>
        <w:tc>
          <w:tcPr>
            <w:tcW w:w="2131" w:type="dxa"/>
            <w:shd w:val="clear" w:color="auto" w:fill="auto"/>
            <w:noWrap w:val="0"/>
            <w:vAlign w:val="center"/>
          </w:tcPr>
          <w:p w14:paraId="3038AE0F">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新疆维吾尔自治区党委、自治区人民政府</w:t>
            </w:r>
          </w:p>
        </w:tc>
        <w:tc>
          <w:tcPr>
            <w:tcW w:w="1196" w:type="dxa"/>
            <w:shd w:val="clear" w:color="auto" w:fill="auto"/>
            <w:noWrap w:val="0"/>
            <w:vAlign w:val="center"/>
          </w:tcPr>
          <w:p w14:paraId="58887506">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8"/>
                <w:sz w:val="21"/>
                <w:szCs w:val="21"/>
                <w:lang w:val="en-US" w:eastAsia="zh-CN" w:bidi="ar-SA"/>
                <w14:textFill>
                  <w14:solidFill>
                    <w14:schemeClr w14:val="tx1"/>
                  </w14:solidFill>
                </w14:textFill>
              </w:rPr>
              <w:t>2022.07.26</w:t>
            </w:r>
          </w:p>
        </w:tc>
      </w:tr>
      <w:tr w14:paraId="40EDF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735027B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20</w:t>
            </w:r>
          </w:p>
        </w:tc>
        <w:tc>
          <w:tcPr>
            <w:tcW w:w="4729" w:type="dxa"/>
            <w:shd w:val="clear" w:color="auto" w:fill="auto"/>
            <w:noWrap w:val="0"/>
            <w:vAlign w:val="center"/>
          </w:tcPr>
          <w:p w14:paraId="394AE887">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关于印发《新疆维吾尔自治区生态环境分区管控动态更新成果》的通知</w:t>
            </w:r>
          </w:p>
        </w:tc>
        <w:tc>
          <w:tcPr>
            <w:tcW w:w="2131" w:type="dxa"/>
            <w:shd w:val="clear" w:color="auto" w:fill="auto"/>
            <w:noWrap w:val="0"/>
            <w:vAlign w:val="center"/>
          </w:tcPr>
          <w:p w14:paraId="1B3451F2">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新环环评发</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〔20</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24</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157号</w:t>
            </w:r>
          </w:p>
        </w:tc>
        <w:tc>
          <w:tcPr>
            <w:tcW w:w="1196" w:type="dxa"/>
            <w:shd w:val="clear" w:color="auto" w:fill="auto"/>
            <w:noWrap w:val="0"/>
            <w:vAlign w:val="center"/>
          </w:tcPr>
          <w:p w14:paraId="4F1B6F37">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2024.11.15</w:t>
            </w:r>
          </w:p>
        </w:tc>
      </w:tr>
      <w:tr w14:paraId="5BC62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0B487818">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21</w:t>
            </w:r>
          </w:p>
        </w:tc>
        <w:tc>
          <w:tcPr>
            <w:tcW w:w="4729" w:type="dxa"/>
            <w:shd w:val="clear" w:color="auto" w:fill="auto"/>
            <w:noWrap w:val="0"/>
            <w:vAlign w:val="center"/>
          </w:tcPr>
          <w:p w14:paraId="7E3E6D05">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《关于印发新疆维吾尔自治区28个国家重点生态功能区县（市）产业准入负面清单（试行）的通知》</w:t>
            </w:r>
          </w:p>
        </w:tc>
        <w:tc>
          <w:tcPr>
            <w:tcW w:w="2131" w:type="dxa"/>
            <w:shd w:val="clear" w:color="auto" w:fill="auto"/>
            <w:noWrap w:val="0"/>
            <w:vAlign w:val="center"/>
          </w:tcPr>
          <w:p w14:paraId="771920C5">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新发改规划〔2017〕891号</w:t>
            </w:r>
          </w:p>
        </w:tc>
        <w:tc>
          <w:tcPr>
            <w:tcW w:w="1196" w:type="dxa"/>
            <w:shd w:val="clear" w:color="auto" w:fill="auto"/>
            <w:noWrap w:val="0"/>
            <w:vAlign w:val="center"/>
          </w:tcPr>
          <w:p w14:paraId="1FD80A10">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2017.06.28</w:t>
            </w:r>
          </w:p>
        </w:tc>
      </w:tr>
      <w:tr w14:paraId="64CFE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60662315">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22</w:t>
            </w:r>
          </w:p>
        </w:tc>
        <w:tc>
          <w:tcPr>
            <w:tcW w:w="4729" w:type="dxa"/>
            <w:shd w:val="clear" w:color="auto" w:fill="auto"/>
            <w:noWrap w:val="0"/>
            <w:vAlign w:val="center"/>
          </w:tcPr>
          <w:p w14:paraId="1D6260DC">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default" w:ascii="Times New Roman" w:hAnsi="Times New Roman" w:eastAsia="宋体" w:cs="Times New Roman"/>
                <w:b w:val="0"/>
                <w:bCs w:val="0"/>
                <w:color w:val="000000" w:themeColor="text1"/>
                <w:kern w:val="1"/>
                <w:sz w:val="21"/>
                <w:szCs w:val="21"/>
                <w:lang w:val="zh-CN" w:eastAsia="ar-SA"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《关于印发</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&lt;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新疆维吾尔自治区重点行业生态环境准入条件（2024年）</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&gt;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的通知》</w:t>
            </w:r>
          </w:p>
        </w:tc>
        <w:tc>
          <w:tcPr>
            <w:tcW w:w="2131" w:type="dxa"/>
            <w:shd w:val="clear" w:color="auto" w:fill="auto"/>
            <w:noWrap w:val="0"/>
            <w:vAlign w:val="center"/>
          </w:tcPr>
          <w:p w14:paraId="0A48BA39">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新环环评发〔2024〕93号</w:t>
            </w:r>
          </w:p>
        </w:tc>
        <w:tc>
          <w:tcPr>
            <w:tcW w:w="1196" w:type="dxa"/>
            <w:shd w:val="clear" w:color="auto" w:fill="auto"/>
            <w:noWrap w:val="0"/>
            <w:vAlign w:val="center"/>
          </w:tcPr>
          <w:p w14:paraId="32100525">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1"/>
                <w:szCs w:val="21"/>
                <w14:textFill>
                  <w14:solidFill>
                    <w14:schemeClr w14:val="tx1"/>
                  </w14:solidFill>
                </w14:textFill>
              </w:rPr>
              <w:t>.06.</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09</w:t>
            </w:r>
          </w:p>
        </w:tc>
      </w:tr>
      <w:tr w14:paraId="57D3B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6053E244">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23</w:t>
            </w:r>
          </w:p>
        </w:tc>
        <w:tc>
          <w:tcPr>
            <w:tcW w:w="4729" w:type="dxa"/>
            <w:shd w:val="clear" w:color="auto" w:fill="auto"/>
            <w:noWrap w:val="0"/>
            <w:vAlign w:val="center"/>
          </w:tcPr>
          <w:p w14:paraId="698AC1B4">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《新疆维吾尔自治区重点保护野生植物名录》</w:t>
            </w:r>
          </w:p>
        </w:tc>
        <w:tc>
          <w:tcPr>
            <w:tcW w:w="2131" w:type="dxa"/>
            <w:shd w:val="clear" w:color="auto" w:fill="auto"/>
            <w:noWrap w:val="0"/>
            <w:vAlign w:val="center"/>
          </w:tcPr>
          <w:p w14:paraId="19D2D08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新疆维吾尔自治区林业和草原局</w:t>
            </w:r>
          </w:p>
        </w:tc>
        <w:tc>
          <w:tcPr>
            <w:tcW w:w="1196" w:type="dxa"/>
            <w:shd w:val="clear" w:color="auto" w:fill="auto"/>
            <w:noWrap w:val="0"/>
            <w:vAlign w:val="center"/>
          </w:tcPr>
          <w:p w14:paraId="329DA88D">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8</w:t>
            </w:r>
          </w:p>
        </w:tc>
      </w:tr>
      <w:tr w14:paraId="754C6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1BC6C89C">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24</w:t>
            </w:r>
          </w:p>
        </w:tc>
        <w:tc>
          <w:tcPr>
            <w:tcW w:w="4729" w:type="dxa"/>
            <w:shd w:val="clear" w:color="auto" w:fill="auto"/>
            <w:noWrap w:val="0"/>
            <w:vAlign w:val="center"/>
          </w:tcPr>
          <w:p w14:paraId="6F2634AE">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《关于发布新疆维吾尔自治区重点保护野生动物名录（修订）的通知》</w:t>
            </w:r>
          </w:p>
        </w:tc>
        <w:tc>
          <w:tcPr>
            <w:tcW w:w="2131" w:type="dxa"/>
            <w:shd w:val="clear" w:color="auto" w:fill="auto"/>
            <w:noWrap w:val="0"/>
            <w:vAlign w:val="center"/>
          </w:tcPr>
          <w:p w14:paraId="4B6A3CA6">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新政发〔2022〕75号</w:t>
            </w:r>
          </w:p>
        </w:tc>
        <w:tc>
          <w:tcPr>
            <w:tcW w:w="1196" w:type="dxa"/>
            <w:shd w:val="clear" w:color="auto" w:fill="auto"/>
            <w:noWrap w:val="0"/>
            <w:vAlign w:val="center"/>
          </w:tcPr>
          <w:p w14:paraId="13DFFFDA">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1"/>
                <w:szCs w:val="21"/>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r>
      <w:tr w14:paraId="2B5C3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2386B104">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25</w:t>
            </w:r>
          </w:p>
        </w:tc>
        <w:tc>
          <w:tcPr>
            <w:tcW w:w="4729" w:type="dxa"/>
            <w:shd w:val="clear" w:color="auto" w:fill="auto"/>
            <w:noWrap w:val="0"/>
            <w:vAlign w:val="center"/>
          </w:tcPr>
          <w:p w14:paraId="7C43BBC9">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《新疆国家重点保护野生植物名录》</w:t>
            </w:r>
          </w:p>
        </w:tc>
        <w:tc>
          <w:tcPr>
            <w:tcW w:w="2131" w:type="dxa"/>
            <w:shd w:val="clear" w:color="auto" w:fill="auto"/>
            <w:noWrap w:val="0"/>
            <w:vAlign w:val="center"/>
          </w:tcPr>
          <w:p w14:paraId="5C180F9E">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新林护字</w:t>
            </w: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w:t>
            </w:r>
            <w:r>
              <w:rPr>
                <w:rFonts w:hint="eastAsia" w:ascii="Times New Roman" w:hAnsi="Times New Roman" w:eastAsia="宋体"/>
                <w:b w:val="0"/>
                <w:bCs w:val="0"/>
                <w:color w:val="000000" w:themeColor="text1"/>
                <w:kern w:val="1"/>
                <w:sz w:val="21"/>
                <w:szCs w:val="21"/>
                <w14:textFill>
                  <w14:solidFill>
                    <w14:schemeClr w14:val="tx1"/>
                  </w14:solidFill>
                </w14:textFill>
              </w:rPr>
              <w:t>2022</w:t>
            </w: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w:t>
            </w:r>
            <w:r>
              <w:rPr>
                <w:rFonts w:hint="eastAsia" w:ascii="Times New Roman" w:hAnsi="Times New Roman" w:eastAsia="宋体"/>
                <w:b w:val="0"/>
                <w:bCs w:val="0"/>
                <w:color w:val="000000" w:themeColor="text1"/>
                <w:kern w:val="1"/>
                <w:sz w:val="21"/>
                <w:szCs w:val="21"/>
                <w14:textFill>
                  <w14:solidFill>
                    <w14:schemeClr w14:val="tx1"/>
                  </w14:solidFill>
                </w14:textFill>
              </w:rPr>
              <w:t>8号</w:t>
            </w:r>
          </w:p>
        </w:tc>
        <w:tc>
          <w:tcPr>
            <w:tcW w:w="1196" w:type="dxa"/>
            <w:shd w:val="clear" w:color="auto" w:fill="auto"/>
            <w:noWrap w:val="0"/>
            <w:vAlign w:val="center"/>
          </w:tcPr>
          <w:p w14:paraId="7A51EBAC">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2022.03.08</w:t>
            </w:r>
          </w:p>
        </w:tc>
      </w:tr>
      <w:tr w14:paraId="6FD97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5F00F314">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26</w:t>
            </w:r>
          </w:p>
        </w:tc>
        <w:tc>
          <w:tcPr>
            <w:tcW w:w="4729" w:type="dxa"/>
            <w:shd w:val="clear" w:color="auto" w:fill="auto"/>
            <w:noWrap w:val="0"/>
            <w:vAlign w:val="center"/>
          </w:tcPr>
          <w:p w14:paraId="53BD499D">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《新疆国家重点保护野生</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动物</w:t>
            </w: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名录》</w:t>
            </w:r>
          </w:p>
        </w:tc>
        <w:tc>
          <w:tcPr>
            <w:tcW w:w="2131" w:type="dxa"/>
            <w:shd w:val="clear" w:color="auto" w:fill="auto"/>
            <w:noWrap w:val="0"/>
            <w:vAlign w:val="center"/>
          </w:tcPr>
          <w:p w14:paraId="7521F484">
            <w:pPr>
              <w:pStyle w:val="67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p>
        </w:tc>
        <w:tc>
          <w:tcPr>
            <w:tcW w:w="1196" w:type="dxa"/>
            <w:shd w:val="clear" w:color="auto" w:fill="auto"/>
            <w:noWrap w:val="0"/>
            <w:vAlign w:val="center"/>
          </w:tcPr>
          <w:p w14:paraId="688182C1">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2021</w:t>
            </w:r>
            <w:r>
              <w:rPr>
                <w:rFonts w:hint="eastAsia" w:ascii="Times New Roman" w:hAnsi="Times New Roman"/>
                <w:b w:val="0"/>
                <w:bCs w:val="0"/>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07</w:t>
            </w:r>
            <w:r>
              <w:rPr>
                <w:rFonts w:hint="eastAsia" w:ascii="Times New Roman" w:hAnsi="Times New Roman"/>
                <w:b w:val="0"/>
                <w:bCs w:val="0"/>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28</w:t>
            </w:r>
          </w:p>
        </w:tc>
      </w:tr>
      <w:tr w14:paraId="0C40B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303B90D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27</w:t>
            </w:r>
          </w:p>
        </w:tc>
        <w:tc>
          <w:tcPr>
            <w:tcW w:w="4729" w:type="dxa"/>
            <w:shd w:val="clear" w:color="auto" w:fill="auto"/>
            <w:noWrap w:val="0"/>
            <w:vAlign w:val="center"/>
          </w:tcPr>
          <w:p w14:paraId="0FD4888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《新疆维吾尔自治区突发环境事件应急预案》</w:t>
            </w:r>
          </w:p>
        </w:tc>
        <w:tc>
          <w:tcPr>
            <w:tcW w:w="2131" w:type="dxa"/>
            <w:shd w:val="clear" w:color="auto" w:fill="auto"/>
            <w:noWrap w:val="0"/>
            <w:vAlign w:val="center"/>
          </w:tcPr>
          <w:p w14:paraId="0F3E5260">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b w:val="0"/>
                <w:bCs w:val="0"/>
                <w:color w:val="000000" w:themeColor="text1"/>
                <w:sz w:val="21"/>
                <w:szCs w:val="21"/>
                <w14:textFill>
                  <w14:solidFill>
                    <w14:schemeClr w14:val="tx1"/>
                  </w14:solidFill>
                </w14:textFill>
              </w:rPr>
              <w:t>/</w:t>
            </w:r>
          </w:p>
        </w:tc>
        <w:tc>
          <w:tcPr>
            <w:tcW w:w="1196" w:type="dxa"/>
            <w:shd w:val="clear" w:color="auto" w:fill="auto"/>
            <w:noWrap w:val="0"/>
            <w:vAlign w:val="center"/>
          </w:tcPr>
          <w:p w14:paraId="5295B2D8">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2022</w:t>
            </w:r>
            <w:r>
              <w:rPr>
                <w:rFonts w:hint="eastAsia" w:ascii="Times New Roman" w:hAnsi="Times New Roman" w:eastAsia="宋体"/>
                <w:b w:val="0"/>
                <w:bCs w:val="0"/>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03</w:t>
            </w:r>
            <w:r>
              <w:rPr>
                <w:rFonts w:hint="eastAsia" w:ascii="Times New Roman" w:hAnsi="Times New Roman" w:eastAsia="宋体"/>
                <w:b w:val="0"/>
                <w:bCs w:val="0"/>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val="0"/>
                <w:color w:val="000000" w:themeColor="text1"/>
                <w:kern w:val="1"/>
                <w:sz w:val="21"/>
                <w:szCs w:val="21"/>
                <w:lang w:eastAsia="ar-SA"/>
                <w14:textFill>
                  <w14:solidFill>
                    <w14:schemeClr w14:val="tx1"/>
                  </w14:solidFill>
                </w14:textFill>
              </w:rPr>
              <w:t>28</w:t>
            </w:r>
          </w:p>
        </w:tc>
      </w:tr>
      <w:tr w14:paraId="75614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4440A53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28</w:t>
            </w:r>
          </w:p>
        </w:tc>
        <w:tc>
          <w:tcPr>
            <w:tcW w:w="4729" w:type="dxa"/>
            <w:shd w:val="clear" w:color="auto" w:fill="auto"/>
            <w:noWrap w:val="0"/>
            <w:vAlign w:val="center"/>
          </w:tcPr>
          <w:p w14:paraId="227E46C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关于印发《新疆维吾尔自治区推动工业资源综合利用实施方案》的通知</w:t>
            </w:r>
          </w:p>
        </w:tc>
        <w:tc>
          <w:tcPr>
            <w:tcW w:w="2131" w:type="dxa"/>
            <w:shd w:val="clear" w:color="auto" w:fill="auto"/>
            <w:noWrap w:val="0"/>
            <w:vAlign w:val="center"/>
          </w:tcPr>
          <w:p w14:paraId="212F89B8">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新疆维吾尔自治区工业和信息化厅等部门</w:t>
            </w:r>
          </w:p>
        </w:tc>
        <w:tc>
          <w:tcPr>
            <w:tcW w:w="1196" w:type="dxa"/>
            <w:shd w:val="clear" w:color="auto" w:fill="auto"/>
            <w:noWrap w:val="0"/>
            <w:vAlign w:val="center"/>
          </w:tcPr>
          <w:p w14:paraId="43602E83">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kern w:val="18"/>
                <w:sz w:val="21"/>
                <w:szCs w:val="21"/>
                <w:lang w:val="en-US" w:eastAsia="zh-CN" w:bidi="ar-SA"/>
                <w14:textFill>
                  <w14:solidFill>
                    <w14:schemeClr w14:val="tx1"/>
                  </w14:solidFill>
                </w14:textFill>
              </w:rPr>
              <w:t>20</w:t>
            </w:r>
            <w:r>
              <w:rPr>
                <w:rFonts w:hint="eastAsia" w:ascii="Times New Roman" w:hAnsi="Times New Roman" w:eastAsia="宋体" w:cs="Times New Roman"/>
                <w:b w:val="0"/>
                <w:bCs w:val="0"/>
                <w:color w:val="000000" w:themeColor="text1"/>
                <w:kern w:val="18"/>
                <w:sz w:val="21"/>
                <w:szCs w:val="21"/>
                <w:lang w:val="en-US" w:eastAsia="zh-CN" w:bidi="ar-SA"/>
                <w14:textFill>
                  <w14:solidFill>
                    <w14:schemeClr w14:val="tx1"/>
                  </w14:solidFill>
                </w14:textFill>
              </w:rPr>
              <w:t>24.01.17</w:t>
            </w:r>
          </w:p>
        </w:tc>
      </w:tr>
      <w:tr w14:paraId="03289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5C768B4D">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29</w:t>
            </w:r>
          </w:p>
        </w:tc>
        <w:tc>
          <w:tcPr>
            <w:tcW w:w="4729" w:type="dxa"/>
            <w:shd w:val="clear" w:color="auto" w:fill="auto"/>
            <w:noWrap w:val="0"/>
            <w:vAlign w:val="center"/>
          </w:tcPr>
          <w:p w14:paraId="34F6256C">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《新疆维吾尔自治区地质环境保护条例》</w:t>
            </w:r>
          </w:p>
        </w:tc>
        <w:tc>
          <w:tcPr>
            <w:tcW w:w="2131" w:type="dxa"/>
            <w:shd w:val="clear" w:color="auto" w:fill="auto"/>
            <w:noWrap w:val="0"/>
            <w:vAlign w:val="center"/>
          </w:tcPr>
          <w:p w14:paraId="12C26A3F">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13届人大第</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次会议</w:t>
            </w:r>
          </w:p>
        </w:tc>
        <w:tc>
          <w:tcPr>
            <w:tcW w:w="1196" w:type="dxa"/>
            <w:shd w:val="clear" w:color="auto" w:fill="auto"/>
            <w:noWrap w:val="0"/>
            <w:vAlign w:val="center"/>
          </w:tcPr>
          <w:p w14:paraId="05B5FDAF">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2021.01.01</w:t>
            </w:r>
          </w:p>
        </w:tc>
      </w:tr>
      <w:tr w14:paraId="789DD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21645393">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30</w:t>
            </w:r>
          </w:p>
        </w:tc>
        <w:tc>
          <w:tcPr>
            <w:tcW w:w="4729" w:type="dxa"/>
            <w:shd w:val="clear" w:color="auto" w:fill="auto"/>
            <w:noWrap w:val="0"/>
            <w:vAlign w:val="center"/>
          </w:tcPr>
          <w:p w14:paraId="6073C910">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14:textFill>
                  <w14:solidFill>
                    <w14:schemeClr w14:val="tx1"/>
                  </w14:solidFill>
                </w14:textFill>
              </w:rPr>
              <w:t>关于印发《哈密市“三线一单”生态环境分区管控方案》的通知</w:t>
            </w:r>
          </w:p>
        </w:tc>
        <w:tc>
          <w:tcPr>
            <w:tcW w:w="2131" w:type="dxa"/>
            <w:shd w:val="clear" w:color="auto" w:fill="auto"/>
            <w:noWrap w:val="0"/>
            <w:vAlign w:val="center"/>
          </w:tcPr>
          <w:p w14:paraId="178C06AB">
            <w:pPr>
              <w:pStyle w:val="679"/>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哈政办发〔2021〕</w:t>
            </w:r>
            <w:r>
              <w:rPr>
                <w:rFonts w:hint="default" w:ascii="Times New Roman" w:hAnsi="Times New Roman" w:eastAsia="宋体" w:cs="Times New Roman"/>
                <w:b w:val="0"/>
                <w:bCs w:val="0"/>
                <w:color w:val="000000" w:themeColor="text1"/>
                <w:sz w:val="21"/>
                <w:szCs w:val="21"/>
                <w14:textFill>
                  <w14:solidFill>
                    <w14:schemeClr w14:val="tx1"/>
                  </w14:solidFill>
                </w14:textFill>
              </w:rPr>
              <w:t>37</w:t>
            </w:r>
            <w:r>
              <w:rPr>
                <w:rFonts w:hint="eastAsia" w:ascii="Times New Roman" w:hAnsi="Times New Roman" w:eastAsia="宋体" w:cs="Times New Roman"/>
                <w:b w:val="0"/>
                <w:bCs w:val="0"/>
                <w:color w:val="000000" w:themeColor="text1"/>
                <w:sz w:val="21"/>
                <w:szCs w:val="21"/>
                <w14:textFill>
                  <w14:solidFill>
                    <w14:schemeClr w14:val="tx1"/>
                  </w14:solidFill>
                </w14:textFill>
              </w:rPr>
              <w:t>号</w:t>
            </w:r>
          </w:p>
        </w:tc>
        <w:tc>
          <w:tcPr>
            <w:tcW w:w="1196" w:type="dxa"/>
            <w:shd w:val="clear" w:color="auto" w:fill="auto"/>
            <w:noWrap w:val="0"/>
            <w:vAlign w:val="center"/>
          </w:tcPr>
          <w:p w14:paraId="16C887B1">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2021.0</w:t>
            </w:r>
            <w:r>
              <w:rPr>
                <w:rFonts w:hint="default" w:ascii="Times New Roman" w:hAnsi="Times New Roman" w:eastAsia="宋体" w:cs="Times New Roman"/>
                <w:b w:val="0"/>
                <w:bCs w:val="0"/>
                <w:color w:val="000000" w:themeColor="text1"/>
                <w:sz w:val="21"/>
                <w:szCs w:val="21"/>
                <w14:textFill>
                  <w14:solidFill>
                    <w14:schemeClr w14:val="tx1"/>
                  </w14:solidFill>
                </w14:textFill>
              </w:rPr>
              <w:t>6</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30</w:t>
            </w:r>
          </w:p>
        </w:tc>
      </w:tr>
      <w:tr w14:paraId="36F6B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660D0BE4">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31</w:t>
            </w:r>
          </w:p>
        </w:tc>
        <w:tc>
          <w:tcPr>
            <w:tcW w:w="4729" w:type="dxa"/>
            <w:shd w:val="clear" w:color="auto" w:fill="auto"/>
            <w:noWrap w:val="0"/>
            <w:vAlign w:val="center"/>
          </w:tcPr>
          <w:p w14:paraId="0B85F693">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snapToGrid w:val="0"/>
                <w:color w:val="000000" w:themeColor="text1"/>
                <w:sz w:val="21"/>
                <w:szCs w:val="21"/>
                <w14:textFill>
                  <w14:solidFill>
                    <w14:schemeClr w14:val="tx1"/>
                  </w14:solidFill>
                </w14:textFill>
              </w:rPr>
              <w:t>哈密市生态环境保护“十四五”规划</w:t>
            </w:r>
            <w:r>
              <w:rPr>
                <w:rFonts w:hint="eastAsia" w:ascii="Times New Roman" w:hAnsi="Times New Roman" w:eastAsia="宋体" w:cs="Times New Roman"/>
                <w:b w:val="0"/>
                <w:bCs w:val="0"/>
                <w:snapToGrid w:val="0"/>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47D99A3B">
            <w:pPr>
              <w:pStyle w:val="679"/>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哈密市人民政府</w:t>
            </w:r>
          </w:p>
        </w:tc>
        <w:tc>
          <w:tcPr>
            <w:tcW w:w="1196" w:type="dxa"/>
            <w:shd w:val="clear" w:color="auto" w:fill="auto"/>
            <w:noWrap w:val="0"/>
            <w:vAlign w:val="center"/>
          </w:tcPr>
          <w:p w14:paraId="4EE19038">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2022.04.14</w:t>
            </w:r>
          </w:p>
        </w:tc>
      </w:tr>
      <w:tr w14:paraId="060D9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4C60179C">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32</w:t>
            </w:r>
          </w:p>
        </w:tc>
        <w:tc>
          <w:tcPr>
            <w:tcW w:w="4729" w:type="dxa"/>
            <w:shd w:val="clear" w:color="auto" w:fill="auto"/>
            <w:noWrap w:val="0"/>
            <w:vAlign w:val="center"/>
          </w:tcPr>
          <w:p w14:paraId="7945099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哈密市国民经济和社会发展第十四个五年规划和2035年远景目标纲要</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2131" w:type="dxa"/>
            <w:shd w:val="clear" w:color="auto" w:fill="auto"/>
            <w:noWrap w:val="0"/>
            <w:vAlign w:val="center"/>
          </w:tcPr>
          <w:p w14:paraId="63CA8B43">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firstLine="0" w:firstLineChars="0"/>
              <w:rPr>
                <w:rFonts w:hint="default" w:ascii="Times New Roman" w:hAnsi="Times New Roman" w:eastAsia="宋体" w:cs="Times New Roman"/>
                <w:b w:val="0"/>
                <w:bCs w:val="0"/>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哈密市</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第一届人大第六次会议通过</w:t>
            </w:r>
          </w:p>
        </w:tc>
        <w:tc>
          <w:tcPr>
            <w:tcW w:w="1196" w:type="dxa"/>
            <w:shd w:val="clear" w:color="auto" w:fill="auto"/>
            <w:noWrap w:val="0"/>
            <w:vAlign w:val="center"/>
          </w:tcPr>
          <w:p w14:paraId="4053D338">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2021.0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27</w:t>
            </w:r>
          </w:p>
        </w:tc>
      </w:tr>
      <w:tr w14:paraId="17FC3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4D7766B5">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33</w:t>
            </w:r>
          </w:p>
        </w:tc>
        <w:tc>
          <w:tcPr>
            <w:tcW w:w="4729" w:type="dxa"/>
            <w:shd w:val="clear" w:color="auto" w:fill="auto"/>
            <w:noWrap w:val="0"/>
            <w:vAlign w:val="center"/>
          </w:tcPr>
          <w:p w14:paraId="3A3AAE6B">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lang w:eastAsia="ar-SA"/>
                <w14:textFill>
                  <w14:solidFill>
                    <w14:schemeClr w14:val="tx1"/>
                  </w14:solidFill>
                </w14:textFill>
              </w:rPr>
              <w:t>《哈密市伊州区矿产资源总体规划（2021-2025年）》</w:t>
            </w:r>
          </w:p>
        </w:tc>
        <w:tc>
          <w:tcPr>
            <w:tcW w:w="2131" w:type="dxa"/>
            <w:shd w:val="clear" w:color="auto" w:fill="auto"/>
            <w:noWrap w:val="0"/>
            <w:vAlign w:val="center"/>
          </w:tcPr>
          <w:p w14:paraId="042AC826">
            <w:pPr>
              <w:pStyle w:val="679"/>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哈密市伊州区人民政府</w:t>
            </w:r>
          </w:p>
        </w:tc>
        <w:tc>
          <w:tcPr>
            <w:tcW w:w="1196" w:type="dxa"/>
            <w:shd w:val="clear" w:color="auto" w:fill="auto"/>
            <w:noWrap w:val="0"/>
            <w:vAlign w:val="center"/>
          </w:tcPr>
          <w:p w14:paraId="3FEB939E">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2023.03</w:t>
            </w:r>
          </w:p>
        </w:tc>
      </w:tr>
      <w:tr w14:paraId="55E98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5215F6C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1"/>
                <w:sz w:val="21"/>
                <w:szCs w:val="21"/>
                <w:lang w:val="en-US" w:eastAsia="zh-CN" w:bidi="ar-SA"/>
                <w14:textFill>
                  <w14:solidFill>
                    <w14:schemeClr w14:val="tx1"/>
                  </w14:solidFill>
                </w14:textFill>
              </w:rPr>
              <w:t>34</w:t>
            </w:r>
          </w:p>
        </w:tc>
        <w:tc>
          <w:tcPr>
            <w:tcW w:w="4729" w:type="dxa"/>
            <w:shd w:val="clear" w:color="auto" w:fill="auto"/>
            <w:noWrap w:val="0"/>
            <w:vAlign w:val="center"/>
          </w:tcPr>
          <w:p w14:paraId="55411C01">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lang w:eastAsia="ar-SA"/>
                <w14:textFill>
                  <w14:solidFill>
                    <w14:schemeClr w14:val="tx1"/>
                  </w14:solidFill>
                </w14:textFill>
              </w:rPr>
              <w:t>《哈密市戈壁生态环境保护办法（暂行）》</w:t>
            </w:r>
          </w:p>
        </w:tc>
        <w:tc>
          <w:tcPr>
            <w:tcW w:w="2131" w:type="dxa"/>
            <w:shd w:val="clear" w:color="auto" w:fill="auto"/>
            <w:noWrap w:val="0"/>
            <w:vAlign w:val="center"/>
          </w:tcPr>
          <w:p w14:paraId="35FE1CBB">
            <w:pPr>
              <w:pStyle w:val="679"/>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t>哈政办规〔2024〕1号</w:t>
            </w:r>
          </w:p>
        </w:tc>
        <w:tc>
          <w:tcPr>
            <w:tcW w:w="1196" w:type="dxa"/>
            <w:shd w:val="clear" w:color="auto" w:fill="auto"/>
            <w:noWrap w:val="0"/>
            <w:vAlign w:val="center"/>
          </w:tcPr>
          <w:p w14:paraId="50F39CB2">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2024.03.23</w:t>
            </w:r>
          </w:p>
        </w:tc>
      </w:tr>
      <w:tr w14:paraId="2A050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0" w:type="dxa"/>
            <w:shd w:val="clear" w:color="auto" w:fill="auto"/>
            <w:noWrap w:val="0"/>
            <w:vAlign w:val="center"/>
          </w:tcPr>
          <w:p w14:paraId="324E51ED">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bookmarkStart w:id="109" w:name="_Toc503089712"/>
            <w:bookmarkStart w:id="110" w:name="_Toc14757"/>
            <w:r>
              <w:rPr>
                <w:rFonts w:hint="eastAsia" w:ascii="Times New Roman" w:hAnsi="Times New Roman" w:cs="Times New Roman"/>
                <w:b w:val="0"/>
                <w:bCs w:val="0"/>
                <w:color w:val="000000" w:themeColor="text1"/>
                <w:kern w:val="1"/>
                <w:sz w:val="21"/>
                <w:szCs w:val="21"/>
                <w:lang w:val="en-US" w:eastAsia="zh-CN" w:bidi="ar-SA"/>
                <w14:textFill>
                  <w14:solidFill>
                    <w14:schemeClr w14:val="tx1"/>
                  </w14:solidFill>
                </w14:textFill>
              </w:rPr>
              <w:t>35</w:t>
            </w:r>
          </w:p>
        </w:tc>
        <w:tc>
          <w:tcPr>
            <w:tcW w:w="4729" w:type="dxa"/>
            <w:shd w:val="clear" w:color="auto" w:fill="auto"/>
            <w:noWrap w:val="0"/>
            <w:vAlign w:val="center"/>
          </w:tcPr>
          <w:p w14:paraId="1A8011ED">
            <w:pPr>
              <w:pStyle w:val="679"/>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val="0"/>
                <w:bCs w:val="0"/>
                <w:snapToGrid w:val="0"/>
                <w:color w:val="000000" w:themeColor="text1"/>
                <w:kern w:val="0"/>
                <w:sz w:val="21"/>
                <w:szCs w:val="21"/>
                <w:lang w:val="en-US" w:eastAsia="ar-SA"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lang w:eastAsia="ar-SA"/>
                <w14:textFill>
                  <w14:solidFill>
                    <w14:schemeClr w14:val="tx1"/>
                  </w14:solidFill>
                </w14:textFill>
              </w:rPr>
              <w:t>《哈密市戈壁生态环境保护条例》</w:t>
            </w:r>
          </w:p>
        </w:tc>
        <w:tc>
          <w:tcPr>
            <w:tcW w:w="2131" w:type="dxa"/>
            <w:shd w:val="clear" w:color="auto" w:fill="auto"/>
            <w:noWrap w:val="0"/>
            <w:vAlign w:val="center"/>
          </w:tcPr>
          <w:p w14:paraId="57E563DA">
            <w:pPr>
              <w:pStyle w:val="679"/>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zh-CN"/>
                <w14:textFill>
                  <w14:solidFill>
                    <w14:schemeClr w14:val="tx1"/>
                  </w14:solidFill>
                </w14:textFill>
              </w:rPr>
              <w:t>新疆维吾尔自治区第十</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四</w:t>
            </w:r>
            <w:r>
              <w:rPr>
                <w:rFonts w:hint="default" w:ascii="Times New Roman" w:hAnsi="Times New Roman" w:eastAsia="宋体" w:cs="Times New Roman"/>
                <w:b w:val="0"/>
                <w:bCs w:val="0"/>
                <w:color w:val="000000" w:themeColor="text1"/>
                <w:sz w:val="21"/>
                <w:szCs w:val="21"/>
                <w:lang w:val="zh-CN"/>
                <w14:textFill>
                  <w14:solidFill>
                    <w14:schemeClr w14:val="tx1"/>
                  </w14:solidFill>
                </w14:textFill>
              </w:rPr>
              <w:t>届人民代表大会第</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十六</w:t>
            </w:r>
            <w:r>
              <w:rPr>
                <w:rFonts w:hint="default" w:ascii="Times New Roman" w:hAnsi="Times New Roman" w:eastAsia="宋体" w:cs="Times New Roman"/>
                <w:b w:val="0"/>
                <w:bCs w:val="0"/>
                <w:color w:val="000000" w:themeColor="text1"/>
                <w:sz w:val="21"/>
                <w:szCs w:val="21"/>
                <w:lang w:val="zh-CN"/>
                <w14:textFill>
                  <w14:solidFill>
                    <w14:schemeClr w14:val="tx1"/>
                  </w14:solidFill>
                </w14:textFill>
              </w:rPr>
              <w:t>次会议通过</w:t>
            </w:r>
          </w:p>
        </w:tc>
        <w:tc>
          <w:tcPr>
            <w:tcW w:w="1196" w:type="dxa"/>
            <w:shd w:val="clear" w:color="auto" w:fill="auto"/>
            <w:noWrap w:val="0"/>
            <w:vAlign w:val="center"/>
          </w:tcPr>
          <w:p w14:paraId="353968F8">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2025.03.01</w:t>
            </w:r>
          </w:p>
        </w:tc>
      </w:tr>
    </w:tbl>
    <w:p w14:paraId="2280B75E">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2</w:t>
      </w:r>
      <w:r>
        <w:rPr>
          <w:color w:val="000000" w:themeColor="text1"/>
          <w:kern w:val="2"/>
          <w14:textFill>
            <w14:solidFill>
              <w14:schemeClr w14:val="tx1"/>
            </w14:solidFill>
          </w14:textFill>
        </w:rPr>
        <w:t>.</w:t>
      </w: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相关导则及技术规范依据</w:t>
      </w:r>
      <w:bookmarkEnd w:id="109"/>
      <w:bookmarkEnd w:id="110"/>
    </w:p>
    <w:p w14:paraId="08628FF2">
      <w:pPr>
        <w:pStyle w:val="202"/>
        <w:keepNext w:val="0"/>
        <w:keepLines w:val="0"/>
        <w:pageBreakBefore w:val="0"/>
        <w:widowControl w:val="0"/>
        <w:kinsoku/>
        <w:wordWrap/>
        <w:overflowPunct w:val="0"/>
        <w:topLinePunct/>
        <w:autoSpaceDE/>
        <w:autoSpaceDN/>
        <w:bidi w:val="0"/>
        <w:adjustRightInd/>
        <w:snapToGrid/>
        <w:spacing w:line="480" w:lineRule="exact"/>
        <w:ind w:firstLine="480"/>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t>本次评价依据的相关导则及技术规范等详见表2.2-3。</w:t>
      </w:r>
    </w:p>
    <w:p w14:paraId="62F4273C">
      <w:pPr>
        <w:pStyle w:val="475"/>
        <w:spacing w:beforeLines="0" w:afterLines="0" w:line="480" w:lineRule="exact"/>
        <w:ind w:firstLine="0" w:firstLineChars="0"/>
        <w:rPr>
          <w:rFonts w:ascii="Times New Roman" w:hAnsi="Times New Roman" w:eastAsia="宋体"/>
          <w:color w:val="000000" w:themeColor="text1"/>
          <w:kern w:val="2"/>
          <w14:textFill>
            <w14:solidFill>
              <w14:schemeClr w14:val="tx1"/>
            </w14:solidFill>
          </w14:textFill>
        </w:rPr>
      </w:pPr>
      <w:bookmarkStart w:id="111" w:name="_Toc199753797"/>
      <w:bookmarkStart w:id="112" w:name="_Toc225562269"/>
      <w:bookmarkStart w:id="113" w:name="_Toc249072632"/>
      <w:bookmarkStart w:id="114" w:name="_Toc184036340"/>
      <w:bookmarkStart w:id="115" w:name="_Toc224638465"/>
      <w:bookmarkStart w:id="116" w:name="_Toc207770751"/>
      <w:bookmarkStart w:id="117" w:name="_Toc181179982"/>
      <w:r>
        <w:rPr>
          <w:rFonts w:hint="eastAsia" w:ascii="Times New Roman" w:hAnsi="Times New Roman" w:eastAsia="宋体"/>
          <w:color w:val="000000" w:themeColor="text1"/>
          <w:kern w:val="2"/>
          <w14:textFill>
            <w14:solidFill>
              <w14:schemeClr w14:val="tx1"/>
            </w14:solidFill>
          </w14:textFill>
        </w:rPr>
        <w:t>表2.2-3    评价技术导则及规范一览表</w:t>
      </w:r>
    </w:p>
    <w:tbl>
      <w:tblPr>
        <w:tblStyle w:val="7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5186"/>
        <w:gridCol w:w="2673"/>
      </w:tblGrid>
      <w:tr w14:paraId="59D5C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87" w:type="pct"/>
            <w:noWrap w:val="0"/>
            <w:vAlign w:val="center"/>
          </w:tcPr>
          <w:p w14:paraId="7BB829EB">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3043" w:type="pct"/>
            <w:noWrap w:val="0"/>
            <w:vAlign w:val="center"/>
          </w:tcPr>
          <w:p w14:paraId="7548E84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依据名称</w:t>
            </w:r>
          </w:p>
        </w:tc>
        <w:tc>
          <w:tcPr>
            <w:tcW w:w="1568" w:type="pct"/>
            <w:noWrap w:val="0"/>
            <w:vAlign w:val="center"/>
          </w:tcPr>
          <w:p w14:paraId="09B3E6F4">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标准号</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/文号</w:t>
            </w:r>
          </w:p>
        </w:tc>
      </w:tr>
      <w:tr w14:paraId="21B00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311F73F6">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3043" w:type="pct"/>
            <w:noWrap w:val="0"/>
            <w:vAlign w:val="center"/>
          </w:tcPr>
          <w:p w14:paraId="6698DF88">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建设项目环境影响评价技术导则 总纲</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264746FF">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HJ2.1-2016</w:t>
            </w:r>
          </w:p>
        </w:tc>
      </w:tr>
      <w:tr w14:paraId="4AD69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11A04205">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3043" w:type="pct"/>
            <w:noWrap w:val="0"/>
            <w:vAlign w:val="center"/>
          </w:tcPr>
          <w:p w14:paraId="2A5239BC">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环境影响评价技术导则 大气环境</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217986E2">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HJ2.2-2018</w:t>
            </w:r>
          </w:p>
        </w:tc>
      </w:tr>
      <w:tr w14:paraId="42418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563BEE0B">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w:t>
            </w:r>
          </w:p>
        </w:tc>
        <w:tc>
          <w:tcPr>
            <w:tcW w:w="3043" w:type="pct"/>
            <w:noWrap w:val="0"/>
            <w:vAlign w:val="center"/>
          </w:tcPr>
          <w:p w14:paraId="7E80C9F7">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环境影响评价技术导则 地表水环境</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30BA63E6">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HJ2.3-2018</w:t>
            </w:r>
          </w:p>
        </w:tc>
      </w:tr>
      <w:tr w14:paraId="274B3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40281C2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w:t>
            </w:r>
          </w:p>
        </w:tc>
        <w:tc>
          <w:tcPr>
            <w:tcW w:w="3043" w:type="pct"/>
            <w:noWrap w:val="0"/>
            <w:vAlign w:val="center"/>
          </w:tcPr>
          <w:p w14:paraId="372741EB">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环境影响评价技术导则 声环境</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3F9AF28F">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HJ2.4-2021</w:t>
            </w:r>
          </w:p>
        </w:tc>
      </w:tr>
      <w:tr w14:paraId="42649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47873121">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3043" w:type="pct"/>
            <w:noWrap w:val="0"/>
            <w:vAlign w:val="center"/>
          </w:tcPr>
          <w:p w14:paraId="2698402E">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环境影响评价技术导则 地下水环境</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1AFFE1E0">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HJ610-2016</w:t>
            </w:r>
          </w:p>
        </w:tc>
      </w:tr>
      <w:tr w14:paraId="7CF00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7A4DAD8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w:t>
            </w:r>
          </w:p>
        </w:tc>
        <w:tc>
          <w:tcPr>
            <w:tcW w:w="3043" w:type="pct"/>
            <w:noWrap w:val="0"/>
            <w:vAlign w:val="center"/>
          </w:tcPr>
          <w:p w14:paraId="45E80804">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环境影响评价技术导则 生态影响</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40AE397B">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HJ19-2022</w:t>
            </w:r>
          </w:p>
        </w:tc>
      </w:tr>
      <w:tr w14:paraId="54A43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0D0C65DE">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w:t>
            </w:r>
          </w:p>
        </w:tc>
        <w:tc>
          <w:tcPr>
            <w:tcW w:w="3043" w:type="pct"/>
            <w:noWrap w:val="0"/>
            <w:vAlign w:val="center"/>
          </w:tcPr>
          <w:p w14:paraId="6493C0A2">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环境影响评价技术导则 土壤环境（试行）</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084C4AE9">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HJ964-2018</w:t>
            </w:r>
          </w:p>
        </w:tc>
      </w:tr>
      <w:tr w14:paraId="78828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5EDAC802">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w:t>
            </w:r>
          </w:p>
        </w:tc>
        <w:tc>
          <w:tcPr>
            <w:tcW w:w="3043" w:type="pct"/>
            <w:noWrap w:val="0"/>
            <w:vAlign w:val="center"/>
          </w:tcPr>
          <w:p w14:paraId="4FBB30AF">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建设项目环境风险评价技术导则</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5F3E811D">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HJ169-2018</w:t>
            </w:r>
          </w:p>
        </w:tc>
      </w:tr>
      <w:tr w14:paraId="1CC46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7901123A">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9</w:t>
            </w:r>
          </w:p>
        </w:tc>
        <w:tc>
          <w:tcPr>
            <w:tcW w:w="3043" w:type="pct"/>
            <w:noWrap w:val="0"/>
            <w:vAlign w:val="center"/>
          </w:tcPr>
          <w:p w14:paraId="1AD3D1F5">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大气污染治理工程技术导则</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1D47252A">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HJ2000-2010</w:t>
            </w:r>
          </w:p>
        </w:tc>
      </w:tr>
      <w:tr w14:paraId="78167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614B7F70">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10</w:t>
            </w:r>
          </w:p>
        </w:tc>
        <w:tc>
          <w:tcPr>
            <w:tcW w:w="3043" w:type="pct"/>
            <w:noWrap w:val="0"/>
            <w:vAlign w:val="center"/>
          </w:tcPr>
          <w:p w14:paraId="7FC98D09">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水污染治理工程技术导则</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2D7A9DB8">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HJ2015-2012</w:t>
            </w:r>
          </w:p>
        </w:tc>
      </w:tr>
      <w:tr w14:paraId="04DC0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3F65411A">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11</w:t>
            </w:r>
          </w:p>
        </w:tc>
        <w:tc>
          <w:tcPr>
            <w:tcW w:w="3043" w:type="pct"/>
            <w:noWrap w:val="0"/>
            <w:vAlign w:val="center"/>
          </w:tcPr>
          <w:p w14:paraId="24B0B6FB">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固体废物处理处置工程技术导则</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10EE5E01">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HJ2035-2013</w:t>
            </w:r>
          </w:p>
        </w:tc>
      </w:tr>
      <w:tr w14:paraId="71EAE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29E63F63">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12</w:t>
            </w:r>
          </w:p>
        </w:tc>
        <w:tc>
          <w:tcPr>
            <w:tcW w:w="3043" w:type="pct"/>
            <w:noWrap w:val="0"/>
            <w:vAlign w:val="center"/>
          </w:tcPr>
          <w:p w14:paraId="6140895F">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排污单位自行监测技术指南</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总则</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4A57D22F">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HJ819-2017</w:t>
            </w:r>
          </w:p>
        </w:tc>
      </w:tr>
      <w:tr w14:paraId="27A93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4FACAFE3">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13</w:t>
            </w:r>
          </w:p>
        </w:tc>
        <w:tc>
          <w:tcPr>
            <w:tcW w:w="3043" w:type="pct"/>
            <w:noWrap w:val="0"/>
            <w:vAlign w:val="center"/>
          </w:tcPr>
          <w:p w14:paraId="02309727">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《污染源源强核算技术指南 准则》</w:t>
            </w:r>
          </w:p>
        </w:tc>
        <w:tc>
          <w:tcPr>
            <w:tcW w:w="1568" w:type="pct"/>
            <w:noWrap w:val="0"/>
            <w:vAlign w:val="center"/>
          </w:tcPr>
          <w:p w14:paraId="33B3862D">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HJ884-2018</w:t>
            </w:r>
          </w:p>
        </w:tc>
      </w:tr>
      <w:tr w14:paraId="0AD6F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0C8482E5">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14</w:t>
            </w:r>
          </w:p>
        </w:tc>
        <w:tc>
          <w:tcPr>
            <w:tcW w:w="3043" w:type="pct"/>
            <w:noWrap w:val="0"/>
            <w:vAlign w:val="center"/>
          </w:tcPr>
          <w:p w14:paraId="2619937B">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环境噪声与</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振动</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控制工程技术导则</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25929546">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HJ2034-2013</w:t>
            </w:r>
          </w:p>
        </w:tc>
      </w:tr>
      <w:tr w14:paraId="490DD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021B7C09">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15</w:t>
            </w:r>
          </w:p>
        </w:tc>
        <w:tc>
          <w:tcPr>
            <w:tcW w:w="3043" w:type="pct"/>
            <w:noWrap w:val="0"/>
            <w:vAlign w:val="center"/>
          </w:tcPr>
          <w:p w14:paraId="0726474A">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生态环境状况评价技术规范</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0BBECD42">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HJ192-20</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15</w:t>
            </w:r>
          </w:p>
        </w:tc>
      </w:tr>
      <w:tr w14:paraId="731A8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01F42726">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16</w:t>
            </w:r>
          </w:p>
        </w:tc>
        <w:tc>
          <w:tcPr>
            <w:tcW w:w="3043" w:type="pct"/>
            <w:noWrap w:val="0"/>
            <w:vAlign w:val="center"/>
          </w:tcPr>
          <w:p w14:paraId="099BC03B">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《危险废物管理计划和管理台账制定技术导则》</w:t>
            </w:r>
          </w:p>
        </w:tc>
        <w:tc>
          <w:tcPr>
            <w:tcW w:w="1568" w:type="pct"/>
            <w:noWrap w:val="0"/>
            <w:vAlign w:val="center"/>
          </w:tcPr>
          <w:p w14:paraId="29C9348C">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HJ1259-2022</w:t>
            </w:r>
          </w:p>
        </w:tc>
      </w:tr>
      <w:tr w14:paraId="29202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4F994C6E">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17</w:t>
            </w:r>
          </w:p>
        </w:tc>
        <w:tc>
          <w:tcPr>
            <w:tcW w:w="3043" w:type="pct"/>
            <w:noWrap w:val="0"/>
            <w:vAlign w:val="center"/>
          </w:tcPr>
          <w:p w14:paraId="0B9A1D46">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《生产建设项目水土保持技术标准》</w:t>
            </w:r>
          </w:p>
        </w:tc>
        <w:tc>
          <w:tcPr>
            <w:tcW w:w="1568" w:type="pct"/>
            <w:noWrap w:val="0"/>
            <w:vAlign w:val="center"/>
          </w:tcPr>
          <w:p w14:paraId="554A4F51">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GB50433-20</w:t>
            </w:r>
            <w:r>
              <w:rPr>
                <w:rFonts w:hint="eastAsia" w:ascii="Times New Roman" w:hAnsi="Times New Roman" w:eastAsia="宋体"/>
                <w:b w:val="0"/>
                <w:bCs w:val="0"/>
                <w:color w:val="000000" w:themeColor="text1"/>
                <w:kern w:val="1"/>
                <w:sz w:val="21"/>
                <w:szCs w:val="21"/>
                <w:lang w:val="en-US" w:eastAsia="zh-CN"/>
                <w14:textFill>
                  <w14:solidFill>
                    <w14:schemeClr w14:val="tx1"/>
                  </w14:solidFill>
                </w14:textFill>
              </w:rPr>
              <w:t>18</w:t>
            </w:r>
          </w:p>
        </w:tc>
      </w:tr>
      <w:tr w14:paraId="27AB1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2AA7ABE0">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18</w:t>
            </w:r>
          </w:p>
        </w:tc>
        <w:tc>
          <w:tcPr>
            <w:tcW w:w="3043" w:type="pct"/>
            <w:noWrap w:val="0"/>
            <w:vAlign w:val="center"/>
          </w:tcPr>
          <w:p w14:paraId="6446DFCE">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《生产建设项目水土流失防治标准》</w:t>
            </w:r>
          </w:p>
        </w:tc>
        <w:tc>
          <w:tcPr>
            <w:tcW w:w="1568" w:type="pct"/>
            <w:noWrap w:val="0"/>
            <w:vAlign w:val="center"/>
          </w:tcPr>
          <w:p w14:paraId="64059067">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b w:val="0"/>
                <w:bCs w:val="0"/>
                <w:color w:val="000000" w:themeColor="text1"/>
                <w:kern w:val="1"/>
                <w:sz w:val="21"/>
                <w:szCs w:val="21"/>
                <w14:textFill>
                  <w14:solidFill>
                    <w14:schemeClr w14:val="tx1"/>
                  </w14:solidFill>
                </w14:textFill>
              </w:rPr>
              <w:t>GB/T50434-2018</w:t>
            </w:r>
          </w:p>
        </w:tc>
      </w:tr>
      <w:tr w14:paraId="3B0C4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87" w:type="pct"/>
            <w:noWrap w:val="0"/>
            <w:vAlign w:val="center"/>
          </w:tcPr>
          <w:p w14:paraId="3A950FA3">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19</w:t>
            </w:r>
          </w:p>
        </w:tc>
        <w:tc>
          <w:tcPr>
            <w:tcW w:w="3043" w:type="pct"/>
            <w:noWrap w:val="0"/>
            <w:vAlign w:val="center"/>
          </w:tcPr>
          <w:p w14:paraId="53FD1E18">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水土保持综合治理技术规范</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13761E59">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GB16453.1～16453.6-2011</w:t>
            </w:r>
          </w:p>
        </w:tc>
      </w:tr>
      <w:tr w14:paraId="1803C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36FD8236">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20</w:t>
            </w:r>
          </w:p>
        </w:tc>
        <w:tc>
          <w:tcPr>
            <w:tcW w:w="3043" w:type="pct"/>
            <w:noWrap w:val="0"/>
            <w:vAlign w:val="center"/>
          </w:tcPr>
          <w:p w14:paraId="60A3A76B">
            <w:pPr>
              <w:pStyle w:val="679"/>
              <w:keepNext w:val="0"/>
              <w:keepLines w:val="0"/>
              <w:pageBreakBefore w:val="0"/>
              <w:suppressLineNumbers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highlight w:val="none"/>
                <w14:textFill>
                  <w14:solidFill>
                    <w14:schemeClr w14:val="tx1"/>
                  </w14:solidFill>
                </w14:textFill>
              </w:rPr>
              <w:t>《工业企业土壤和地下水自行监测技术指南（试行）》</w:t>
            </w:r>
          </w:p>
        </w:tc>
        <w:tc>
          <w:tcPr>
            <w:tcW w:w="1568" w:type="pct"/>
            <w:noWrap w:val="0"/>
            <w:vAlign w:val="center"/>
          </w:tcPr>
          <w:p w14:paraId="7D1DF23F">
            <w:pPr>
              <w:pStyle w:val="679"/>
              <w:keepNext w:val="0"/>
              <w:keepLines w:val="0"/>
              <w:pageBreakBefore w:val="0"/>
              <w:suppressLineNumbers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highlight w:val="none"/>
                <w14:textFill>
                  <w14:solidFill>
                    <w14:schemeClr w14:val="tx1"/>
                  </w14:solidFill>
                </w14:textFill>
              </w:rPr>
              <w:t>HJ1209-2021</w:t>
            </w:r>
          </w:p>
        </w:tc>
      </w:tr>
      <w:tr w14:paraId="4583A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38A3FE2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21</w:t>
            </w:r>
          </w:p>
        </w:tc>
        <w:tc>
          <w:tcPr>
            <w:tcW w:w="3043" w:type="pct"/>
            <w:noWrap w:val="0"/>
            <w:vAlign w:val="center"/>
          </w:tcPr>
          <w:p w14:paraId="707111C6">
            <w:pPr>
              <w:pStyle w:val="679"/>
              <w:keepNext w:val="0"/>
              <w:keepLines w:val="0"/>
              <w:pageBreakBefore w:val="0"/>
              <w:suppressLineNumbers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highlight w:val="none"/>
                <w14:textFill>
                  <w14:solidFill>
                    <w14:schemeClr w14:val="tx1"/>
                  </w14:solidFill>
                </w14:textFill>
              </w:rPr>
              <w:t>《排污许可证申请与核发技术规范工业固体废物和危险废物治理》</w:t>
            </w:r>
          </w:p>
        </w:tc>
        <w:tc>
          <w:tcPr>
            <w:tcW w:w="1568" w:type="pct"/>
            <w:noWrap w:val="0"/>
            <w:vAlign w:val="center"/>
          </w:tcPr>
          <w:p w14:paraId="589EBBE5">
            <w:pPr>
              <w:pStyle w:val="679"/>
              <w:keepNext w:val="0"/>
              <w:keepLines w:val="0"/>
              <w:pageBreakBefore w:val="0"/>
              <w:suppressLineNumbers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highlight w:val="none"/>
                <w14:textFill>
                  <w14:solidFill>
                    <w14:schemeClr w14:val="tx1"/>
                  </w14:solidFill>
                </w14:textFill>
              </w:rPr>
              <w:t>HJ1033-2019</w:t>
            </w:r>
          </w:p>
        </w:tc>
      </w:tr>
      <w:tr w14:paraId="746A3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53E66B58">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22</w:t>
            </w:r>
          </w:p>
        </w:tc>
        <w:tc>
          <w:tcPr>
            <w:tcW w:w="3043" w:type="pct"/>
            <w:noWrap w:val="0"/>
            <w:vAlign w:val="center"/>
          </w:tcPr>
          <w:p w14:paraId="272A09CA">
            <w:pPr>
              <w:pStyle w:val="679"/>
              <w:keepNext w:val="0"/>
              <w:keepLines w:val="0"/>
              <w:pageBreakBefore w:val="0"/>
              <w:suppressLineNumbers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highlight w:val="none"/>
                <w14:textFill>
                  <w14:solidFill>
                    <w14:schemeClr w14:val="tx1"/>
                  </w14:solidFill>
                </w14:textFill>
              </w:rPr>
              <w:t>《排污单位环境管理台账及排污许可执行证执行报告技术规范总则（试行）》</w:t>
            </w:r>
          </w:p>
        </w:tc>
        <w:tc>
          <w:tcPr>
            <w:tcW w:w="1568" w:type="pct"/>
            <w:noWrap w:val="0"/>
            <w:vAlign w:val="center"/>
          </w:tcPr>
          <w:p w14:paraId="3A9476DE">
            <w:pPr>
              <w:pStyle w:val="679"/>
              <w:keepNext w:val="0"/>
              <w:keepLines w:val="0"/>
              <w:pageBreakBefore w:val="0"/>
              <w:suppressLineNumbers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0"/>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highlight w:val="none"/>
                <w14:textFill>
                  <w14:solidFill>
                    <w14:schemeClr w14:val="tx1"/>
                  </w14:solidFill>
                </w14:textFill>
              </w:rPr>
              <w:t>HJ1033-2019</w:t>
            </w:r>
          </w:p>
        </w:tc>
      </w:tr>
      <w:tr w14:paraId="2DCFD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48CFA0A7">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23</w:t>
            </w:r>
          </w:p>
        </w:tc>
        <w:tc>
          <w:tcPr>
            <w:tcW w:w="3043" w:type="pct"/>
            <w:noWrap w:val="0"/>
            <w:vAlign w:val="center"/>
          </w:tcPr>
          <w:p w14:paraId="558F1AA5">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地下水环境监测技术规范</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p>
        </w:tc>
        <w:tc>
          <w:tcPr>
            <w:tcW w:w="1568" w:type="pct"/>
            <w:noWrap w:val="0"/>
            <w:vAlign w:val="center"/>
          </w:tcPr>
          <w:p w14:paraId="70271CCC">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HJ164-2020</w:t>
            </w:r>
          </w:p>
        </w:tc>
      </w:tr>
      <w:tr w14:paraId="57A79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7B3BCCB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24</w:t>
            </w:r>
          </w:p>
        </w:tc>
        <w:tc>
          <w:tcPr>
            <w:tcW w:w="3043" w:type="pct"/>
            <w:noWrap w:val="0"/>
            <w:vAlign w:val="center"/>
          </w:tcPr>
          <w:p w14:paraId="701A5388">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《清洁生产标准 铁矿采选业》</w:t>
            </w:r>
          </w:p>
        </w:tc>
        <w:tc>
          <w:tcPr>
            <w:tcW w:w="1568" w:type="pct"/>
            <w:noWrap w:val="0"/>
            <w:vAlign w:val="center"/>
          </w:tcPr>
          <w:p w14:paraId="6DA3BECE">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HJ/T294-2006</w:t>
            </w:r>
          </w:p>
        </w:tc>
      </w:tr>
      <w:tr w14:paraId="00538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7725BB3C">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25</w:t>
            </w:r>
          </w:p>
        </w:tc>
        <w:tc>
          <w:tcPr>
            <w:tcW w:w="3043" w:type="pct"/>
            <w:noWrap w:val="0"/>
            <w:vAlign w:val="center"/>
          </w:tcPr>
          <w:p w14:paraId="420EC138">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《冶金行业绿色矿山建设规范》</w:t>
            </w:r>
          </w:p>
        </w:tc>
        <w:tc>
          <w:tcPr>
            <w:tcW w:w="1568" w:type="pct"/>
            <w:noWrap w:val="0"/>
            <w:vAlign w:val="center"/>
          </w:tcPr>
          <w:p w14:paraId="70216E1A">
            <w:pPr>
              <w:pStyle w:val="546"/>
              <w:keepNext w:val="0"/>
              <w:keepLines w:val="0"/>
              <w:pageBreakBefore w:val="0"/>
              <w:widowControl w:val="0"/>
              <w:suppressLineNumbers w:val="0"/>
              <w:autoSpaceDE w:val="0"/>
              <w:autoSpaceDN w:val="0"/>
              <w:bidi w:val="0"/>
              <w:adjustRightInd/>
              <w:snapToGrid/>
              <w:spacing w:before="0" w:beforeAutospacing="0" w:after="0" w:afterAutospacing="0" w:line="360" w:lineRule="exact"/>
              <w:ind w:left="0" w:right="0"/>
              <w:jc w:val="center"/>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DZ/T0319-2018</w:t>
            </w:r>
          </w:p>
        </w:tc>
      </w:tr>
      <w:tr w14:paraId="6D359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05A80A19">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26</w:t>
            </w:r>
          </w:p>
        </w:tc>
        <w:tc>
          <w:tcPr>
            <w:tcW w:w="3043" w:type="pct"/>
            <w:noWrap w:val="0"/>
            <w:vAlign w:val="center"/>
          </w:tcPr>
          <w:p w14:paraId="1B97E80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105" w:leftChars="-50" w:right="-105" w:rightChars="-5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矿山生态环境保护与恢复治理技术规范（试行）</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568" w:type="pct"/>
            <w:noWrap w:val="0"/>
            <w:vAlign w:val="center"/>
          </w:tcPr>
          <w:p w14:paraId="68ADCE35">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HJ651-2013</w:t>
            </w:r>
          </w:p>
        </w:tc>
      </w:tr>
      <w:tr w14:paraId="3015E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3162F2F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bookmarkStart w:id="118" w:name="_Toc503089713"/>
            <w:bookmarkStart w:id="119" w:name="_Toc7808"/>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27</w:t>
            </w:r>
          </w:p>
        </w:tc>
        <w:tc>
          <w:tcPr>
            <w:tcW w:w="3043" w:type="pct"/>
            <w:shd w:val="clear" w:color="auto" w:fill="auto"/>
            <w:noWrap w:val="0"/>
            <w:vAlign w:val="center"/>
          </w:tcPr>
          <w:p w14:paraId="13FB9C9E">
            <w:pPr>
              <w:pStyle w:val="546"/>
              <w:keepNext w:val="0"/>
              <w:keepLines w:val="0"/>
              <w:suppressLineNumbers w:val="0"/>
              <w:suppressAutoHyphens/>
              <w:overflowPunct/>
              <w:autoSpaceDE w:val="0"/>
              <w:autoSpaceDN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《排放源统计调查产排污核算方法和系数手册》</w:t>
            </w:r>
          </w:p>
        </w:tc>
        <w:tc>
          <w:tcPr>
            <w:tcW w:w="1568" w:type="pct"/>
            <w:shd w:val="clear" w:color="auto" w:fill="auto"/>
            <w:noWrap w:val="0"/>
            <w:vAlign w:val="center"/>
          </w:tcPr>
          <w:p w14:paraId="38763E8A">
            <w:pPr>
              <w:pStyle w:val="546"/>
              <w:keepNext w:val="0"/>
              <w:keepLines w:val="0"/>
              <w:suppressLineNumbers w:val="0"/>
              <w:suppressAutoHyphens/>
              <w:overflowPunct/>
              <w:autoSpaceDE w:val="0"/>
              <w:autoSpaceDN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1"/>
                <w:sz w:val="21"/>
                <w:szCs w:val="20"/>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14:textFill>
                  <w14:solidFill>
                    <w14:schemeClr w14:val="tx1"/>
                  </w14:solidFill>
                </w14:textFill>
              </w:rPr>
              <w:t>公告2021年第24号</w:t>
            </w:r>
          </w:p>
        </w:tc>
      </w:tr>
      <w:tr w14:paraId="5A17B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704C6960">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28</w:t>
            </w:r>
          </w:p>
        </w:tc>
        <w:tc>
          <w:tcPr>
            <w:tcW w:w="3043" w:type="pct"/>
            <w:shd w:val="clear" w:color="auto" w:fill="auto"/>
            <w:noWrap w:val="0"/>
            <w:vAlign w:val="center"/>
          </w:tcPr>
          <w:p w14:paraId="5112CF43">
            <w:pPr>
              <w:pStyle w:val="546"/>
              <w:keepNext w:val="0"/>
              <w:keepLines w:val="0"/>
              <w:suppressLineNumbers w:val="0"/>
              <w:suppressAutoHyphens/>
              <w:overflowPunct/>
              <w:autoSpaceDE w:val="0"/>
              <w:autoSpaceDN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《建设项目危险废物环境影响评价技术指南》</w:t>
            </w:r>
          </w:p>
        </w:tc>
        <w:tc>
          <w:tcPr>
            <w:tcW w:w="1568" w:type="pct"/>
            <w:shd w:val="clear" w:color="auto" w:fill="auto"/>
            <w:noWrap w:val="0"/>
            <w:vAlign w:val="center"/>
          </w:tcPr>
          <w:p w14:paraId="575C76E1">
            <w:pPr>
              <w:pStyle w:val="546"/>
              <w:keepNext w:val="0"/>
              <w:keepLines w:val="0"/>
              <w:suppressLineNumbers w:val="0"/>
              <w:suppressAutoHyphens/>
              <w:overflowPunct/>
              <w:autoSpaceDE w:val="0"/>
              <w:autoSpaceDN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color w:val="000000" w:themeColor="text1"/>
                <w:kern w:val="1"/>
                <w:sz w:val="21"/>
                <w:szCs w:val="20"/>
                <w:lang w:val="en-US" w:eastAsia="ar-SA" w:bidi="ar-SA"/>
                <w14:textFill>
                  <w14:solidFill>
                    <w14:schemeClr w14:val="tx1"/>
                  </w14:solidFill>
                </w14:textFill>
              </w:rPr>
            </w:pPr>
            <w:r>
              <w:rPr>
                <w:rFonts w:hint="eastAsia" w:ascii="Times New Roman" w:hAnsi="Times New Roman" w:eastAsia="宋体"/>
                <w:b w:val="0"/>
                <w:bCs/>
                <w:color w:val="000000" w:themeColor="text1"/>
                <w:kern w:val="1"/>
                <w:sz w:val="21"/>
                <w14:textFill>
                  <w14:solidFill>
                    <w14:schemeClr w14:val="tx1"/>
                  </w14:solidFill>
                </w14:textFill>
              </w:rPr>
              <w:t>公告2017年第43号</w:t>
            </w:r>
          </w:p>
        </w:tc>
      </w:tr>
      <w:tr w14:paraId="074B7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2870FF19">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29</w:t>
            </w:r>
          </w:p>
        </w:tc>
        <w:tc>
          <w:tcPr>
            <w:tcW w:w="3043" w:type="pct"/>
            <w:shd w:val="clear" w:color="auto" w:fill="auto"/>
            <w:noWrap w:val="0"/>
            <w:vAlign w:val="center"/>
          </w:tcPr>
          <w:p w14:paraId="17F37C5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《环境空气质量标准》</w:t>
            </w:r>
          </w:p>
        </w:tc>
        <w:tc>
          <w:tcPr>
            <w:tcW w:w="1568" w:type="pct"/>
            <w:shd w:val="clear" w:color="auto" w:fill="auto"/>
            <w:noWrap w:val="0"/>
            <w:vAlign w:val="center"/>
          </w:tcPr>
          <w:p w14:paraId="0AAE579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GB3095-20</w:t>
            </w:r>
            <w:r>
              <w:rPr>
                <w:rFonts w:hint="eastAsia" w:cs="Times New Roman"/>
                <w:color w:val="000000" w:themeColor="text1"/>
                <w:kern w:val="0"/>
                <w:sz w:val="21"/>
                <w:szCs w:val="21"/>
                <w:lang w:val="en-US" w:eastAsia="zh-CN" w:bidi="ar-SA"/>
                <w14:textFill>
                  <w14:solidFill>
                    <w14:schemeClr w14:val="tx1"/>
                  </w14:solidFill>
                </w14:textFill>
              </w:rPr>
              <w:t>26</w:t>
            </w:r>
          </w:p>
        </w:tc>
      </w:tr>
      <w:tr w14:paraId="20BA4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51EF3A7A">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p>
        </w:tc>
        <w:tc>
          <w:tcPr>
            <w:tcW w:w="3043" w:type="pct"/>
            <w:shd w:val="clear" w:color="auto" w:fill="auto"/>
            <w:noWrap w:val="0"/>
            <w:vAlign w:val="center"/>
          </w:tcPr>
          <w:p w14:paraId="6FE1AFD7">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《地表水环境质量标准》</w:t>
            </w:r>
          </w:p>
        </w:tc>
        <w:tc>
          <w:tcPr>
            <w:tcW w:w="1568" w:type="pct"/>
            <w:shd w:val="clear" w:color="auto" w:fill="auto"/>
            <w:noWrap w:val="0"/>
            <w:vAlign w:val="center"/>
          </w:tcPr>
          <w:p w14:paraId="4A59429B">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GB3838-2002</w:t>
            </w:r>
          </w:p>
        </w:tc>
      </w:tr>
      <w:tr w14:paraId="2A6B4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7C225B6A">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31</w:t>
            </w:r>
          </w:p>
        </w:tc>
        <w:tc>
          <w:tcPr>
            <w:tcW w:w="3043" w:type="pct"/>
            <w:shd w:val="clear" w:color="auto" w:fill="auto"/>
            <w:noWrap w:val="0"/>
            <w:vAlign w:val="center"/>
          </w:tcPr>
          <w:p w14:paraId="21C6EA20">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《地下水质量标准》</w:t>
            </w:r>
          </w:p>
        </w:tc>
        <w:tc>
          <w:tcPr>
            <w:tcW w:w="1568" w:type="pct"/>
            <w:shd w:val="clear" w:color="auto" w:fill="auto"/>
            <w:noWrap w:val="0"/>
            <w:vAlign w:val="center"/>
          </w:tcPr>
          <w:p w14:paraId="3F0EFA77">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GB/T14848-2017</w:t>
            </w:r>
          </w:p>
        </w:tc>
      </w:tr>
      <w:tr w14:paraId="55C97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5A88E493">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32</w:t>
            </w:r>
          </w:p>
        </w:tc>
        <w:tc>
          <w:tcPr>
            <w:tcW w:w="3043" w:type="pct"/>
            <w:shd w:val="clear" w:color="auto" w:fill="auto"/>
            <w:noWrap w:val="0"/>
            <w:vAlign w:val="center"/>
          </w:tcPr>
          <w:p w14:paraId="70CC4236">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《声环境质量标准》</w:t>
            </w:r>
          </w:p>
        </w:tc>
        <w:tc>
          <w:tcPr>
            <w:tcW w:w="1568" w:type="pct"/>
            <w:shd w:val="clear" w:color="auto" w:fill="auto"/>
            <w:noWrap w:val="0"/>
            <w:vAlign w:val="center"/>
          </w:tcPr>
          <w:p w14:paraId="60136ABB">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GB3096-2008</w:t>
            </w:r>
          </w:p>
        </w:tc>
      </w:tr>
      <w:tr w14:paraId="54E9F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796FA9D6">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33</w:t>
            </w:r>
          </w:p>
        </w:tc>
        <w:tc>
          <w:tcPr>
            <w:tcW w:w="3043" w:type="pct"/>
            <w:shd w:val="clear" w:color="auto" w:fill="auto"/>
            <w:noWrap w:val="0"/>
            <w:vAlign w:val="center"/>
          </w:tcPr>
          <w:p w14:paraId="2F2F7E87">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《大气污染物综合排放标准》</w:t>
            </w:r>
          </w:p>
        </w:tc>
        <w:tc>
          <w:tcPr>
            <w:tcW w:w="1568" w:type="pct"/>
            <w:shd w:val="clear" w:color="auto" w:fill="auto"/>
            <w:noWrap w:val="0"/>
            <w:vAlign w:val="center"/>
          </w:tcPr>
          <w:p w14:paraId="380B640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GB16297-1996</w:t>
            </w:r>
          </w:p>
        </w:tc>
      </w:tr>
      <w:tr w14:paraId="7A492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74BD0A29">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34</w:t>
            </w:r>
          </w:p>
        </w:tc>
        <w:tc>
          <w:tcPr>
            <w:tcW w:w="3043" w:type="pct"/>
            <w:shd w:val="clear" w:color="auto" w:fill="auto"/>
            <w:noWrap w:val="0"/>
            <w:vAlign w:val="center"/>
          </w:tcPr>
          <w:p w14:paraId="0BBE9733">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《污水综合排放标准》</w:t>
            </w:r>
          </w:p>
        </w:tc>
        <w:tc>
          <w:tcPr>
            <w:tcW w:w="1568" w:type="pct"/>
            <w:shd w:val="clear" w:color="auto" w:fill="auto"/>
            <w:noWrap w:val="0"/>
            <w:vAlign w:val="center"/>
          </w:tcPr>
          <w:p w14:paraId="7E9F5B32">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GB8978-1996</w:t>
            </w:r>
          </w:p>
        </w:tc>
      </w:tr>
      <w:tr w14:paraId="2C090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5CE87D1E">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35</w:t>
            </w:r>
          </w:p>
        </w:tc>
        <w:tc>
          <w:tcPr>
            <w:tcW w:w="3043" w:type="pct"/>
            <w:shd w:val="clear" w:color="auto" w:fill="auto"/>
            <w:noWrap w:val="0"/>
            <w:vAlign w:val="center"/>
          </w:tcPr>
          <w:p w14:paraId="42523734">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《农村生活污水处理排放标准》</w:t>
            </w:r>
          </w:p>
        </w:tc>
        <w:tc>
          <w:tcPr>
            <w:tcW w:w="1568" w:type="pct"/>
            <w:shd w:val="clear" w:color="auto" w:fill="auto"/>
            <w:noWrap w:val="0"/>
            <w:vAlign w:val="center"/>
          </w:tcPr>
          <w:p w14:paraId="65547CED">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DB65 4275-2019</w:t>
            </w:r>
          </w:p>
        </w:tc>
      </w:tr>
      <w:tr w14:paraId="28D15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58398E2F">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36</w:t>
            </w:r>
          </w:p>
        </w:tc>
        <w:tc>
          <w:tcPr>
            <w:tcW w:w="3043" w:type="pct"/>
            <w:shd w:val="clear" w:color="auto" w:fill="auto"/>
            <w:noWrap w:val="0"/>
            <w:vAlign w:val="center"/>
          </w:tcPr>
          <w:p w14:paraId="31BE118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《城市污水再生利用 城市杂用水水质》</w:t>
            </w:r>
          </w:p>
        </w:tc>
        <w:tc>
          <w:tcPr>
            <w:tcW w:w="1568" w:type="pct"/>
            <w:shd w:val="clear" w:color="auto" w:fill="auto"/>
            <w:noWrap w:val="0"/>
            <w:vAlign w:val="center"/>
          </w:tcPr>
          <w:p w14:paraId="5052D503">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2"/>
                <w:lang w:val="en-US" w:eastAsia="zh-CN" w:bidi="ar-SA"/>
                <w14:textFill>
                  <w14:solidFill>
                    <w14:schemeClr w14:val="tx1"/>
                  </w14:solidFill>
                </w14:textFill>
              </w:rPr>
              <w:t>GB/T18920-2020</w:t>
            </w:r>
          </w:p>
        </w:tc>
      </w:tr>
      <w:tr w14:paraId="19A23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14:paraId="1C2D8F6C">
            <w:pPr>
              <w:pStyle w:val="546"/>
              <w:keepNext w:val="0"/>
              <w:keepLines w:val="0"/>
              <w:widowControl w:val="0"/>
              <w:suppressLineNumbers w:val="0"/>
              <w:autoSpaceDE w:val="0"/>
              <w:autoSpaceDN w:val="0"/>
              <w:adjustRightInd w:val="0"/>
              <w:snapToGrid w:val="0"/>
              <w:spacing w:before="0" w:beforeAutospacing="0" w:after="0" w:afterAutospacing="0" w:line="360" w:lineRule="exact"/>
              <w:ind w:left="0" w:right="0"/>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37</w:t>
            </w:r>
          </w:p>
        </w:tc>
        <w:tc>
          <w:tcPr>
            <w:tcW w:w="3043" w:type="pct"/>
            <w:shd w:val="clear" w:color="auto" w:fill="auto"/>
            <w:noWrap w:val="0"/>
            <w:vAlign w:val="center"/>
          </w:tcPr>
          <w:p w14:paraId="71AE906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《建筑施工噪声排放标准》</w:t>
            </w:r>
          </w:p>
        </w:tc>
        <w:tc>
          <w:tcPr>
            <w:tcW w:w="1568" w:type="pct"/>
            <w:shd w:val="clear" w:color="auto" w:fill="auto"/>
            <w:noWrap w:val="0"/>
            <w:vAlign w:val="center"/>
          </w:tcPr>
          <w:p w14:paraId="484AC379">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GB12523-20</w:t>
            </w:r>
            <w:r>
              <w:rPr>
                <w:rFonts w:hint="eastAsia" w:cs="Times New Roman"/>
                <w:color w:val="000000" w:themeColor="text1"/>
                <w:kern w:val="0"/>
                <w:sz w:val="21"/>
                <w:szCs w:val="21"/>
                <w:lang w:val="en-US" w:eastAsia="zh-CN" w:bidi="ar-SA"/>
                <w14:textFill>
                  <w14:solidFill>
                    <w14:schemeClr w14:val="tx1"/>
                  </w14:solidFill>
                </w14:textFill>
              </w:rPr>
              <w:t>25</w:t>
            </w:r>
          </w:p>
        </w:tc>
      </w:tr>
      <w:bookmarkEnd w:id="111"/>
      <w:bookmarkEnd w:id="112"/>
      <w:bookmarkEnd w:id="113"/>
      <w:bookmarkEnd w:id="114"/>
      <w:bookmarkEnd w:id="115"/>
      <w:bookmarkEnd w:id="116"/>
      <w:bookmarkEnd w:id="117"/>
    </w:tbl>
    <w:p w14:paraId="5C34A00B">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2</w:t>
      </w:r>
      <w:r>
        <w:rPr>
          <w:color w:val="000000" w:themeColor="text1"/>
          <w:kern w:val="2"/>
          <w14:textFill>
            <w14:solidFill>
              <w14:schemeClr w14:val="tx1"/>
            </w14:solidFill>
          </w14:textFill>
        </w:rPr>
        <w:t>.</w:t>
      </w:r>
      <w:r>
        <w:rPr>
          <w:rFonts w:hint="eastAsia"/>
          <w:color w:val="000000" w:themeColor="text1"/>
          <w:kern w:val="2"/>
          <w14:textFill>
            <w14:solidFill>
              <w14:schemeClr w14:val="tx1"/>
            </w14:solidFill>
          </w14:textFill>
        </w:rPr>
        <w:t>4项目相关</w:t>
      </w:r>
      <w:r>
        <w:rPr>
          <w:color w:val="000000" w:themeColor="text1"/>
          <w:kern w:val="2"/>
          <w14:textFill>
            <w14:solidFill>
              <w14:schemeClr w14:val="tx1"/>
            </w14:solidFill>
          </w14:textFill>
        </w:rPr>
        <w:t>技术资料</w:t>
      </w:r>
      <w:bookmarkEnd w:id="118"/>
      <w:bookmarkEnd w:id="119"/>
    </w:p>
    <w:p w14:paraId="40C4694B">
      <w:pPr>
        <w:pStyle w:val="202"/>
        <w:keepNext w:val="0"/>
        <w:keepLines w:val="0"/>
        <w:pageBreakBefore w:val="0"/>
        <w:widowControl w:val="0"/>
        <w:kinsoku/>
        <w:wordWrap/>
        <w:overflowPunct w:val="0"/>
        <w:topLinePunct/>
        <w:autoSpaceDE/>
        <w:autoSpaceDN/>
        <w:bidi w:val="0"/>
        <w:adjustRightInd/>
        <w:snapToGrid/>
        <w:spacing w:line="480" w:lineRule="exact"/>
        <w:ind w:firstLine="48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t>本次评价依据的项目相关技术资料见表2.2-4。</w:t>
      </w:r>
    </w:p>
    <w:p w14:paraId="7BD798A9">
      <w:pPr>
        <w:pStyle w:val="475"/>
        <w:spacing w:beforeLines="0" w:afterLines="0" w:line="480" w:lineRule="exact"/>
        <w:ind w:firstLine="0" w:firstLineChars="0"/>
        <w:rPr>
          <w:rFonts w:ascii="Times New Roman" w:hAnsi="Times New Roman" w:eastAsia="宋体"/>
          <w:color w:val="000000" w:themeColor="text1"/>
          <w:kern w:val="2"/>
          <w14:textFill>
            <w14:solidFill>
              <w14:schemeClr w14:val="tx1"/>
            </w14:solidFill>
          </w14:textFill>
        </w:rPr>
      </w:pPr>
      <w:r>
        <w:rPr>
          <w:rFonts w:hint="eastAsia" w:ascii="Times New Roman" w:hAnsi="Times New Roman" w:eastAsia="宋体"/>
          <w:color w:val="000000" w:themeColor="text1"/>
          <w:kern w:val="2"/>
          <w14:textFill>
            <w14:solidFill>
              <w14:schemeClr w14:val="tx1"/>
            </w14:solidFill>
          </w14:textFill>
        </w:rPr>
        <w:t>表2.2-4    项目相关技术资料一览表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843"/>
        <w:gridCol w:w="1028"/>
      </w:tblGrid>
      <w:tr w14:paraId="21A17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1" w:type="pct"/>
            <w:noWrap w:val="0"/>
            <w:vAlign w:val="center"/>
          </w:tcPr>
          <w:p w14:paraId="6DA68A0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4014" w:type="pct"/>
            <w:noWrap w:val="0"/>
            <w:vAlign w:val="center"/>
          </w:tcPr>
          <w:p w14:paraId="2265B55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依据名称</w:t>
            </w:r>
          </w:p>
        </w:tc>
        <w:tc>
          <w:tcPr>
            <w:tcW w:w="603" w:type="pct"/>
            <w:noWrap w:val="0"/>
            <w:vAlign w:val="center"/>
          </w:tcPr>
          <w:p w14:paraId="322C509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时间</w:t>
            </w:r>
          </w:p>
        </w:tc>
      </w:tr>
      <w:tr w14:paraId="2AB7E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6B17F1A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4014" w:type="pct"/>
            <w:noWrap w:val="0"/>
            <w:vAlign w:val="center"/>
          </w:tcPr>
          <w:p w14:paraId="69B2874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环评</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委托书</w:t>
            </w:r>
          </w:p>
        </w:tc>
        <w:tc>
          <w:tcPr>
            <w:tcW w:w="603" w:type="pct"/>
            <w:noWrap w:val="0"/>
            <w:vAlign w:val="center"/>
          </w:tcPr>
          <w:p w14:paraId="3DF2D82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202</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3.05</w:t>
            </w:r>
          </w:p>
        </w:tc>
      </w:tr>
      <w:tr w14:paraId="7E1DB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3B361F2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4014" w:type="pct"/>
            <w:noWrap w:val="0"/>
            <w:vAlign w:val="center"/>
          </w:tcPr>
          <w:p w14:paraId="0208AC9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哈密市西成矿业有限责任公司年产30万吨铁精粉建设项目环境影响报告表</w:t>
            </w:r>
          </w:p>
        </w:tc>
        <w:tc>
          <w:tcPr>
            <w:tcW w:w="603" w:type="pct"/>
            <w:noWrap w:val="0"/>
            <w:vAlign w:val="center"/>
          </w:tcPr>
          <w:p w14:paraId="01877BDA">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2006.08</w:t>
            </w:r>
          </w:p>
        </w:tc>
      </w:tr>
      <w:tr w14:paraId="6BEF7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7A8CEAB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4014" w:type="pct"/>
            <w:noWrap w:val="0"/>
            <w:vAlign w:val="center"/>
          </w:tcPr>
          <w:p w14:paraId="47F72F8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哈密市西成矿业有限责任公司M1033矿年产30万吨</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铁矿采矿</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建设项目环境影响报告表</w:t>
            </w:r>
          </w:p>
        </w:tc>
        <w:tc>
          <w:tcPr>
            <w:tcW w:w="603" w:type="pct"/>
            <w:noWrap w:val="0"/>
            <w:vAlign w:val="center"/>
          </w:tcPr>
          <w:p w14:paraId="20EA5323">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2006.08</w:t>
            </w:r>
          </w:p>
        </w:tc>
      </w:tr>
      <w:tr w14:paraId="7E5C2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4A93AA2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4014" w:type="pct"/>
            <w:noWrap w:val="0"/>
            <w:vAlign w:val="center"/>
          </w:tcPr>
          <w:p w14:paraId="34243D0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关于哈密市西成矿业有限责任公司年产30万吨铁精粉建设项目环境影响报告表的批复</w:t>
            </w:r>
          </w:p>
        </w:tc>
        <w:tc>
          <w:tcPr>
            <w:tcW w:w="603" w:type="pct"/>
            <w:noWrap w:val="0"/>
            <w:vAlign w:val="center"/>
          </w:tcPr>
          <w:p w14:paraId="2A13665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2006.09.20</w:t>
            </w:r>
          </w:p>
        </w:tc>
      </w:tr>
      <w:tr w14:paraId="5F9AF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1282408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4014" w:type="pct"/>
            <w:noWrap w:val="0"/>
            <w:vAlign w:val="center"/>
          </w:tcPr>
          <w:p w14:paraId="2A32C7CC">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关于</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哈密市西成矿业有限责任公司M1033矿年产30万吨铁矿采矿建设</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1"/>
                <w:szCs w:val="21"/>
                <w14:textFill>
                  <w14:solidFill>
                    <w14:schemeClr w14:val="tx1"/>
                  </w14:solidFill>
                </w14:textFill>
              </w:rPr>
              <w:t>环境影响报告表的批复</w:t>
            </w:r>
          </w:p>
        </w:tc>
        <w:tc>
          <w:tcPr>
            <w:tcW w:w="603" w:type="pct"/>
            <w:noWrap w:val="0"/>
            <w:vAlign w:val="center"/>
          </w:tcPr>
          <w:p w14:paraId="391E1530">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2006.09.20</w:t>
            </w:r>
          </w:p>
        </w:tc>
      </w:tr>
      <w:tr w14:paraId="72D44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72C70132">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t>6</w:t>
            </w:r>
          </w:p>
        </w:tc>
        <w:tc>
          <w:tcPr>
            <w:tcW w:w="4014" w:type="pct"/>
            <w:noWrap w:val="0"/>
            <w:vAlign w:val="center"/>
          </w:tcPr>
          <w:p w14:paraId="085762FB">
            <w:pPr>
              <w:pStyle w:val="679"/>
              <w:keepNext w:val="0"/>
              <w:keepLines w:val="0"/>
              <w:pageBreakBefore w:val="0"/>
              <w:widowControl w:val="0"/>
              <w:suppressLineNumbers w:val="0"/>
              <w:kinsoku/>
              <w:wordWrap/>
              <w:overflowPunct/>
              <w:topLinePunct w:val="0"/>
              <w:bidi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新疆哈密市M1033铁矿资源储量核实报告</w:t>
            </w:r>
          </w:p>
        </w:tc>
        <w:tc>
          <w:tcPr>
            <w:tcW w:w="603" w:type="pct"/>
            <w:noWrap w:val="0"/>
            <w:vAlign w:val="center"/>
          </w:tcPr>
          <w:p w14:paraId="7E874DC7">
            <w:pPr>
              <w:pStyle w:val="679"/>
              <w:keepNext w:val="0"/>
              <w:keepLines w:val="0"/>
              <w:pageBreakBefore w:val="0"/>
              <w:widowControl w:val="0"/>
              <w:suppressLineNumbers w:val="0"/>
              <w:kinsoku/>
              <w:wordWrap/>
              <w:overflowPunct/>
              <w:topLinePunct w:val="0"/>
              <w:bidi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2022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04</w:t>
            </w:r>
          </w:p>
        </w:tc>
      </w:tr>
      <w:tr w14:paraId="3FC84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2B56F83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c>
          <w:tcPr>
            <w:tcW w:w="4014" w:type="pct"/>
            <w:noWrap w:val="0"/>
            <w:vAlign w:val="center"/>
          </w:tcPr>
          <w:p w14:paraId="54896936">
            <w:pPr>
              <w:pStyle w:val="679"/>
              <w:keepNext w:val="0"/>
              <w:keepLines w:val="0"/>
              <w:pageBreakBefore w:val="0"/>
              <w:widowControl w:val="0"/>
              <w:suppressLineNumbers w:val="0"/>
              <w:kinsoku/>
              <w:wordWrap/>
              <w:overflowPunct/>
              <w:topLinePunct w:val="0"/>
              <w:bidi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新疆哈密市西成矿业有限责任公司M1033铁矿60万吨/采选工改扩建项目水资源论证报告书</w:t>
            </w:r>
          </w:p>
        </w:tc>
        <w:tc>
          <w:tcPr>
            <w:tcW w:w="603" w:type="pct"/>
            <w:noWrap w:val="0"/>
            <w:vAlign w:val="center"/>
          </w:tcPr>
          <w:p w14:paraId="23992839">
            <w:pPr>
              <w:pStyle w:val="679"/>
              <w:keepNext w:val="0"/>
              <w:keepLines w:val="0"/>
              <w:pageBreakBefore w:val="0"/>
              <w:widowControl w:val="0"/>
              <w:suppressLineNumbers w:val="0"/>
              <w:kinsoku/>
              <w:wordWrap/>
              <w:overflowPunct/>
              <w:topLinePunct w:val="0"/>
              <w:bidi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2022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05</w:t>
            </w:r>
          </w:p>
        </w:tc>
      </w:tr>
      <w:tr w14:paraId="4D349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34D769C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4014" w:type="pct"/>
            <w:noWrap w:val="0"/>
            <w:vAlign w:val="center"/>
          </w:tcPr>
          <w:p w14:paraId="27230F9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kern w:val="1"/>
                <w:sz w:val="21"/>
                <w:szCs w:val="21"/>
                <w:lang w:val="en-US" w:eastAsia="ar-SA"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新疆</w:t>
            </w:r>
            <w:r>
              <w:rPr>
                <w:rFonts w:hint="default" w:ascii="Times New Roman" w:hAnsi="Times New Roman" w:eastAsia="宋体" w:cs="Times New Roman"/>
                <w:b w:val="0"/>
                <w:bCs w:val="0"/>
                <w:color w:val="000000" w:themeColor="text1"/>
                <w:sz w:val="21"/>
                <w:szCs w:val="21"/>
                <w14:textFill>
                  <w14:solidFill>
                    <w14:schemeClr w14:val="tx1"/>
                  </w14:solidFill>
                </w14:textFill>
              </w:rPr>
              <w:t>哈密市西成矿业有限责任公司M1033铁矿矿产资源开发利用与生态保护修复方案</w:t>
            </w:r>
          </w:p>
        </w:tc>
        <w:tc>
          <w:tcPr>
            <w:tcW w:w="603" w:type="pct"/>
            <w:noWrap w:val="0"/>
            <w:vAlign w:val="center"/>
          </w:tcPr>
          <w:p w14:paraId="792AF53E">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06</w:t>
            </w:r>
          </w:p>
        </w:tc>
      </w:tr>
      <w:tr w14:paraId="55AF7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4448AE0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4014" w:type="pct"/>
            <w:noWrap w:val="0"/>
            <w:vAlign w:val="center"/>
          </w:tcPr>
          <w:p w14:paraId="0AB93B58">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新疆哈密市西成矿业有限责任公司M1033铁矿东段地下采矿技改工程</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初步设计</w:t>
            </w:r>
          </w:p>
        </w:tc>
        <w:tc>
          <w:tcPr>
            <w:tcW w:w="603" w:type="pct"/>
            <w:noWrap w:val="0"/>
            <w:vAlign w:val="center"/>
          </w:tcPr>
          <w:p w14:paraId="7F4ABABD">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2020.06</w:t>
            </w:r>
          </w:p>
        </w:tc>
      </w:tr>
      <w:tr w14:paraId="799DA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2807699F">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w:t>
            </w:r>
          </w:p>
        </w:tc>
        <w:tc>
          <w:tcPr>
            <w:tcW w:w="4014" w:type="pct"/>
            <w:noWrap w:val="0"/>
            <w:vAlign w:val="center"/>
          </w:tcPr>
          <w:p w14:paraId="0C091CC4">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哈密市西成矿业有限责任公司M1033铁矿选矿厂改建工程岩土工程详细勘察</w:t>
            </w:r>
          </w:p>
        </w:tc>
        <w:tc>
          <w:tcPr>
            <w:tcW w:w="603" w:type="pct"/>
            <w:noWrap w:val="0"/>
            <w:vAlign w:val="center"/>
          </w:tcPr>
          <w:p w14:paraId="3BA7E5C6">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p>
        </w:tc>
      </w:tr>
      <w:tr w14:paraId="5E527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14:paraId="04FAE961">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11</w:t>
            </w:r>
          </w:p>
        </w:tc>
        <w:tc>
          <w:tcPr>
            <w:tcW w:w="4014" w:type="pct"/>
            <w:shd w:val="clear" w:color="auto" w:fill="auto"/>
            <w:noWrap w:val="0"/>
            <w:vAlign w:val="center"/>
          </w:tcPr>
          <w:p w14:paraId="0D363B6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firstLine="0" w:firstLineChars="0"/>
              <w:textAlignment w:val="auto"/>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项目相关的</w:t>
            </w:r>
            <w:r>
              <w:rPr>
                <w:rFonts w:hint="default" w:ascii="Times New Roman" w:hAnsi="Times New Roman" w:eastAsia="宋体" w:cs="Times New Roman"/>
                <w:b w:val="0"/>
                <w:bCs w:val="0"/>
                <w:color w:val="000000" w:themeColor="text1"/>
                <w:sz w:val="21"/>
                <w:szCs w:val="21"/>
                <w14:textFill>
                  <w14:solidFill>
                    <w14:schemeClr w14:val="tx1"/>
                  </w14:solidFill>
                </w14:textFill>
              </w:rPr>
              <w:t>其他资料</w:t>
            </w:r>
          </w:p>
        </w:tc>
        <w:tc>
          <w:tcPr>
            <w:tcW w:w="603" w:type="pct"/>
            <w:shd w:val="clear" w:color="auto" w:fill="auto"/>
            <w:noWrap w:val="0"/>
            <w:vAlign w:val="center"/>
          </w:tcPr>
          <w:p w14:paraId="25E2BB29">
            <w:pPr>
              <w:pStyle w:val="54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05" w:leftChars="-50" w:right="-105" w:rightChars="-50" w:firstLine="0" w:firstLineChars="0"/>
              <w:textAlignment w:val="auto"/>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r>
    </w:tbl>
    <w:p w14:paraId="77DC9A7B">
      <w:pPr>
        <w:pStyle w:val="3"/>
        <w:jc w:val="left"/>
        <w:rPr>
          <w:bCs/>
          <w:color w:val="000000" w:themeColor="text1"/>
          <w:kern w:val="2"/>
          <w:szCs w:val="32"/>
          <w14:textFill>
            <w14:solidFill>
              <w14:schemeClr w14:val="tx1"/>
            </w14:solidFill>
          </w14:textFill>
        </w:rPr>
      </w:pPr>
      <w:bookmarkStart w:id="120" w:name="_Toc20400"/>
      <w:bookmarkStart w:id="121" w:name="_Toc111767541"/>
      <w:bookmarkStart w:id="122" w:name="_Toc1157351831"/>
      <w:bookmarkStart w:id="123" w:name="_Toc26809"/>
      <w:bookmarkStart w:id="124" w:name="_Toc11122"/>
      <w:bookmarkStart w:id="125" w:name="_Toc26399"/>
      <w:bookmarkStart w:id="126" w:name="_Toc4881"/>
      <w:bookmarkStart w:id="127" w:name="_Toc31175"/>
      <w:bookmarkStart w:id="128" w:name="_Toc29629"/>
      <w:bookmarkStart w:id="129" w:name="_Toc8897"/>
      <w:bookmarkStart w:id="130" w:name="_Toc5447"/>
      <w:r>
        <w:rPr>
          <w:bCs/>
          <w:color w:val="000000" w:themeColor="text1"/>
          <w:kern w:val="2"/>
          <w:szCs w:val="32"/>
          <w14:textFill>
            <w14:solidFill>
              <w14:schemeClr w14:val="tx1"/>
            </w14:solidFill>
          </w14:textFill>
        </w:rPr>
        <w:t>2.</w:t>
      </w:r>
      <w:r>
        <w:rPr>
          <w:rFonts w:hint="eastAsia"/>
          <w:bCs/>
          <w:color w:val="000000" w:themeColor="text1"/>
          <w:kern w:val="2"/>
          <w:szCs w:val="32"/>
          <w14:textFill>
            <w14:solidFill>
              <w14:schemeClr w14:val="tx1"/>
            </w14:solidFill>
          </w14:textFill>
        </w:rPr>
        <w:t>3</w:t>
      </w:r>
      <w:r>
        <w:rPr>
          <w:bCs/>
          <w:color w:val="000000" w:themeColor="text1"/>
          <w:kern w:val="2"/>
          <w:szCs w:val="32"/>
          <w14:textFill>
            <w14:solidFill>
              <w14:schemeClr w14:val="tx1"/>
            </w14:solidFill>
          </w14:textFill>
        </w:rPr>
        <w:t>环境影响因素识别和评价因子筛选</w:t>
      </w:r>
      <w:bookmarkEnd w:id="120"/>
      <w:bookmarkEnd w:id="121"/>
      <w:bookmarkEnd w:id="122"/>
      <w:bookmarkEnd w:id="123"/>
      <w:bookmarkEnd w:id="124"/>
      <w:bookmarkEnd w:id="125"/>
      <w:bookmarkEnd w:id="126"/>
      <w:bookmarkEnd w:id="127"/>
    </w:p>
    <w:bookmarkEnd w:id="128"/>
    <w:bookmarkEnd w:id="129"/>
    <w:bookmarkEnd w:id="130"/>
    <w:p w14:paraId="5399D701">
      <w:pPr>
        <w:pStyle w:val="4"/>
        <w:spacing w:before="60" w:after="60" w:line="480" w:lineRule="exact"/>
        <w:rPr>
          <w:rFonts w:hint="eastAsia"/>
          <w:color w:val="000000" w:themeColor="text1"/>
          <w:kern w:val="2"/>
          <w14:textFill>
            <w14:solidFill>
              <w14:schemeClr w14:val="tx1"/>
            </w14:solidFill>
          </w14:textFill>
        </w:rPr>
      </w:pPr>
      <w:bookmarkStart w:id="131" w:name="_Toc3402"/>
      <w:r>
        <w:rPr>
          <w:rFonts w:hint="eastAsia"/>
          <w:color w:val="000000" w:themeColor="text1"/>
          <w:kern w:val="2"/>
          <w14:textFill>
            <w14:solidFill>
              <w14:schemeClr w14:val="tx1"/>
            </w14:solidFill>
          </w14:textFill>
        </w:rPr>
        <w:t>2.3.1环境影响因素识别</w:t>
      </w:r>
      <w:bookmarkEnd w:id="131"/>
    </w:p>
    <w:p w14:paraId="235806D9">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本项目的性质、工程特点、阶段（施工期、运营期）和所在区域的环境特征，识别本项目建设实施对评价区域自然环境及社会环境可能产生的环境影响因素，为筛选评价因子提供依据。本项目施工期和运营期环境影响因素一览表见表2.3-1。</w:t>
      </w:r>
    </w:p>
    <w:p w14:paraId="039BBEBA">
      <w:pPr>
        <w:spacing w:line="480" w:lineRule="exact"/>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 xml:space="preserve">表2.3-1    </w:t>
      </w:r>
      <w:r>
        <w:rPr>
          <w:b/>
          <w:bCs/>
          <w:color w:val="000000" w:themeColor="text1"/>
          <w:sz w:val="24"/>
          <w:szCs w:val="24"/>
          <w14:textFill>
            <w14:solidFill>
              <w14:schemeClr w14:val="tx1"/>
            </w14:solidFill>
          </w14:textFill>
        </w:rPr>
        <w:t>环境影响因素识别一览表</w:t>
      </w:r>
    </w:p>
    <w:tbl>
      <w:tblPr>
        <w:tblStyle w:val="79"/>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015"/>
        <w:gridCol w:w="622"/>
        <w:gridCol w:w="601"/>
        <w:gridCol w:w="618"/>
        <w:gridCol w:w="636"/>
        <w:gridCol w:w="651"/>
        <w:gridCol w:w="980"/>
        <w:gridCol w:w="646"/>
        <w:gridCol w:w="618"/>
        <w:gridCol w:w="682"/>
        <w:gridCol w:w="688"/>
      </w:tblGrid>
      <w:tr w14:paraId="322D29A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47" w:type="pct"/>
            <w:vMerge w:val="restart"/>
            <w:noWrap w:val="0"/>
            <w:vAlign w:val="center"/>
          </w:tcPr>
          <w:p w14:paraId="667D572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评价时段</w:t>
            </w:r>
          </w:p>
        </w:tc>
        <w:tc>
          <w:tcPr>
            <w:tcW w:w="596" w:type="pct"/>
            <w:vMerge w:val="restart"/>
            <w:noWrap w:val="0"/>
            <w:vAlign w:val="center"/>
          </w:tcPr>
          <w:p w14:paraId="00EE255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污染因素</w:t>
            </w:r>
          </w:p>
        </w:tc>
        <w:tc>
          <w:tcPr>
            <w:tcW w:w="3955" w:type="pct"/>
            <w:gridSpan w:val="10"/>
            <w:noWrap w:val="0"/>
            <w:vAlign w:val="center"/>
          </w:tcPr>
          <w:p w14:paraId="3E1091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环境要素</w:t>
            </w:r>
          </w:p>
        </w:tc>
      </w:tr>
      <w:tr w14:paraId="1E7F262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47" w:type="pct"/>
            <w:vMerge w:val="continue"/>
            <w:noWrap w:val="0"/>
            <w:vAlign w:val="center"/>
          </w:tcPr>
          <w:p w14:paraId="3235D4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p>
        </w:tc>
        <w:tc>
          <w:tcPr>
            <w:tcW w:w="596" w:type="pct"/>
            <w:vMerge w:val="continue"/>
            <w:noWrap w:val="0"/>
            <w:vAlign w:val="center"/>
          </w:tcPr>
          <w:p w14:paraId="393882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p>
        </w:tc>
        <w:tc>
          <w:tcPr>
            <w:tcW w:w="365" w:type="pct"/>
            <w:vMerge w:val="restart"/>
            <w:noWrap w:val="0"/>
            <w:vAlign w:val="center"/>
          </w:tcPr>
          <w:p w14:paraId="4B198C2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环境空气</w:t>
            </w:r>
          </w:p>
        </w:tc>
        <w:tc>
          <w:tcPr>
            <w:tcW w:w="353" w:type="pct"/>
            <w:vMerge w:val="restart"/>
            <w:noWrap w:val="0"/>
            <w:vAlign w:val="center"/>
          </w:tcPr>
          <w:p w14:paraId="4ECCA6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地表水</w:t>
            </w:r>
          </w:p>
        </w:tc>
        <w:tc>
          <w:tcPr>
            <w:tcW w:w="363" w:type="pct"/>
            <w:vMerge w:val="restart"/>
            <w:noWrap w:val="0"/>
            <w:vAlign w:val="center"/>
          </w:tcPr>
          <w:p w14:paraId="2F82FA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地下水</w:t>
            </w:r>
          </w:p>
        </w:tc>
        <w:tc>
          <w:tcPr>
            <w:tcW w:w="373" w:type="pct"/>
            <w:vMerge w:val="restart"/>
            <w:noWrap w:val="0"/>
            <w:vAlign w:val="center"/>
          </w:tcPr>
          <w:p w14:paraId="0423D26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声环境</w:t>
            </w:r>
          </w:p>
        </w:tc>
        <w:tc>
          <w:tcPr>
            <w:tcW w:w="2099" w:type="pct"/>
            <w:gridSpan w:val="5"/>
            <w:noWrap w:val="0"/>
            <w:vAlign w:val="center"/>
          </w:tcPr>
          <w:p w14:paraId="582510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生态</w:t>
            </w:r>
          </w:p>
        </w:tc>
        <w:tc>
          <w:tcPr>
            <w:tcW w:w="400" w:type="pct"/>
            <w:vMerge w:val="restart"/>
            <w:noWrap w:val="0"/>
            <w:vAlign w:val="center"/>
          </w:tcPr>
          <w:p w14:paraId="654C763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环境风险</w:t>
            </w:r>
          </w:p>
        </w:tc>
      </w:tr>
      <w:tr w14:paraId="0EEDF59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47" w:type="pct"/>
            <w:vMerge w:val="continue"/>
            <w:noWrap w:val="0"/>
            <w:vAlign w:val="center"/>
          </w:tcPr>
          <w:p w14:paraId="7484ADC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96" w:type="pct"/>
            <w:vMerge w:val="continue"/>
            <w:noWrap w:val="0"/>
            <w:vAlign w:val="center"/>
          </w:tcPr>
          <w:p w14:paraId="2AED8EF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5" w:type="pct"/>
            <w:vMerge w:val="continue"/>
            <w:noWrap w:val="0"/>
            <w:vAlign w:val="center"/>
          </w:tcPr>
          <w:p w14:paraId="1648A7A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53" w:type="pct"/>
            <w:vMerge w:val="continue"/>
            <w:noWrap w:val="0"/>
            <w:vAlign w:val="center"/>
          </w:tcPr>
          <w:p w14:paraId="6A5269F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vMerge w:val="continue"/>
            <w:noWrap w:val="0"/>
            <w:vAlign w:val="center"/>
          </w:tcPr>
          <w:p w14:paraId="640CCFA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3" w:type="pct"/>
            <w:vMerge w:val="continue"/>
            <w:noWrap w:val="0"/>
            <w:vAlign w:val="center"/>
          </w:tcPr>
          <w:p w14:paraId="4190D5A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82" w:type="pct"/>
            <w:noWrap w:val="0"/>
            <w:vAlign w:val="center"/>
          </w:tcPr>
          <w:p w14:paraId="1A54690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植被</w:t>
            </w:r>
          </w:p>
        </w:tc>
        <w:tc>
          <w:tcPr>
            <w:tcW w:w="575" w:type="pct"/>
            <w:noWrap w:val="0"/>
            <w:vAlign w:val="center"/>
          </w:tcPr>
          <w:p w14:paraId="11913D1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土壤或土地利用</w:t>
            </w:r>
          </w:p>
        </w:tc>
        <w:tc>
          <w:tcPr>
            <w:tcW w:w="379" w:type="pct"/>
            <w:noWrap w:val="0"/>
            <w:vAlign w:val="center"/>
          </w:tcPr>
          <w:p w14:paraId="16C98E5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水土流失</w:t>
            </w:r>
          </w:p>
        </w:tc>
        <w:tc>
          <w:tcPr>
            <w:tcW w:w="363" w:type="pct"/>
            <w:noWrap w:val="0"/>
            <w:vAlign w:val="center"/>
          </w:tcPr>
          <w:p w14:paraId="58084B3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自然景观</w:t>
            </w:r>
          </w:p>
        </w:tc>
        <w:tc>
          <w:tcPr>
            <w:tcW w:w="400" w:type="pct"/>
            <w:noWrap w:val="0"/>
            <w:vAlign w:val="center"/>
          </w:tcPr>
          <w:p w14:paraId="26D6C51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r>
              <w:rPr>
                <w:rFonts w:hint="default" w:ascii="Times New Roman" w:hAnsi="Times New Roman" w:cs="Times New Roman"/>
                <w:b/>
                <w:bCs/>
                <w:color w:val="000000" w:themeColor="text1"/>
                <w:spacing w:val="-11"/>
                <w:szCs w:val="21"/>
                <w14:textFill>
                  <w14:solidFill>
                    <w14:schemeClr w14:val="tx1"/>
                  </w14:solidFill>
                </w14:textFill>
              </w:rPr>
              <w:t>野生生物</w:t>
            </w:r>
          </w:p>
        </w:tc>
        <w:tc>
          <w:tcPr>
            <w:tcW w:w="400" w:type="pct"/>
            <w:vMerge w:val="continue"/>
            <w:noWrap w:val="0"/>
            <w:vAlign w:val="center"/>
          </w:tcPr>
          <w:p w14:paraId="22272E5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1"/>
                <w:szCs w:val="21"/>
                <w14:textFill>
                  <w14:solidFill>
                    <w14:schemeClr w14:val="tx1"/>
                  </w14:solidFill>
                </w14:textFill>
              </w:rPr>
            </w:pPr>
          </w:p>
        </w:tc>
      </w:tr>
      <w:tr w14:paraId="473325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vMerge w:val="restart"/>
            <w:noWrap w:val="0"/>
            <w:vAlign w:val="center"/>
          </w:tcPr>
          <w:p w14:paraId="600D1D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施</w:t>
            </w:r>
          </w:p>
          <w:p w14:paraId="6701BA4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工</w:t>
            </w:r>
          </w:p>
          <w:p w14:paraId="331FC0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期</w:t>
            </w:r>
          </w:p>
        </w:tc>
        <w:tc>
          <w:tcPr>
            <w:tcW w:w="596" w:type="pct"/>
            <w:noWrap w:val="0"/>
            <w:vAlign w:val="center"/>
          </w:tcPr>
          <w:p w14:paraId="299768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土建工程</w:t>
            </w:r>
          </w:p>
          <w:p w14:paraId="3DF710A4">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color w:val="000000" w:themeColor="text1"/>
                <w:spacing w:val="-11"/>
                <w:sz w:val="21"/>
                <w:szCs w:val="21"/>
                <w14:textFill>
                  <w14:solidFill>
                    <w14:schemeClr w14:val="tx1"/>
                  </w14:solidFill>
                </w14:textFill>
              </w:rPr>
            </w:pPr>
            <w:r>
              <w:rPr>
                <w:rFonts w:hint="default" w:ascii="Times New Roman" w:hAnsi="Times New Roman" w:cs="Times New Roman"/>
                <w:color w:val="000000" w:themeColor="text1"/>
                <w:spacing w:val="-11"/>
                <w:sz w:val="21"/>
                <w:szCs w:val="21"/>
                <w14:textFill>
                  <w14:solidFill>
                    <w14:schemeClr w14:val="tx1"/>
                  </w14:solidFill>
                </w14:textFill>
              </w:rPr>
              <w:t>土地平整</w:t>
            </w:r>
          </w:p>
        </w:tc>
        <w:tc>
          <w:tcPr>
            <w:tcW w:w="365" w:type="pct"/>
            <w:noWrap w:val="0"/>
            <w:vAlign w:val="center"/>
          </w:tcPr>
          <w:p w14:paraId="1C7E4FF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-2D</w:t>
            </w:r>
          </w:p>
        </w:tc>
        <w:tc>
          <w:tcPr>
            <w:tcW w:w="353" w:type="pct"/>
            <w:noWrap w:val="0"/>
            <w:vAlign w:val="center"/>
          </w:tcPr>
          <w:p w14:paraId="5C725B0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410FB5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3" w:type="pct"/>
            <w:noWrap w:val="0"/>
            <w:vAlign w:val="center"/>
          </w:tcPr>
          <w:p w14:paraId="05C08F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382" w:type="pct"/>
            <w:noWrap w:val="0"/>
            <w:vAlign w:val="center"/>
          </w:tcPr>
          <w:p w14:paraId="421F66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575" w:type="pct"/>
            <w:noWrap w:val="0"/>
            <w:vAlign w:val="center"/>
          </w:tcPr>
          <w:p w14:paraId="0B412F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379" w:type="pct"/>
            <w:noWrap w:val="0"/>
            <w:vAlign w:val="center"/>
          </w:tcPr>
          <w:p w14:paraId="245763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-2D</w:t>
            </w:r>
          </w:p>
        </w:tc>
        <w:tc>
          <w:tcPr>
            <w:tcW w:w="363" w:type="pct"/>
            <w:noWrap w:val="0"/>
            <w:vAlign w:val="center"/>
          </w:tcPr>
          <w:p w14:paraId="3719B4B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400" w:type="pct"/>
            <w:noWrap w:val="0"/>
            <w:vAlign w:val="center"/>
          </w:tcPr>
          <w:p w14:paraId="557F99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400" w:type="pct"/>
            <w:noWrap w:val="0"/>
            <w:vAlign w:val="center"/>
          </w:tcPr>
          <w:p w14:paraId="67EE513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r>
      <w:tr w14:paraId="40BAE7C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vMerge w:val="continue"/>
            <w:noWrap w:val="0"/>
            <w:vAlign w:val="center"/>
          </w:tcPr>
          <w:p w14:paraId="393A430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96" w:type="pct"/>
            <w:noWrap w:val="0"/>
            <w:vAlign w:val="center"/>
          </w:tcPr>
          <w:p w14:paraId="4CB4236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物料运输</w:t>
            </w:r>
          </w:p>
        </w:tc>
        <w:tc>
          <w:tcPr>
            <w:tcW w:w="365" w:type="pct"/>
            <w:noWrap w:val="0"/>
            <w:vAlign w:val="center"/>
          </w:tcPr>
          <w:p w14:paraId="184CAF9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353" w:type="pct"/>
            <w:noWrap w:val="0"/>
            <w:vAlign w:val="center"/>
          </w:tcPr>
          <w:p w14:paraId="48F3131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-1D</w:t>
            </w:r>
          </w:p>
        </w:tc>
        <w:tc>
          <w:tcPr>
            <w:tcW w:w="363" w:type="pct"/>
            <w:noWrap w:val="0"/>
            <w:vAlign w:val="center"/>
          </w:tcPr>
          <w:p w14:paraId="0C54B5B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3" w:type="pct"/>
            <w:noWrap w:val="0"/>
            <w:vAlign w:val="center"/>
          </w:tcPr>
          <w:p w14:paraId="12BA303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382" w:type="pct"/>
            <w:noWrap w:val="0"/>
            <w:vAlign w:val="center"/>
          </w:tcPr>
          <w:p w14:paraId="07FE22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75" w:type="pct"/>
            <w:noWrap w:val="0"/>
            <w:vAlign w:val="center"/>
          </w:tcPr>
          <w:p w14:paraId="6268CF5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9" w:type="pct"/>
            <w:noWrap w:val="0"/>
            <w:vAlign w:val="center"/>
          </w:tcPr>
          <w:p w14:paraId="124328C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7BB6EA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2F4BA92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400" w:type="pct"/>
            <w:noWrap w:val="0"/>
            <w:vAlign w:val="center"/>
          </w:tcPr>
          <w:p w14:paraId="5B7A618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r>
      <w:tr w14:paraId="00B39BD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vMerge w:val="continue"/>
            <w:noWrap w:val="0"/>
            <w:vAlign w:val="center"/>
          </w:tcPr>
          <w:p w14:paraId="22CCC8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96" w:type="pct"/>
            <w:noWrap w:val="0"/>
            <w:vAlign w:val="center"/>
          </w:tcPr>
          <w:p w14:paraId="7A43FC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施工安装</w:t>
            </w:r>
          </w:p>
        </w:tc>
        <w:tc>
          <w:tcPr>
            <w:tcW w:w="365" w:type="pct"/>
            <w:noWrap w:val="0"/>
            <w:vAlign w:val="center"/>
          </w:tcPr>
          <w:p w14:paraId="035FF52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353" w:type="pct"/>
            <w:noWrap w:val="0"/>
            <w:vAlign w:val="center"/>
          </w:tcPr>
          <w:p w14:paraId="2FE680F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4716E1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3" w:type="pct"/>
            <w:noWrap w:val="0"/>
            <w:vAlign w:val="center"/>
          </w:tcPr>
          <w:p w14:paraId="2A7FA7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382" w:type="pct"/>
            <w:noWrap w:val="0"/>
            <w:vAlign w:val="center"/>
          </w:tcPr>
          <w:p w14:paraId="2E26616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75" w:type="pct"/>
            <w:noWrap w:val="0"/>
            <w:vAlign w:val="center"/>
          </w:tcPr>
          <w:p w14:paraId="408D289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9" w:type="pct"/>
            <w:noWrap w:val="0"/>
            <w:vAlign w:val="center"/>
          </w:tcPr>
          <w:p w14:paraId="3CC6296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58FA32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400" w:type="pct"/>
            <w:noWrap w:val="0"/>
            <w:vAlign w:val="center"/>
          </w:tcPr>
          <w:p w14:paraId="21F1164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400" w:type="pct"/>
            <w:noWrap w:val="0"/>
            <w:vAlign w:val="center"/>
          </w:tcPr>
          <w:p w14:paraId="209A526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r>
      <w:tr w14:paraId="6733650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vMerge w:val="restart"/>
            <w:noWrap w:val="0"/>
            <w:vAlign w:val="center"/>
          </w:tcPr>
          <w:p w14:paraId="228D980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运</w:t>
            </w:r>
          </w:p>
          <w:p w14:paraId="405047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营</w:t>
            </w:r>
          </w:p>
          <w:p w14:paraId="520774E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期</w:t>
            </w:r>
          </w:p>
        </w:tc>
        <w:tc>
          <w:tcPr>
            <w:tcW w:w="596" w:type="pct"/>
            <w:noWrap w:val="0"/>
            <w:vAlign w:val="center"/>
          </w:tcPr>
          <w:p w14:paraId="4B7F345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原料/成品运输</w:t>
            </w:r>
          </w:p>
        </w:tc>
        <w:tc>
          <w:tcPr>
            <w:tcW w:w="365" w:type="pct"/>
            <w:noWrap w:val="0"/>
            <w:vAlign w:val="center"/>
          </w:tcPr>
          <w:p w14:paraId="077EDF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353" w:type="pct"/>
            <w:noWrap w:val="0"/>
            <w:vAlign w:val="center"/>
          </w:tcPr>
          <w:p w14:paraId="2684B9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-1D</w:t>
            </w:r>
          </w:p>
        </w:tc>
        <w:tc>
          <w:tcPr>
            <w:tcW w:w="363" w:type="pct"/>
            <w:noWrap w:val="0"/>
            <w:vAlign w:val="center"/>
          </w:tcPr>
          <w:p w14:paraId="7E5B45A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3" w:type="pct"/>
            <w:noWrap w:val="0"/>
            <w:vAlign w:val="center"/>
          </w:tcPr>
          <w:p w14:paraId="18E4758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382" w:type="pct"/>
            <w:noWrap w:val="0"/>
            <w:vAlign w:val="center"/>
          </w:tcPr>
          <w:p w14:paraId="25E3884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575" w:type="pct"/>
            <w:noWrap w:val="0"/>
            <w:vAlign w:val="center"/>
          </w:tcPr>
          <w:p w14:paraId="557C4A2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9" w:type="pct"/>
            <w:noWrap w:val="0"/>
            <w:vAlign w:val="center"/>
          </w:tcPr>
          <w:p w14:paraId="74D669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35EA2BB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00A4C2A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720967E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r>
      <w:tr w14:paraId="10A8422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vMerge w:val="continue"/>
            <w:noWrap w:val="0"/>
            <w:vAlign w:val="center"/>
          </w:tcPr>
          <w:p w14:paraId="659B6B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96" w:type="pct"/>
            <w:noWrap w:val="0"/>
            <w:vAlign w:val="center"/>
          </w:tcPr>
          <w:p w14:paraId="6CF1CA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废气排放</w:t>
            </w:r>
          </w:p>
        </w:tc>
        <w:tc>
          <w:tcPr>
            <w:tcW w:w="365" w:type="pct"/>
            <w:noWrap w:val="0"/>
            <w:vAlign w:val="center"/>
          </w:tcPr>
          <w:p w14:paraId="3553E47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-2C</w:t>
            </w:r>
          </w:p>
        </w:tc>
        <w:tc>
          <w:tcPr>
            <w:tcW w:w="353" w:type="pct"/>
            <w:noWrap w:val="0"/>
            <w:vAlign w:val="center"/>
          </w:tcPr>
          <w:p w14:paraId="22EAC33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-1D</w:t>
            </w:r>
          </w:p>
        </w:tc>
        <w:tc>
          <w:tcPr>
            <w:tcW w:w="363" w:type="pct"/>
            <w:noWrap w:val="0"/>
            <w:vAlign w:val="center"/>
          </w:tcPr>
          <w:p w14:paraId="0F9499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3" w:type="pct"/>
            <w:noWrap w:val="0"/>
            <w:vAlign w:val="center"/>
          </w:tcPr>
          <w:p w14:paraId="6D4815D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82" w:type="pct"/>
            <w:noWrap w:val="0"/>
            <w:vAlign w:val="center"/>
          </w:tcPr>
          <w:p w14:paraId="5E93B1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c>
          <w:tcPr>
            <w:tcW w:w="575" w:type="pct"/>
            <w:noWrap w:val="0"/>
            <w:vAlign w:val="center"/>
          </w:tcPr>
          <w:p w14:paraId="7295D2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9" w:type="pct"/>
            <w:noWrap w:val="0"/>
            <w:vAlign w:val="center"/>
          </w:tcPr>
          <w:p w14:paraId="0FA0DD0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3EA07D0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79851F9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0B6605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r>
      <w:tr w14:paraId="0084570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vMerge w:val="continue"/>
            <w:noWrap w:val="0"/>
            <w:vAlign w:val="center"/>
          </w:tcPr>
          <w:p w14:paraId="7D22165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96" w:type="pct"/>
            <w:noWrap w:val="0"/>
            <w:vAlign w:val="center"/>
          </w:tcPr>
          <w:p w14:paraId="5AD4EE4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废水排放</w:t>
            </w:r>
          </w:p>
        </w:tc>
        <w:tc>
          <w:tcPr>
            <w:tcW w:w="365" w:type="pct"/>
            <w:noWrap w:val="0"/>
            <w:vAlign w:val="center"/>
          </w:tcPr>
          <w:p w14:paraId="118BDD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53" w:type="pct"/>
            <w:noWrap w:val="0"/>
            <w:vAlign w:val="center"/>
          </w:tcPr>
          <w:p w14:paraId="3BD579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eastAsia" w:ascii="Times New Roman" w:hAnsi="Times New Roman" w:cs="Times New Roman"/>
                <w:color w:val="000000" w:themeColor="text1"/>
                <w:spacing w:val="-11"/>
                <w:szCs w:val="21"/>
                <w14:textFill>
                  <w14:solidFill>
                    <w14:schemeClr w14:val="tx1"/>
                  </w14:solidFill>
                </w14:textFill>
              </w:rPr>
              <w:t>-1D</w:t>
            </w:r>
          </w:p>
        </w:tc>
        <w:tc>
          <w:tcPr>
            <w:tcW w:w="363" w:type="pct"/>
            <w:noWrap w:val="0"/>
            <w:vAlign w:val="center"/>
          </w:tcPr>
          <w:p w14:paraId="007A39F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373" w:type="pct"/>
            <w:noWrap w:val="0"/>
            <w:vAlign w:val="center"/>
          </w:tcPr>
          <w:p w14:paraId="3B28920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82" w:type="pct"/>
            <w:noWrap w:val="0"/>
            <w:vAlign w:val="center"/>
          </w:tcPr>
          <w:p w14:paraId="15E770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75" w:type="pct"/>
            <w:noWrap w:val="0"/>
            <w:vAlign w:val="center"/>
          </w:tcPr>
          <w:p w14:paraId="7F30BA6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9" w:type="pct"/>
            <w:noWrap w:val="0"/>
            <w:vAlign w:val="center"/>
          </w:tcPr>
          <w:p w14:paraId="4A1ABB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05C710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684FE77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7F90BD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-1D</w:t>
            </w:r>
          </w:p>
        </w:tc>
      </w:tr>
      <w:tr w14:paraId="5FF85B3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vMerge w:val="continue"/>
            <w:noWrap w:val="0"/>
            <w:vAlign w:val="center"/>
          </w:tcPr>
          <w:p w14:paraId="21188C7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96" w:type="pct"/>
            <w:noWrap w:val="0"/>
            <w:vAlign w:val="center"/>
          </w:tcPr>
          <w:p w14:paraId="32224D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噪声排放</w:t>
            </w:r>
          </w:p>
        </w:tc>
        <w:tc>
          <w:tcPr>
            <w:tcW w:w="365" w:type="pct"/>
            <w:noWrap w:val="0"/>
            <w:vAlign w:val="center"/>
          </w:tcPr>
          <w:p w14:paraId="0E1C303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53" w:type="pct"/>
            <w:noWrap w:val="0"/>
            <w:vAlign w:val="center"/>
          </w:tcPr>
          <w:p w14:paraId="22B1FF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355B104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3" w:type="pct"/>
            <w:noWrap w:val="0"/>
            <w:vAlign w:val="center"/>
          </w:tcPr>
          <w:p w14:paraId="4A57BDC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382" w:type="pct"/>
            <w:noWrap w:val="0"/>
            <w:vAlign w:val="center"/>
          </w:tcPr>
          <w:p w14:paraId="1A2A40A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75" w:type="pct"/>
            <w:noWrap w:val="0"/>
            <w:vAlign w:val="center"/>
          </w:tcPr>
          <w:p w14:paraId="2737F5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9" w:type="pct"/>
            <w:noWrap w:val="0"/>
            <w:vAlign w:val="center"/>
          </w:tcPr>
          <w:p w14:paraId="01B09F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2F6B400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2AFDBD8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400" w:type="pct"/>
            <w:noWrap w:val="0"/>
            <w:vAlign w:val="center"/>
          </w:tcPr>
          <w:p w14:paraId="648BDD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r>
      <w:tr w14:paraId="75437F5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vMerge w:val="continue"/>
            <w:noWrap w:val="0"/>
            <w:vAlign w:val="center"/>
          </w:tcPr>
          <w:p w14:paraId="6A2C790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596" w:type="pct"/>
            <w:noWrap w:val="0"/>
            <w:vAlign w:val="center"/>
          </w:tcPr>
          <w:p w14:paraId="5DEA4C1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固废处置</w:t>
            </w:r>
          </w:p>
        </w:tc>
        <w:tc>
          <w:tcPr>
            <w:tcW w:w="365" w:type="pct"/>
            <w:noWrap w:val="0"/>
            <w:vAlign w:val="center"/>
          </w:tcPr>
          <w:p w14:paraId="0F3F7D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353" w:type="pct"/>
            <w:noWrap w:val="0"/>
            <w:vAlign w:val="center"/>
          </w:tcPr>
          <w:p w14:paraId="239A1B2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00DDEE8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373" w:type="pct"/>
            <w:noWrap w:val="0"/>
            <w:vAlign w:val="center"/>
          </w:tcPr>
          <w:p w14:paraId="52741E8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82" w:type="pct"/>
            <w:noWrap w:val="0"/>
            <w:vAlign w:val="center"/>
          </w:tcPr>
          <w:p w14:paraId="52EDC9F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575" w:type="pct"/>
            <w:noWrap w:val="0"/>
            <w:vAlign w:val="center"/>
          </w:tcPr>
          <w:p w14:paraId="3798244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-2C</w:t>
            </w:r>
          </w:p>
        </w:tc>
        <w:tc>
          <w:tcPr>
            <w:tcW w:w="379" w:type="pct"/>
            <w:noWrap w:val="0"/>
            <w:vAlign w:val="center"/>
          </w:tcPr>
          <w:p w14:paraId="6C1B8BA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363" w:type="pct"/>
            <w:noWrap w:val="0"/>
            <w:vAlign w:val="center"/>
          </w:tcPr>
          <w:p w14:paraId="3E25EBF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400" w:type="pct"/>
            <w:noWrap w:val="0"/>
            <w:vAlign w:val="center"/>
          </w:tcPr>
          <w:p w14:paraId="3615E1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6166CD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r>
      <w:tr w14:paraId="77EADDF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7" w:type="pct"/>
            <w:noWrap w:val="0"/>
            <w:vAlign w:val="center"/>
          </w:tcPr>
          <w:p w14:paraId="750FBDE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1"/>
                <w:szCs w:val="21"/>
                <w:lang w:eastAsia="zh-Hans"/>
                <w14:textFill>
                  <w14:solidFill>
                    <w14:schemeClr w14:val="tx1"/>
                  </w14:solidFill>
                </w14:textFill>
              </w:rPr>
            </w:pPr>
            <w:r>
              <w:rPr>
                <w:rFonts w:hint="eastAsia" w:ascii="Times New Roman" w:hAnsi="Times New Roman" w:cs="Times New Roman"/>
                <w:color w:val="000000" w:themeColor="text1"/>
                <w:spacing w:val="-11"/>
                <w:szCs w:val="21"/>
                <w:lang w:eastAsia="zh-Hans"/>
                <w14:textFill>
                  <w14:solidFill>
                    <w14:schemeClr w14:val="tx1"/>
                  </w14:solidFill>
                </w14:textFill>
              </w:rPr>
              <w:t>闭矿期</w:t>
            </w:r>
          </w:p>
        </w:tc>
        <w:tc>
          <w:tcPr>
            <w:tcW w:w="596" w:type="pct"/>
            <w:noWrap w:val="0"/>
            <w:vAlign w:val="center"/>
          </w:tcPr>
          <w:p w14:paraId="002F4A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生态恢复</w:t>
            </w:r>
          </w:p>
        </w:tc>
        <w:tc>
          <w:tcPr>
            <w:tcW w:w="365" w:type="pct"/>
            <w:noWrap w:val="0"/>
            <w:vAlign w:val="center"/>
          </w:tcPr>
          <w:p w14:paraId="7A9A49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53" w:type="pct"/>
            <w:noWrap w:val="0"/>
            <w:vAlign w:val="center"/>
          </w:tcPr>
          <w:p w14:paraId="04B4286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123A552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73" w:type="pct"/>
            <w:noWrap w:val="0"/>
            <w:vAlign w:val="center"/>
          </w:tcPr>
          <w:p w14:paraId="723DD4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82" w:type="pct"/>
            <w:noWrap w:val="0"/>
            <w:vAlign w:val="center"/>
          </w:tcPr>
          <w:p w14:paraId="307FADD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+2C</w:t>
            </w:r>
          </w:p>
        </w:tc>
        <w:tc>
          <w:tcPr>
            <w:tcW w:w="575" w:type="pct"/>
            <w:noWrap w:val="0"/>
            <w:vAlign w:val="center"/>
          </w:tcPr>
          <w:p w14:paraId="2DF56BD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+2C</w:t>
            </w:r>
          </w:p>
        </w:tc>
        <w:tc>
          <w:tcPr>
            <w:tcW w:w="379" w:type="pct"/>
            <w:noWrap w:val="0"/>
            <w:vAlign w:val="center"/>
          </w:tcPr>
          <w:p w14:paraId="309AD31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363" w:type="pct"/>
            <w:noWrap w:val="0"/>
            <w:vAlign w:val="center"/>
          </w:tcPr>
          <w:p w14:paraId="62C65B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c>
          <w:tcPr>
            <w:tcW w:w="400" w:type="pct"/>
            <w:noWrap w:val="0"/>
            <w:vAlign w:val="center"/>
          </w:tcPr>
          <w:p w14:paraId="7CBF77C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+1C</w:t>
            </w:r>
          </w:p>
        </w:tc>
        <w:tc>
          <w:tcPr>
            <w:tcW w:w="400" w:type="pct"/>
            <w:noWrap w:val="0"/>
            <w:vAlign w:val="center"/>
          </w:tcPr>
          <w:p w14:paraId="632792E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1"/>
                <w:szCs w:val="21"/>
                <w14:textFill>
                  <w14:solidFill>
                    <w14:schemeClr w14:val="tx1"/>
                  </w14:solidFill>
                </w14:textFill>
              </w:rPr>
            </w:pPr>
          </w:p>
        </w:tc>
      </w:tr>
      <w:tr w14:paraId="0E8F8C7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12"/>
            <w:noWrap w:val="0"/>
            <w:vAlign w:val="center"/>
          </w:tcPr>
          <w:p w14:paraId="1D791B22">
            <w:pPr>
              <w:keepNext w:val="0"/>
              <w:keepLines w:val="0"/>
              <w:suppressLineNumbers w:val="0"/>
              <w:spacing w:before="0" w:beforeAutospacing="0" w:after="0" w:afterAutospacing="0" w:line="360" w:lineRule="exact"/>
              <w:ind w:left="0" w:right="0"/>
              <w:jc w:val="left"/>
              <w:rPr>
                <w:rFonts w:hint="eastAsia" w:ascii="Times New Roman" w:hAnsi="Times New Roman" w:eastAsia="宋体" w:cs="Times New Roman"/>
                <w:color w:val="000000" w:themeColor="text1"/>
                <w:spacing w:val="-11"/>
                <w:szCs w:val="21"/>
                <w:lang w:eastAsia="zh-CN"/>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备注</w:t>
            </w:r>
            <w:r>
              <w:rPr>
                <w:rFonts w:hint="eastAsia" w:cs="Times New Roman"/>
                <w:color w:val="000000" w:themeColor="text1"/>
                <w:spacing w:val="-11"/>
                <w:szCs w:val="21"/>
                <w:lang w:eastAsia="zh-CN"/>
                <w14:textFill>
                  <w14:solidFill>
                    <w14:schemeClr w14:val="tx1"/>
                  </w14:solidFill>
                </w14:textFill>
              </w:rPr>
              <w:t>：</w:t>
            </w:r>
          </w:p>
          <w:p w14:paraId="46F06B37">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1、表中</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表示有利影响，</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表示不利影响；</w:t>
            </w:r>
          </w:p>
          <w:p w14:paraId="2721A22F">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2、表中数字表示影响的相对程度，</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1</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表示影响较小，</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2</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表示影响中等，</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3</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表示影响较大；</w:t>
            </w:r>
          </w:p>
          <w:p w14:paraId="1680E5B8">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pacing w:val="-11"/>
                <w:szCs w:val="21"/>
                <w14:textFill>
                  <w14:solidFill>
                    <w14:schemeClr w14:val="tx1"/>
                  </w14:solidFill>
                </w14:textFill>
              </w:rPr>
            </w:pPr>
            <w:r>
              <w:rPr>
                <w:rFonts w:hint="default" w:ascii="Times New Roman" w:hAnsi="Times New Roman" w:cs="Times New Roman"/>
                <w:color w:val="000000" w:themeColor="text1"/>
                <w:spacing w:val="-11"/>
                <w:szCs w:val="21"/>
                <w14:textFill>
                  <w14:solidFill>
                    <w14:schemeClr w14:val="tx1"/>
                  </w14:solidFill>
                </w14:textFill>
              </w:rPr>
              <w:t>3、表中</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D</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表示短期影响，</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C</w:t>
            </w:r>
            <w:r>
              <w:rPr>
                <w:rFonts w:hint="eastAsia" w:ascii="Times New Roman" w:hAnsi="Times New Roman" w:cs="Times New Roman"/>
                <w:color w:val="000000" w:themeColor="text1"/>
                <w:spacing w:val="-11"/>
                <w:szCs w:val="21"/>
                <w14:textFill>
                  <w14:solidFill>
                    <w14:schemeClr w14:val="tx1"/>
                  </w14:solidFill>
                </w14:textFill>
              </w:rPr>
              <w:t>”</w:t>
            </w:r>
            <w:r>
              <w:rPr>
                <w:rFonts w:hint="default" w:ascii="Times New Roman" w:hAnsi="Times New Roman" w:cs="Times New Roman"/>
                <w:color w:val="000000" w:themeColor="text1"/>
                <w:spacing w:val="-11"/>
                <w:szCs w:val="21"/>
                <w14:textFill>
                  <w14:solidFill>
                    <w14:schemeClr w14:val="tx1"/>
                  </w14:solidFill>
                </w14:textFill>
              </w:rPr>
              <w:t>表示长期影响。</w:t>
            </w:r>
          </w:p>
        </w:tc>
      </w:tr>
    </w:tbl>
    <w:p w14:paraId="45F165B5">
      <w:pPr>
        <w:pStyle w:val="4"/>
        <w:spacing w:before="60" w:after="60" w:line="480" w:lineRule="exact"/>
        <w:rPr>
          <w:color w:val="000000" w:themeColor="text1"/>
          <w:kern w:val="2"/>
          <w14:textFill>
            <w14:solidFill>
              <w14:schemeClr w14:val="tx1"/>
            </w14:solidFill>
          </w14:textFill>
        </w:rPr>
      </w:pPr>
      <w:bookmarkStart w:id="132" w:name="_Toc8994"/>
      <w:bookmarkStart w:id="133" w:name="_Toc3213"/>
      <w:bookmarkStart w:id="134" w:name="_Toc20392"/>
      <w:bookmarkStart w:id="135" w:name="_Toc1429"/>
      <w:bookmarkStart w:id="136" w:name="_Toc2046946066"/>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.2评价因子筛选</w:t>
      </w:r>
      <w:bookmarkEnd w:id="132"/>
      <w:bookmarkEnd w:id="133"/>
      <w:bookmarkEnd w:id="134"/>
      <w:bookmarkEnd w:id="135"/>
      <w:bookmarkEnd w:id="136"/>
    </w:p>
    <w:p w14:paraId="6BD91B9A">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根据本项目环境影响因素识别、环境影响因子表征和环境影响程度，筛选的评价因子见表2.3-2。</w:t>
      </w:r>
    </w:p>
    <w:p w14:paraId="1A3625BE">
      <w:pPr>
        <w:spacing w:line="480" w:lineRule="exact"/>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 xml:space="preserve">表2.3-2    </w:t>
      </w:r>
      <w:r>
        <w:rPr>
          <w:b/>
          <w:bCs/>
          <w:color w:val="000000" w:themeColor="text1"/>
          <w:sz w:val="24"/>
          <w:szCs w:val="24"/>
          <w14:textFill>
            <w14:solidFill>
              <w14:schemeClr w14:val="tx1"/>
            </w14:solidFill>
          </w14:textFill>
        </w:rPr>
        <w:t>评价因子一览表</w:t>
      </w:r>
    </w:p>
    <w:tbl>
      <w:tblPr>
        <w:tblStyle w:val="79"/>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07"/>
        <w:gridCol w:w="4252"/>
        <w:gridCol w:w="3075"/>
      </w:tblGrid>
      <w:tr w14:paraId="5A7D7E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04" w:type="pct"/>
            <w:noWrap w:val="0"/>
            <w:vAlign w:val="center"/>
          </w:tcPr>
          <w:p w14:paraId="6BCED31C">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b/>
                <w:bCs/>
                <w:color w:val="000000" w:themeColor="text1"/>
                <w:kern w:val="0"/>
                <w14:textFill>
                  <w14:solidFill>
                    <w14:schemeClr w14:val="tx1"/>
                  </w14:solidFill>
                </w14:textFill>
              </w:rPr>
            </w:pPr>
            <w:r>
              <w:rPr>
                <w:rFonts w:hint="default" w:ascii="Times New Roman Regular" w:hAnsi="Times New Roman Regular" w:cs="Times New Roman Regular"/>
                <w:b/>
                <w:bCs/>
                <w:color w:val="000000" w:themeColor="text1"/>
                <w:kern w:val="0"/>
                <w14:textFill>
                  <w14:solidFill>
                    <w14:schemeClr w14:val="tx1"/>
                  </w14:solidFill>
                </w14:textFill>
              </w:rPr>
              <w:t>环境要素</w:t>
            </w:r>
          </w:p>
        </w:tc>
        <w:tc>
          <w:tcPr>
            <w:tcW w:w="2551" w:type="pct"/>
            <w:noWrap w:val="0"/>
            <w:vAlign w:val="center"/>
          </w:tcPr>
          <w:p w14:paraId="34AB4C85">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b/>
                <w:bCs/>
                <w:color w:val="000000" w:themeColor="text1"/>
                <w:kern w:val="0"/>
                <w14:textFill>
                  <w14:solidFill>
                    <w14:schemeClr w14:val="tx1"/>
                  </w14:solidFill>
                </w14:textFill>
              </w:rPr>
            </w:pPr>
            <w:r>
              <w:rPr>
                <w:rFonts w:hint="default" w:ascii="Times New Roman Regular" w:hAnsi="Times New Roman Regular" w:cs="Times New Roman Regular"/>
                <w:b/>
                <w:bCs/>
                <w:color w:val="000000" w:themeColor="text1"/>
                <w:kern w:val="0"/>
                <w14:textFill>
                  <w14:solidFill>
                    <w14:schemeClr w14:val="tx1"/>
                  </w14:solidFill>
                </w14:textFill>
              </w:rPr>
              <w:t>现状评价因子</w:t>
            </w:r>
          </w:p>
        </w:tc>
        <w:tc>
          <w:tcPr>
            <w:tcW w:w="1845" w:type="pct"/>
            <w:noWrap w:val="0"/>
            <w:vAlign w:val="center"/>
          </w:tcPr>
          <w:p w14:paraId="12FC6006">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b/>
                <w:bCs/>
                <w:color w:val="000000" w:themeColor="text1"/>
                <w:kern w:val="0"/>
                <w14:textFill>
                  <w14:solidFill>
                    <w14:schemeClr w14:val="tx1"/>
                  </w14:solidFill>
                </w14:textFill>
              </w:rPr>
            </w:pPr>
            <w:r>
              <w:rPr>
                <w:rFonts w:hint="default" w:ascii="Times New Roman Regular" w:hAnsi="Times New Roman Regular" w:cs="Times New Roman Regular"/>
                <w:b/>
                <w:bCs/>
                <w:color w:val="000000" w:themeColor="text1"/>
                <w:kern w:val="0"/>
                <w14:textFill>
                  <w14:solidFill>
                    <w14:schemeClr w14:val="tx1"/>
                  </w14:solidFill>
                </w14:textFill>
              </w:rPr>
              <w:t>影响评价因子</w:t>
            </w:r>
          </w:p>
        </w:tc>
      </w:tr>
      <w:tr w14:paraId="796992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4" w:type="pct"/>
            <w:noWrap w:val="0"/>
            <w:vAlign w:val="center"/>
          </w:tcPr>
          <w:p w14:paraId="77DBD7D0">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环境空气</w:t>
            </w:r>
          </w:p>
        </w:tc>
        <w:tc>
          <w:tcPr>
            <w:tcW w:w="2551" w:type="pct"/>
            <w:noWrap w:val="0"/>
            <w:vAlign w:val="center"/>
          </w:tcPr>
          <w:p w14:paraId="2DC318FE">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SO</w:t>
            </w:r>
            <w:r>
              <w:rPr>
                <w:rFonts w:hint="default" w:ascii="Times New Roman Regular" w:hAnsi="Times New Roman Regular" w:cs="Times New Roman Regular"/>
                <w:color w:val="000000" w:themeColor="text1"/>
                <w:kern w:val="0"/>
                <w:vertAlign w:val="subscript"/>
                <w14:textFill>
                  <w14:solidFill>
                    <w14:schemeClr w14:val="tx1"/>
                  </w14:solidFill>
                </w14:textFill>
              </w:rPr>
              <w:t>2</w:t>
            </w:r>
            <w:r>
              <w:rPr>
                <w:rFonts w:hint="default" w:ascii="Times New Roman Regular" w:hAnsi="Times New Roman Regular" w:cs="Times New Roman Regular"/>
                <w:color w:val="000000" w:themeColor="text1"/>
                <w:kern w:val="0"/>
                <w14:textFill>
                  <w14:solidFill>
                    <w14:schemeClr w14:val="tx1"/>
                  </w14:solidFill>
                </w14:textFill>
              </w:rPr>
              <w:t>、NO</w:t>
            </w:r>
            <w:r>
              <w:rPr>
                <w:rFonts w:hint="default" w:ascii="Times New Roman Regular" w:hAnsi="Times New Roman Regular" w:cs="Times New Roman Regular"/>
                <w:color w:val="000000" w:themeColor="text1"/>
                <w:kern w:val="0"/>
                <w:vertAlign w:val="subscript"/>
                <w14:textFill>
                  <w14:solidFill>
                    <w14:schemeClr w14:val="tx1"/>
                  </w14:solidFill>
                </w14:textFill>
              </w:rPr>
              <w:t>2</w:t>
            </w:r>
            <w:r>
              <w:rPr>
                <w:rFonts w:hint="default" w:ascii="Times New Roman Regular" w:hAnsi="Times New Roman Regular" w:cs="Times New Roman Regular"/>
                <w:color w:val="000000" w:themeColor="text1"/>
                <w:kern w:val="0"/>
                <w14:textFill>
                  <w14:solidFill>
                    <w14:schemeClr w14:val="tx1"/>
                  </w14:solidFill>
                </w14:textFill>
              </w:rPr>
              <w:t>、PM</w:t>
            </w:r>
            <w:r>
              <w:rPr>
                <w:rFonts w:hint="default" w:ascii="Times New Roman Regular" w:hAnsi="Times New Roman Regular" w:cs="Times New Roman Regular"/>
                <w:color w:val="000000" w:themeColor="text1"/>
                <w:kern w:val="0"/>
                <w:vertAlign w:val="subscript"/>
                <w14:textFill>
                  <w14:solidFill>
                    <w14:schemeClr w14:val="tx1"/>
                  </w14:solidFill>
                </w14:textFill>
              </w:rPr>
              <w:t>10</w:t>
            </w:r>
            <w:r>
              <w:rPr>
                <w:rFonts w:hint="default" w:ascii="Times New Roman Regular" w:hAnsi="Times New Roman Regular" w:cs="Times New Roman Regular"/>
                <w:color w:val="000000" w:themeColor="text1"/>
                <w:kern w:val="0"/>
                <w14:textFill>
                  <w14:solidFill>
                    <w14:schemeClr w14:val="tx1"/>
                  </w14:solidFill>
                </w14:textFill>
              </w:rPr>
              <w:t>、PM</w:t>
            </w:r>
            <w:r>
              <w:rPr>
                <w:rFonts w:hint="default" w:ascii="Times New Roman Regular" w:hAnsi="Times New Roman Regular" w:cs="Times New Roman Regular"/>
                <w:color w:val="000000" w:themeColor="text1"/>
                <w:kern w:val="0"/>
                <w:vertAlign w:val="subscript"/>
                <w14:textFill>
                  <w14:solidFill>
                    <w14:schemeClr w14:val="tx1"/>
                  </w14:solidFill>
                </w14:textFill>
              </w:rPr>
              <w:t>2.5</w:t>
            </w:r>
            <w:r>
              <w:rPr>
                <w:rFonts w:hint="default" w:ascii="Times New Roman Regular" w:hAnsi="Times New Roman Regular" w:cs="Times New Roman Regular"/>
                <w:color w:val="000000" w:themeColor="text1"/>
                <w:kern w:val="0"/>
                <w14:textFill>
                  <w14:solidFill>
                    <w14:schemeClr w14:val="tx1"/>
                  </w14:solidFill>
                </w14:textFill>
              </w:rPr>
              <w:t>、CO、O</w:t>
            </w:r>
            <w:r>
              <w:rPr>
                <w:rFonts w:hint="default" w:ascii="Times New Roman Regular" w:hAnsi="Times New Roman Regular" w:cs="Times New Roman Regular"/>
                <w:color w:val="000000" w:themeColor="text1"/>
                <w:kern w:val="0"/>
                <w:vertAlign w:val="subscript"/>
                <w14:textFill>
                  <w14:solidFill>
                    <w14:schemeClr w14:val="tx1"/>
                  </w14:solidFill>
                </w14:textFill>
              </w:rPr>
              <w:t>3</w:t>
            </w:r>
            <w:r>
              <w:rPr>
                <w:rFonts w:hint="eastAsia" w:ascii="Times New Roman Regular" w:hAnsi="Times New Roman Regular" w:cs="Times New Roman Regular"/>
                <w:color w:val="000000" w:themeColor="text1"/>
                <w:kern w:val="0"/>
                <w14:textFill>
                  <w14:solidFill>
                    <w14:schemeClr w14:val="tx1"/>
                  </w14:solidFill>
                </w14:textFill>
              </w:rPr>
              <w:t>、TSP</w:t>
            </w:r>
          </w:p>
        </w:tc>
        <w:tc>
          <w:tcPr>
            <w:tcW w:w="1845" w:type="pct"/>
            <w:noWrap w:val="0"/>
            <w:vAlign w:val="center"/>
          </w:tcPr>
          <w:p w14:paraId="68A07255">
            <w:pPr>
              <w:keepNext w:val="0"/>
              <w:keepLines w:val="0"/>
              <w:suppressLineNumbers w:val="0"/>
              <w:spacing w:before="0" w:beforeAutospacing="0" w:after="0" w:afterAutospacing="0" w:line="360" w:lineRule="exact"/>
              <w:ind w:left="0" w:right="0"/>
              <w:jc w:val="center"/>
              <w:rPr>
                <w:rFonts w:hint="default" w:ascii="Times New Roman Regular" w:hAnsi="Times New Roman Regular" w:eastAsia="宋体" w:cs="Times New Roman Regular"/>
                <w:color w:val="000000" w:themeColor="text1"/>
                <w:kern w:val="0"/>
                <w:lang w:val="en-US" w:eastAsia="zh-CN"/>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TSP</w:t>
            </w:r>
            <w:r>
              <w:rPr>
                <w:rFonts w:hint="eastAsia" w:ascii="Times New Roman Regular" w:hAnsi="Times New Roman Regular" w:cs="Times New Roman Regular"/>
                <w:color w:val="000000" w:themeColor="text1"/>
                <w:kern w:val="0"/>
                <w:lang w:eastAsia="zh-CN"/>
                <w14:textFill>
                  <w14:solidFill>
                    <w14:schemeClr w14:val="tx1"/>
                  </w14:solidFill>
                </w14:textFill>
              </w:rPr>
              <w:t>、</w:t>
            </w:r>
            <w:r>
              <w:rPr>
                <w:rFonts w:hint="eastAsia" w:ascii="Times New Roman Regular" w:hAnsi="Times New Roman Regular" w:cs="Times New Roman Regular"/>
                <w:color w:val="000000" w:themeColor="text1"/>
                <w:kern w:val="0"/>
                <w:lang w:val="en-US" w:eastAsia="zh-CN"/>
                <w14:textFill>
                  <w14:solidFill>
                    <w14:schemeClr w14:val="tx1"/>
                  </w14:solidFill>
                </w14:textFill>
              </w:rPr>
              <w:t>PM</w:t>
            </w:r>
            <w:r>
              <w:rPr>
                <w:rFonts w:hint="default" w:ascii="Times New Roman Regular" w:hAnsi="Times New Roman Regular" w:cs="Times New Roman Regular"/>
                <w:color w:val="000000" w:themeColor="text1"/>
                <w:kern w:val="0"/>
                <w:vertAlign w:val="subscript"/>
                <w14:textFill>
                  <w14:solidFill>
                    <w14:schemeClr w14:val="tx1"/>
                  </w14:solidFill>
                </w14:textFill>
              </w:rPr>
              <w:t>10</w:t>
            </w:r>
            <w:r>
              <w:rPr>
                <w:rFonts w:hint="eastAsia" w:ascii="Times New Roman Regular" w:hAnsi="Times New Roman Regular" w:cs="Times New Roman Regular"/>
                <w:color w:val="000000" w:themeColor="text1"/>
                <w:kern w:val="0"/>
                <w:vertAlign w:val="baseline"/>
                <w:lang w:val="en-US" w:eastAsia="zh-CN"/>
                <w14:textFill>
                  <w14:solidFill>
                    <w14:schemeClr w14:val="tx1"/>
                  </w14:solidFill>
                </w14:textFill>
              </w:rPr>
              <w:t>、SO</w:t>
            </w:r>
            <w:r>
              <w:rPr>
                <w:rFonts w:hint="eastAsia" w:ascii="Times New Roman Regular" w:hAnsi="Times New Roman Regular" w:cs="Times New Roman Regular"/>
                <w:color w:val="000000" w:themeColor="text1"/>
                <w:kern w:val="0"/>
                <w:vertAlign w:val="subscript"/>
                <w:lang w:val="en-US" w:eastAsia="zh-CN"/>
                <w14:textFill>
                  <w14:solidFill>
                    <w14:schemeClr w14:val="tx1"/>
                  </w14:solidFill>
                </w14:textFill>
              </w:rPr>
              <w:t>2</w:t>
            </w:r>
            <w:r>
              <w:rPr>
                <w:rFonts w:hint="eastAsia" w:ascii="Times New Roman Regular" w:hAnsi="Times New Roman Regular" w:cs="Times New Roman Regular"/>
                <w:color w:val="000000" w:themeColor="text1"/>
                <w:kern w:val="0"/>
                <w:vertAlign w:val="baseline"/>
                <w:lang w:val="en-US" w:eastAsia="zh-CN"/>
                <w14:textFill>
                  <w14:solidFill>
                    <w14:schemeClr w14:val="tx1"/>
                  </w14:solidFill>
                </w14:textFill>
              </w:rPr>
              <w:t>、NO</w:t>
            </w:r>
            <w:r>
              <w:rPr>
                <w:rFonts w:hint="eastAsia" w:ascii="Times New Roman Regular" w:hAnsi="Times New Roman Regular" w:cs="Times New Roman Regular"/>
                <w:color w:val="000000" w:themeColor="text1"/>
                <w:kern w:val="0"/>
                <w:vertAlign w:val="subscript"/>
                <w:lang w:val="en-US" w:eastAsia="zh-CN"/>
                <w14:textFill>
                  <w14:solidFill>
                    <w14:schemeClr w14:val="tx1"/>
                  </w14:solidFill>
                </w14:textFill>
              </w:rPr>
              <w:t>X</w:t>
            </w:r>
          </w:p>
        </w:tc>
      </w:tr>
      <w:tr w14:paraId="13102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4" w:type="pct"/>
            <w:noWrap w:val="0"/>
            <w:vAlign w:val="center"/>
          </w:tcPr>
          <w:p w14:paraId="536DF362">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lang w:eastAsia="zh-Hans"/>
                <w14:textFill>
                  <w14:solidFill>
                    <w14:schemeClr w14:val="tx1"/>
                  </w14:solidFill>
                </w14:textFill>
              </w:rPr>
            </w:pPr>
            <w:r>
              <w:rPr>
                <w:rFonts w:hint="default" w:ascii="Times New Roman Regular" w:hAnsi="Times New Roman Regular" w:cs="Times New Roman Regular"/>
                <w:color w:val="000000" w:themeColor="text1"/>
                <w:kern w:val="0"/>
                <w:lang w:eastAsia="zh-Hans"/>
                <w14:textFill>
                  <w14:solidFill>
                    <w14:schemeClr w14:val="tx1"/>
                  </w14:solidFill>
                </w14:textFill>
              </w:rPr>
              <w:t>地表水环境</w:t>
            </w:r>
          </w:p>
        </w:tc>
        <w:tc>
          <w:tcPr>
            <w:tcW w:w="2551" w:type="pct"/>
            <w:noWrap w:val="0"/>
            <w:vAlign w:val="center"/>
          </w:tcPr>
          <w:p w14:paraId="206329A4">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pH值、溶解氧、氨氮、总氮、总磷、化学需氧量、BOD</w:t>
            </w:r>
            <w:r>
              <w:rPr>
                <w:rFonts w:hint="default" w:ascii="Times New Roman Regular" w:hAnsi="Times New Roman Regular" w:cs="Times New Roman Regular"/>
                <w:color w:val="000000" w:themeColor="text1"/>
                <w:kern w:val="0"/>
                <w:vertAlign w:val="subscript"/>
                <w14:textFill>
                  <w14:solidFill>
                    <w14:schemeClr w14:val="tx1"/>
                  </w14:solidFill>
                </w14:textFill>
              </w:rPr>
              <w:t>5</w:t>
            </w:r>
            <w:r>
              <w:rPr>
                <w:rFonts w:hint="default" w:ascii="Times New Roman Regular" w:hAnsi="Times New Roman Regular" w:cs="Times New Roman Regular"/>
                <w:color w:val="000000" w:themeColor="text1"/>
                <w:kern w:val="0"/>
                <w14:textFill>
                  <w14:solidFill>
                    <w14:schemeClr w14:val="tx1"/>
                  </w14:solidFill>
                </w14:textFill>
              </w:rPr>
              <w:t>、高锰酸盐指数、阴离子表面活性剂、氟化物、氯化物、硝酸盐、硫酸盐、六价铬、氰化物、挥发酚、硫化物、石油类、粪大肠菌群、汞、砷、硒、铅、镉、铜、锌</w:t>
            </w:r>
          </w:p>
        </w:tc>
        <w:tc>
          <w:tcPr>
            <w:tcW w:w="1845" w:type="pct"/>
            <w:noWrap w:val="0"/>
            <w:vAlign w:val="center"/>
          </w:tcPr>
          <w:p w14:paraId="2294151A">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lang w:eastAsia="zh-Hans"/>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COD、BOD</w:t>
            </w:r>
            <w:r>
              <w:rPr>
                <w:rFonts w:hint="eastAsia" w:ascii="Times New Roman" w:hAnsi="Times New Roman" w:cs="Times New Roman"/>
                <w:color w:val="000000" w:themeColor="text1"/>
                <w:szCs w:val="21"/>
                <w:vertAlign w:val="subscript"/>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、SS、氨氮</w:t>
            </w:r>
          </w:p>
        </w:tc>
      </w:tr>
      <w:tr w14:paraId="751814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4" w:type="pct"/>
            <w:noWrap w:val="0"/>
            <w:vAlign w:val="center"/>
          </w:tcPr>
          <w:p w14:paraId="1FAC63B9">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地下水环境</w:t>
            </w:r>
          </w:p>
        </w:tc>
        <w:tc>
          <w:tcPr>
            <w:tcW w:w="2551" w:type="pct"/>
            <w:noWrap w:val="0"/>
            <w:vAlign w:val="center"/>
          </w:tcPr>
          <w:p w14:paraId="39C96E45">
            <w:pPr>
              <w:pStyle w:val="679"/>
              <w:keepNext w:val="0"/>
              <w:keepLines w:val="0"/>
              <w:suppressLineNumbers w:val="0"/>
              <w:spacing w:before="0" w:beforeAutospacing="0" w:after="0" w:afterAutospacing="0" w:line="360" w:lineRule="exact"/>
              <w:ind w:left="0" w:right="0"/>
              <w:jc w:val="center"/>
              <w:rPr>
                <w:rFonts w:hint="eastAsia" w:ascii="Times New Roman Regular" w:hAnsi="Times New Roman Regular" w:cs="Times New Roman Regular"/>
                <w:color w:val="000000" w:themeColor="text1"/>
                <w:sz w:val="21"/>
                <w:szCs w:val="21"/>
                <w14:textFill>
                  <w14:solidFill>
                    <w14:schemeClr w14:val="tx1"/>
                  </w14:solidFill>
                </w14:textFill>
              </w:rPr>
            </w:pPr>
            <w:r>
              <w:rPr>
                <w:rFonts w:hint="default" w:ascii="Times New Roman Regular" w:hAnsi="Times New Roman Regular" w:cs="Times New Roman Regular"/>
                <w:color w:val="000000" w:themeColor="text1"/>
                <w:sz w:val="21"/>
                <w:szCs w:val="21"/>
                <w14:textFill>
                  <w14:solidFill>
                    <w14:schemeClr w14:val="tx1"/>
                  </w14:solidFill>
                </w14:textFill>
              </w:rPr>
              <w:t>pH值、</w:t>
            </w:r>
            <w:r>
              <w:rPr>
                <w:rFonts w:hint="eastAsia" w:ascii="Times New Roman Regular" w:hAnsi="Times New Roman Regular" w:cs="Times New Roman Regular"/>
                <w:color w:val="000000" w:themeColor="text1"/>
                <w:sz w:val="21"/>
                <w:szCs w:val="21"/>
                <w14:textFill>
                  <w14:solidFill>
                    <w14:schemeClr w14:val="tx1"/>
                  </w14:solidFill>
                </w14:textFill>
              </w:rPr>
              <w:t>高锰酸盐指数、氟化物、氯化物、硝酸盐、硫酸盐、亚硝酸盐、总硬度、溶解性总固体、氨氮、六价铬、挥发酚、氰化物、铁、锰、铅、镉、总大肠菌群、细菌总数、汞、砷、钾、钠、钙、镁、碳酸盐、重碳酸盐</w:t>
            </w:r>
          </w:p>
        </w:tc>
        <w:tc>
          <w:tcPr>
            <w:tcW w:w="1845" w:type="pct"/>
            <w:noWrap w:val="0"/>
            <w:vAlign w:val="center"/>
          </w:tcPr>
          <w:p w14:paraId="5B6AFE7B">
            <w:pPr>
              <w:keepNext w:val="0"/>
              <w:keepLines w:val="0"/>
              <w:suppressLineNumbers w:val="0"/>
              <w:spacing w:before="0" w:beforeAutospacing="0" w:after="0" w:afterAutospacing="0" w:line="360" w:lineRule="exact"/>
              <w:ind w:left="0" w:right="0"/>
              <w:jc w:val="center"/>
              <w:rPr>
                <w:rFonts w:hint="eastAsia" w:ascii="Times New Roman Regular" w:hAnsi="Times New Roman Regular" w:eastAsia="宋体" w:cs="Times New Roman Regular"/>
                <w:color w:val="000000" w:themeColor="text1"/>
                <w:kern w:val="0"/>
                <w:lang w:eastAsia="zh-CN"/>
                <w14:textFill>
                  <w14:solidFill>
                    <w14:schemeClr w14:val="tx1"/>
                  </w14:solidFill>
                </w14:textFill>
              </w:rPr>
            </w:pPr>
            <w:r>
              <w:rPr>
                <w:rFonts w:hint="eastAsia" w:ascii="Times New Roman Regular" w:hAnsi="Times New Roman Regular" w:cs="Times New Roman Regular"/>
                <w:color w:val="000000" w:themeColor="text1"/>
                <w:sz w:val="21"/>
                <w:szCs w:val="21"/>
                <w:lang w:val="en-US" w:eastAsia="zh-CN"/>
                <w14:textFill>
                  <w14:solidFill>
                    <w14:schemeClr w14:val="tx1"/>
                  </w14:solidFill>
                </w14:textFill>
              </w:rPr>
              <w:t>砷</w:t>
            </w:r>
          </w:p>
        </w:tc>
      </w:tr>
      <w:tr w14:paraId="6398D7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4" w:type="pct"/>
            <w:noWrap w:val="0"/>
            <w:vAlign w:val="center"/>
          </w:tcPr>
          <w:p w14:paraId="01C86657">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声环境</w:t>
            </w:r>
          </w:p>
        </w:tc>
        <w:tc>
          <w:tcPr>
            <w:tcW w:w="2551" w:type="pct"/>
            <w:noWrap w:val="0"/>
            <w:vAlign w:val="center"/>
          </w:tcPr>
          <w:p w14:paraId="2247DA89">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等效连续A声级</w:t>
            </w:r>
          </w:p>
        </w:tc>
        <w:tc>
          <w:tcPr>
            <w:tcW w:w="1845" w:type="pct"/>
            <w:noWrap w:val="0"/>
            <w:vAlign w:val="center"/>
          </w:tcPr>
          <w:p w14:paraId="19E8CA28">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等效连续A声级</w:t>
            </w:r>
          </w:p>
        </w:tc>
      </w:tr>
      <w:tr w14:paraId="51DAF6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4" w:type="pct"/>
            <w:noWrap w:val="0"/>
            <w:vAlign w:val="center"/>
          </w:tcPr>
          <w:p w14:paraId="0CC182CB">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固体废物</w:t>
            </w:r>
          </w:p>
        </w:tc>
        <w:tc>
          <w:tcPr>
            <w:tcW w:w="2551" w:type="pct"/>
            <w:noWrap w:val="0"/>
            <w:vAlign w:val="center"/>
          </w:tcPr>
          <w:p w14:paraId="26B47933">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采矿废石、生活垃圾、</w:t>
            </w:r>
            <w:r>
              <w:rPr>
                <w:rFonts w:hint="eastAsia" w:ascii="Times New Roman Regular" w:hAnsi="Times New Roman Regular" w:cs="Times New Roman Regular"/>
                <w:color w:val="000000" w:themeColor="text1"/>
                <w:kern w:val="0"/>
                <w:lang w:val="en-US" w:eastAsia="zh-CN"/>
                <w14:textFill>
                  <w14:solidFill>
                    <w14:schemeClr w14:val="tx1"/>
                  </w14:solidFill>
                </w14:textFill>
              </w:rPr>
              <w:t>废矿物油、废油桶</w:t>
            </w:r>
            <w:r>
              <w:rPr>
                <w:rFonts w:hint="eastAsia" w:ascii="Times New Roman Regular" w:hAnsi="Times New Roman Regular" w:cs="Times New Roman Regular"/>
                <w:color w:val="000000" w:themeColor="text1"/>
                <w:kern w:val="0"/>
                <w14:textFill>
                  <w14:solidFill>
                    <w14:schemeClr w14:val="tx1"/>
                  </w14:solidFill>
                </w14:textFill>
              </w:rPr>
              <w:t>等</w:t>
            </w:r>
          </w:p>
        </w:tc>
        <w:tc>
          <w:tcPr>
            <w:tcW w:w="1845" w:type="pct"/>
            <w:noWrap w:val="0"/>
            <w:vAlign w:val="center"/>
          </w:tcPr>
          <w:p w14:paraId="11D6AA33">
            <w:pPr>
              <w:keepNext w:val="0"/>
              <w:keepLines w:val="0"/>
              <w:suppressLineNumbers w:val="0"/>
              <w:spacing w:before="0" w:beforeAutospacing="0" w:after="0" w:afterAutospacing="0" w:line="360" w:lineRule="exact"/>
              <w:ind w:left="0" w:right="0"/>
              <w:jc w:val="center"/>
              <w:rPr>
                <w:rFonts w:hint="eastAsia"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采矿废石、生活垃圾、</w:t>
            </w:r>
            <w:r>
              <w:rPr>
                <w:rFonts w:hint="eastAsia" w:ascii="Times New Roman Regular" w:hAnsi="Times New Roman Regular" w:cs="Times New Roman Regular"/>
                <w:color w:val="000000" w:themeColor="text1"/>
                <w:kern w:val="0"/>
                <w:lang w:val="en-US" w:eastAsia="zh-CN"/>
                <w14:textFill>
                  <w14:solidFill>
                    <w14:schemeClr w14:val="tx1"/>
                  </w14:solidFill>
                </w14:textFill>
              </w:rPr>
              <w:t>废矿物油、废油桶</w:t>
            </w:r>
            <w:r>
              <w:rPr>
                <w:rFonts w:hint="eastAsia" w:ascii="Times New Roman Regular" w:hAnsi="Times New Roman Regular" w:cs="Times New Roman Regular"/>
                <w:color w:val="000000" w:themeColor="text1"/>
                <w:kern w:val="0"/>
                <w14:textFill>
                  <w14:solidFill>
                    <w14:schemeClr w14:val="tx1"/>
                  </w14:solidFill>
                </w14:textFill>
              </w:rPr>
              <w:t>等</w:t>
            </w:r>
          </w:p>
        </w:tc>
      </w:tr>
      <w:tr w14:paraId="30007D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4" w:type="pct"/>
            <w:noWrap w:val="0"/>
            <w:vAlign w:val="center"/>
          </w:tcPr>
          <w:p w14:paraId="27A58B3F">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土壤环境</w:t>
            </w:r>
          </w:p>
        </w:tc>
        <w:tc>
          <w:tcPr>
            <w:tcW w:w="2551" w:type="pct"/>
            <w:noWrap w:val="0"/>
            <w:vAlign w:val="center"/>
          </w:tcPr>
          <w:p w14:paraId="6F530B3B">
            <w:pPr>
              <w:keepNext w:val="0"/>
              <w:keepLines w:val="0"/>
              <w:suppressLineNumbers w:val="0"/>
              <w:spacing w:before="0" w:beforeAutospacing="0" w:after="0" w:afterAutospacing="0" w:line="360" w:lineRule="exact"/>
              <w:ind w:left="0" w:right="0"/>
              <w:jc w:val="center"/>
              <w:rPr>
                <w:rFonts w:hint="eastAsia" w:ascii="Times New Roman Regular" w:hAnsi="Times New Roman Regular" w:eastAsia="宋体" w:cs="Times New Roman Regular"/>
                <w:color w:val="000000" w:themeColor="text1"/>
                <w:kern w:val="0"/>
                <w:lang w:val="en-US" w:eastAsia="zh-CN"/>
                <w14:textFill>
                  <w14:solidFill>
                    <w14:schemeClr w14:val="tx1"/>
                  </w14:solidFill>
                </w14:textFill>
              </w:rPr>
            </w:pPr>
            <w:r>
              <w:rPr>
                <w:rFonts w:hint="default" w:ascii="Times New Roman Regular" w:hAnsi="Times New Roman Regular" w:cs="Times New Roman Regular"/>
                <w:color w:val="000000" w:themeColor="text1"/>
                <w:szCs w:val="21"/>
                <w:lang w:bidi="ar"/>
                <w14:textFill>
                  <w14:solidFill>
                    <w14:schemeClr w14:val="tx1"/>
                  </w14:solidFill>
                </w14:textFill>
              </w:rPr>
              <w:t>pH、</w:t>
            </w:r>
            <w:r>
              <w:rPr>
                <w:rFonts w:hint="eastAsia" w:ascii="Times New Roman Regular" w:hAnsi="Times New Roman Regular" w:cs="Times New Roman Regular"/>
                <w:color w:val="000000" w:themeColor="text1"/>
                <w:szCs w:val="21"/>
                <w:lang w:bidi="ar"/>
                <w14:textFill>
                  <w14:solidFill>
                    <w14:schemeClr w14:val="tx1"/>
                  </w14:solidFill>
                </w14:textFill>
              </w:rPr>
              <w:t>含盐量</w:t>
            </w:r>
            <w:r>
              <w:rPr>
                <w:rFonts w:hint="default" w:ascii="Times New Roman Regular" w:hAnsi="Times New Roman Regular" w:cs="Times New Roman Regular"/>
                <w:color w:val="000000" w:themeColor="text1"/>
                <w:szCs w:val="21"/>
                <w:lang w:bidi="ar"/>
                <w14:textFill>
                  <w14:solidFill>
                    <w14:schemeClr w14:val="tx1"/>
                  </w14:solidFill>
                </w14:textFill>
              </w:rPr>
              <w:t>、</w:t>
            </w:r>
            <w:r>
              <w:rPr>
                <w:rFonts w:hint="default" w:ascii="Times New Roman Regular" w:hAnsi="Times New Roman Regular" w:cs="Times New Roman Regular"/>
                <w:color w:val="000000" w:themeColor="text1"/>
                <w:szCs w:val="21"/>
                <w:lang w:val="zh-CN" w:bidi="ar"/>
                <w14:textFill>
                  <w14:solidFill>
                    <w14:schemeClr w14:val="tx1"/>
                  </w14:solidFill>
                </w14:textFill>
              </w:rPr>
              <w:t>砷、镉、铬（六价）、铜、铅、汞、镍、四氯化碳、氯仿、氯甲烷、1，1-二氯乙烷、1.2-二氯乙烷、1，1-二氯乙烯、顺-1，2-二氯乙烯、反-1.2-二氯乙烯、二氯乙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锑、铍、钴、甲基汞、钒、氰化物</w:t>
            </w:r>
            <w:r>
              <w:rPr>
                <w:rFonts w:hint="eastAsia" w:ascii="Times New Roman Regular" w:hAnsi="Times New Roman Regular" w:cs="Times New Roman Regular"/>
                <w:color w:val="000000" w:themeColor="text1"/>
                <w:szCs w:val="21"/>
                <w:lang w:val="zh-CN" w:bidi="ar"/>
                <w14:textFill>
                  <w14:solidFill>
                    <w14:schemeClr w14:val="tx1"/>
                  </w14:solidFill>
                </w14:textFill>
              </w:rPr>
              <w:t>、</w:t>
            </w:r>
            <w:r>
              <w:rPr>
                <w:rFonts w:hint="eastAsia" w:ascii="Times New Roman Regular" w:hAnsi="Times New Roman Regular" w:cs="Times New Roman Regular"/>
                <w:color w:val="000000" w:themeColor="text1"/>
                <w:szCs w:val="21"/>
                <w:lang w:val="en-US" w:eastAsia="zh-CN" w:bidi="ar"/>
                <w14:textFill>
                  <w14:solidFill>
                    <w14:schemeClr w14:val="tx1"/>
                  </w14:solidFill>
                </w14:textFill>
              </w:rPr>
              <w:t>石油烃</w:t>
            </w:r>
          </w:p>
        </w:tc>
        <w:tc>
          <w:tcPr>
            <w:tcW w:w="1845" w:type="pct"/>
            <w:noWrap w:val="0"/>
            <w:vAlign w:val="center"/>
          </w:tcPr>
          <w:p w14:paraId="12A48DF3">
            <w:pPr>
              <w:keepNext w:val="0"/>
              <w:keepLines w:val="0"/>
              <w:suppressLineNumbers w:val="0"/>
              <w:spacing w:before="0" w:beforeAutospacing="0" w:after="0" w:afterAutospacing="0" w:line="360" w:lineRule="exact"/>
              <w:ind w:left="0" w:right="0"/>
              <w:jc w:val="center"/>
              <w:rPr>
                <w:rFonts w:hint="eastAsia" w:ascii="Times New Roman Regular" w:hAnsi="Times New Roman Regular" w:eastAsia="宋体" w:cs="Times New Roman Regular"/>
                <w:color w:val="000000" w:themeColor="text1"/>
                <w:lang w:val="en-US" w:eastAsia="zh-CN"/>
                <w14:textFill>
                  <w14:solidFill>
                    <w14:schemeClr w14:val="tx1"/>
                  </w14:solidFill>
                </w14:textFill>
              </w:rPr>
            </w:pPr>
            <w:r>
              <w:rPr>
                <w:rFonts w:hint="default" w:ascii="Times New Roman Regular" w:hAnsi="Times New Roman Regular" w:cs="Times New Roman Regular"/>
                <w:color w:val="000000" w:themeColor="text1"/>
                <w14:textFill>
                  <w14:solidFill>
                    <w14:schemeClr w14:val="tx1"/>
                  </w14:solidFill>
                </w14:textFill>
              </w:rPr>
              <w:t>pH、</w:t>
            </w:r>
            <w:r>
              <w:rPr>
                <w:rFonts w:hint="default" w:ascii="Times New Roman" w:hAnsi="Times New Roman" w:cs="Times New Roman"/>
                <w:color w:val="000000" w:themeColor="text1"/>
                <w14:textFill>
                  <w14:solidFill>
                    <w14:schemeClr w14:val="tx1"/>
                  </w14:solidFill>
                </w14:textFill>
              </w:rPr>
              <w:t>全盐</w:t>
            </w:r>
            <w:r>
              <w:rPr>
                <w:rFonts w:hint="eastAsia" w:ascii="Times New Roman" w:hAnsi="Times New Roman" w:cs="Times New Roman"/>
                <w:color w:val="000000" w:themeColor="text1"/>
                <w14:textFill>
                  <w14:solidFill>
                    <w14:schemeClr w14:val="tx1"/>
                  </w14:solidFill>
                </w14:textFill>
              </w:rPr>
              <w:t>量、</w:t>
            </w:r>
            <w:r>
              <w:rPr>
                <w:rFonts w:hint="eastAsia" w:cs="Times New Roman"/>
                <w:color w:val="000000" w:themeColor="text1"/>
                <w:kern w:val="0"/>
                <w:lang w:val="en-US" w:eastAsia="zh-CN"/>
                <w14:textFill>
                  <w14:solidFill>
                    <w14:schemeClr w14:val="tx1"/>
                  </w14:solidFill>
                </w14:textFill>
              </w:rPr>
              <w:t>砷</w:t>
            </w:r>
          </w:p>
        </w:tc>
      </w:tr>
      <w:tr w14:paraId="6CCA6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4" w:type="pct"/>
            <w:noWrap w:val="0"/>
            <w:vAlign w:val="center"/>
          </w:tcPr>
          <w:p w14:paraId="650E0FBE">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生态环境</w:t>
            </w:r>
          </w:p>
        </w:tc>
        <w:tc>
          <w:tcPr>
            <w:tcW w:w="4252" w:type="dxa"/>
            <w:noWrap w:val="0"/>
            <w:vAlign w:val="center"/>
          </w:tcPr>
          <w:p w14:paraId="4450F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Regular" w:hAnsi="Times New Roman Regular" w:cs="Times New Roman Regular"/>
                <w:color w:val="000000" w:themeColor="text1"/>
                <w:kern w:val="0"/>
                <w14:textFill>
                  <w14:solidFill>
                    <w14:schemeClr w14:val="tx1"/>
                  </w14:solidFill>
                </w14:textFill>
              </w:rPr>
            </w:pPr>
            <w:r>
              <w:rPr>
                <w:rFonts w:hint="default" w:ascii="Times New Roman" w:hAnsi="Times New Roman" w:eastAsia="宋体" w:cs="Times New Roman"/>
                <w:color w:val="000000" w:themeColor="text1"/>
                <w:szCs w:val="21"/>
                <w:lang w:val="zh-CN" w:bidi="ar"/>
                <w14:textFill>
                  <w14:solidFill>
                    <w14:schemeClr w14:val="tx1"/>
                  </w14:solidFill>
                </w14:textFill>
              </w:rPr>
              <w:t>植</w:t>
            </w: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被类型</w:t>
            </w:r>
            <w:r>
              <w:rPr>
                <w:rFonts w:hint="default" w:ascii="Times New Roman" w:hAnsi="Times New Roman" w:eastAsia="宋体" w:cs="Times New Roman"/>
                <w:color w:val="000000" w:themeColor="text1"/>
                <w:szCs w:val="21"/>
                <w:lang w:val="zh-CN" w:bidi="ar"/>
                <w14:textFill>
                  <w14:solidFill>
                    <w14:schemeClr w14:val="tx1"/>
                  </w14:solidFill>
                </w14:textFill>
              </w:rPr>
              <w:t>、土壤类型、土地利用现状、</w:t>
            </w:r>
            <w:r>
              <w:rPr>
                <w:rFonts w:hint="default" w:ascii="Times New Roman" w:hAnsi="Times New Roman" w:eastAsia="宋体" w:cs="Times New Roman"/>
                <w:color w:val="000000" w:themeColor="text1"/>
                <w:szCs w:val="21"/>
                <w:lang w:val="en-US" w:eastAsia="zh-CN" w:bidi="ar"/>
                <w14:textFill>
                  <w14:solidFill>
                    <w14:schemeClr w14:val="tx1"/>
                  </w14:solidFill>
                </w14:textFill>
              </w:rPr>
              <w:t>水土流失现状、地表塌陷现状</w:t>
            </w:r>
          </w:p>
        </w:tc>
        <w:tc>
          <w:tcPr>
            <w:tcW w:w="3075" w:type="dxa"/>
            <w:noWrap w:val="0"/>
            <w:vAlign w:val="center"/>
          </w:tcPr>
          <w:p w14:paraId="3A8DC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Regular" w:hAnsi="Times New Roman Regular" w:cs="Times New Roman Regular"/>
                <w:color w:val="000000" w:themeColor="text1"/>
                <w:kern w:val="0"/>
                <w14:textFill>
                  <w14:solidFill>
                    <w14:schemeClr w14:val="tx1"/>
                  </w14:solidFill>
                </w14:textFill>
              </w:rPr>
            </w:pPr>
            <w:r>
              <w:rPr>
                <w:rFonts w:hint="default" w:ascii="Times New Roman" w:hAnsi="Times New Roman" w:eastAsia="宋体" w:cs="Times New Roman"/>
                <w:color w:val="000000" w:themeColor="text1"/>
                <w:szCs w:val="21"/>
                <w:lang w:val="zh-CN" w:bidi="ar"/>
                <w14:textFill>
                  <w14:solidFill>
                    <w14:schemeClr w14:val="tx1"/>
                  </w14:solidFill>
                </w14:textFill>
              </w:rPr>
              <w:t>植被破坏、土地硬化、水土流失、</w:t>
            </w:r>
            <w:r>
              <w:rPr>
                <w:rFonts w:hint="default" w:ascii="Times New Roman" w:hAnsi="Times New Roman" w:eastAsia="宋体" w:cs="Times New Roman"/>
                <w:color w:val="000000" w:themeColor="text1"/>
                <w:szCs w:val="21"/>
                <w:lang w:val="en-US" w:eastAsia="zh-CN" w:bidi="ar"/>
                <w14:textFill>
                  <w14:solidFill>
                    <w14:schemeClr w14:val="tx1"/>
                  </w14:solidFill>
                </w14:textFill>
              </w:rPr>
              <w:t>地表塌陷</w:t>
            </w:r>
            <w:r>
              <w:rPr>
                <w:rFonts w:hint="eastAsia" w:ascii="Times New Roman" w:hAnsi="Times New Roman" w:eastAsia="宋体" w:cs="Times New Roman"/>
                <w:color w:val="000000" w:themeColor="text1"/>
                <w:szCs w:val="21"/>
                <w:lang w:val="en-US" w:eastAsia="zh-CN" w:bidi="ar"/>
                <w14:textFill>
                  <w14:solidFill>
                    <w14:schemeClr w14:val="tx1"/>
                  </w14:solidFill>
                </w14:textFill>
              </w:rPr>
              <w:t>、地表错动</w:t>
            </w:r>
            <w:r>
              <w:rPr>
                <w:rFonts w:hint="default" w:ascii="Times New Roman" w:hAnsi="Times New Roman" w:eastAsia="宋体" w:cs="Times New Roman"/>
                <w:color w:val="000000" w:themeColor="text1"/>
                <w:szCs w:val="21"/>
                <w:lang w:val="zh-CN" w:bidi="ar"/>
                <w14:textFill>
                  <w14:solidFill>
                    <w14:schemeClr w14:val="tx1"/>
                  </w14:solidFill>
                </w14:textFill>
              </w:rPr>
              <w:t>等</w:t>
            </w:r>
          </w:p>
        </w:tc>
      </w:tr>
      <w:tr w14:paraId="45F710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4" w:type="pct"/>
            <w:noWrap w:val="0"/>
            <w:vAlign w:val="center"/>
          </w:tcPr>
          <w:p w14:paraId="5DF830C8">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环境风险</w:t>
            </w:r>
          </w:p>
        </w:tc>
        <w:tc>
          <w:tcPr>
            <w:tcW w:w="2551" w:type="pct"/>
            <w:noWrap w:val="0"/>
            <w:vAlign w:val="center"/>
          </w:tcPr>
          <w:p w14:paraId="42DCC962">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default" w:ascii="Times New Roman Regular" w:hAnsi="Times New Roman Regular" w:cs="Times New Roman Regular"/>
                <w:color w:val="000000" w:themeColor="text1"/>
                <w:kern w:val="0"/>
                <w14:textFill>
                  <w14:solidFill>
                    <w14:schemeClr w14:val="tx1"/>
                  </w14:solidFill>
                </w14:textFill>
              </w:rPr>
              <w:t>/</w:t>
            </w:r>
          </w:p>
        </w:tc>
        <w:tc>
          <w:tcPr>
            <w:tcW w:w="1845" w:type="pct"/>
            <w:noWrap w:val="0"/>
            <w:vAlign w:val="center"/>
          </w:tcPr>
          <w:p w14:paraId="623361BC">
            <w:pPr>
              <w:keepNext w:val="0"/>
              <w:keepLines w:val="0"/>
              <w:suppressLineNumbers w:val="0"/>
              <w:spacing w:before="0" w:beforeAutospacing="0" w:after="0" w:afterAutospacing="0" w:line="360" w:lineRule="exact"/>
              <w:ind w:left="0" w:right="0"/>
              <w:jc w:val="center"/>
              <w:rPr>
                <w:rFonts w:hint="default" w:ascii="Times New Roman Regular" w:hAnsi="Times New Roman Regular" w:cs="Times New Roman Regular"/>
                <w:color w:val="000000" w:themeColor="text1"/>
                <w:kern w:val="0"/>
                <w14:textFill>
                  <w14:solidFill>
                    <w14:schemeClr w14:val="tx1"/>
                  </w14:solidFill>
                </w14:textFill>
              </w:rPr>
            </w:pPr>
            <w:r>
              <w:rPr>
                <w:rFonts w:hint="eastAsia" w:ascii="Times New Roman Regular" w:hAnsi="Times New Roman Regular" w:cs="Times New Roman Regular"/>
                <w:color w:val="000000" w:themeColor="text1"/>
                <w:kern w:val="0"/>
                <w14:textFill>
                  <w14:solidFill>
                    <w14:schemeClr w14:val="tx1"/>
                  </w14:solidFill>
                </w14:textFill>
              </w:rPr>
              <w:t>爆破器材库火灾爆炸产生的伴生/次生污染物排放、</w:t>
            </w:r>
            <w:r>
              <w:rPr>
                <w:rFonts w:hint="eastAsia" w:ascii="Times New Roman Regular" w:hAnsi="Times New Roman Regular" w:cs="Times New Roman Regular"/>
                <w:color w:val="000000" w:themeColor="text1"/>
                <w:kern w:val="0"/>
                <w:lang w:eastAsia="zh-CN"/>
                <w14:textFill>
                  <w14:solidFill>
                    <w14:schemeClr w14:val="tx1"/>
                  </w14:solidFill>
                </w14:textFill>
              </w:rPr>
              <w:t>危废贮存点</w:t>
            </w:r>
            <w:r>
              <w:rPr>
                <w:rFonts w:hint="eastAsia" w:ascii="Times New Roman Regular" w:hAnsi="Times New Roman Regular" w:cs="Times New Roman Regular"/>
                <w:color w:val="000000" w:themeColor="text1"/>
                <w:kern w:val="0"/>
                <w14:textFill>
                  <w14:solidFill>
                    <w14:schemeClr w14:val="tx1"/>
                  </w14:solidFill>
                </w14:textFill>
              </w:rPr>
              <w:t>废油泄漏、</w:t>
            </w:r>
            <w:r>
              <w:rPr>
                <w:rFonts w:hint="eastAsia" w:ascii="Times New Roman Regular" w:hAnsi="Times New Roman Regular" w:cs="Times New Roman Regular"/>
                <w:color w:val="000000" w:themeColor="text1"/>
                <w:kern w:val="0"/>
                <w:lang w:eastAsia="zh-CN"/>
                <w14:textFill>
                  <w14:solidFill>
                    <w14:schemeClr w14:val="tx1"/>
                  </w14:solidFill>
                </w14:textFill>
              </w:rPr>
              <w:t>废石堆场</w:t>
            </w:r>
            <w:r>
              <w:rPr>
                <w:rFonts w:hint="eastAsia" w:ascii="Times New Roman Regular" w:hAnsi="Times New Roman Regular" w:cs="Times New Roman Regular"/>
                <w:color w:val="000000" w:themeColor="text1"/>
                <w:kern w:val="0"/>
                <w14:textFill>
                  <w14:solidFill>
                    <w14:schemeClr w14:val="tx1"/>
                  </w14:solidFill>
                </w14:textFill>
              </w:rPr>
              <w:t>崩塌、采区塌陷沉降</w:t>
            </w:r>
          </w:p>
        </w:tc>
      </w:tr>
    </w:tbl>
    <w:p w14:paraId="62403253">
      <w:pPr>
        <w:pStyle w:val="3"/>
        <w:jc w:val="left"/>
        <w:rPr>
          <w:bCs/>
          <w:color w:val="000000" w:themeColor="text1"/>
          <w:kern w:val="2"/>
          <w:szCs w:val="32"/>
          <w14:textFill>
            <w14:solidFill>
              <w14:schemeClr w14:val="tx1"/>
            </w14:solidFill>
          </w14:textFill>
        </w:rPr>
      </w:pPr>
      <w:bookmarkStart w:id="137" w:name="_Toc30888"/>
      <w:bookmarkStart w:id="138" w:name="_Toc4491"/>
      <w:bookmarkStart w:id="139" w:name="_Toc2809"/>
      <w:bookmarkStart w:id="140" w:name="_Toc29811"/>
      <w:bookmarkStart w:id="141" w:name="_Toc73"/>
      <w:bookmarkStart w:id="142" w:name="_Toc10843"/>
      <w:bookmarkStart w:id="143" w:name="_Toc334506322"/>
      <w:bookmarkStart w:id="144" w:name="_Toc111767542"/>
      <w:r>
        <w:rPr>
          <w:bCs/>
          <w:color w:val="000000" w:themeColor="text1"/>
          <w:kern w:val="2"/>
          <w:szCs w:val="32"/>
          <w14:textFill>
            <w14:solidFill>
              <w14:schemeClr w14:val="tx1"/>
            </w14:solidFill>
          </w14:textFill>
        </w:rPr>
        <w:t>2.</w:t>
      </w:r>
      <w:r>
        <w:rPr>
          <w:rFonts w:hint="eastAsia"/>
          <w:bCs/>
          <w:color w:val="000000" w:themeColor="text1"/>
          <w:kern w:val="2"/>
          <w:szCs w:val="32"/>
          <w14:textFill>
            <w14:solidFill>
              <w14:schemeClr w14:val="tx1"/>
            </w14:solidFill>
          </w14:textFill>
        </w:rPr>
        <w:t>4</w:t>
      </w:r>
      <w:r>
        <w:rPr>
          <w:bCs/>
          <w:color w:val="000000" w:themeColor="text1"/>
          <w:kern w:val="2"/>
          <w:szCs w:val="32"/>
          <w14:textFill>
            <w14:solidFill>
              <w14:schemeClr w14:val="tx1"/>
            </w14:solidFill>
          </w14:textFill>
        </w:rPr>
        <w:t>环境功能区规划和评价标准</w:t>
      </w:r>
      <w:bookmarkEnd w:id="137"/>
      <w:bookmarkEnd w:id="138"/>
      <w:bookmarkEnd w:id="139"/>
      <w:bookmarkEnd w:id="140"/>
      <w:bookmarkEnd w:id="141"/>
      <w:bookmarkEnd w:id="142"/>
      <w:bookmarkEnd w:id="143"/>
      <w:bookmarkEnd w:id="144"/>
    </w:p>
    <w:p w14:paraId="6254C3BC">
      <w:pPr>
        <w:pStyle w:val="4"/>
        <w:spacing w:before="60" w:after="60" w:line="480" w:lineRule="exact"/>
        <w:rPr>
          <w:color w:val="000000" w:themeColor="text1"/>
          <w:kern w:val="2"/>
          <w14:textFill>
            <w14:solidFill>
              <w14:schemeClr w14:val="tx1"/>
            </w14:solidFill>
          </w14:textFill>
        </w:rPr>
      </w:pPr>
      <w:bookmarkStart w:id="145" w:name="_Toc5993"/>
      <w:bookmarkStart w:id="146" w:name="_Toc13813"/>
      <w:bookmarkStart w:id="147" w:name="_Toc24747"/>
      <w:bookmarkStart w:id="148" w:name="_Toc23892"/>
      <w:bookmarkStart w:id="149" w:name="_Toc2083049655"/>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4</w:t>
      </w:r>
      <w:r>
        <w:rPr>
          <w:color w:val="000000" w:themeColor="text1"/>
          <w:kern w:val="2"/>
          <w14:textFill>
            <w14:solidFill>
              <w14:schemeClr w14:val="tx1"/>
            </w14:solidFill>
          </w14:textFill>
        </w:rPr>
        <w:t>.1环境功能区规划</w:t>
      </w:r>
      <w:bookmarkEnd w:id="145"/>
      <w:bookmarkEnd w:id="146"/>
      <w:bookmarkEnd w:id="147"/>
      <w:bookmarkEnd w:id="148"/>
      <w:bookmarkEnd w:id="149"/>
    </w:p>
    <w:p w14:paraId="4031525B">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（1）环境空气</w:t>
      </w:r>
    </w:p>
    <w:p w14:paraId="551B3889">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根据《环境空气质量标准》（GB3095-20</w:t>
      </w:r>
      <w:r>
        <w:rPr>
          <w:rFonts w:hint="eastAsia"/>
          <w:color w:val="000000" w:themeColor="text1"/>
          <w:sz w:val="24"/>
          <w:szCs w:val="24"/>
          <w:lang w:val="en-US" w:eastAsia="zh-CN"/>
          <w14:textFill>
            <w14:solidFill>
              <w14:schemeClr w14:val="tx1"/>
            </w14:solidFill>
          </w14:textFill>
        </w:rPr>
        <w:t>26</w:t>
      </w:r>
      <w:r>
        <w:rPr>
          <w:color w:val="000000" w:themeColor="text1"/>
          <w:sz w:val="24"/>
          <w:szCs w:val="24"/>
          <w14:textFill>
            <w14:solidFill>
              <w14:schemeClr w14:val="tx1"/>
            </w14:solidFill>
          </w14:textFill>
        </w:rPr>
        <w:t>），项目所在区域不在</w:t>
      </w:r>
      <w:r>
        <w:rPr>
          <w:rFonts w:hint="eastAsia"/>
          <w:color w:val="000000" w:themeColor="text1"/>
          <w:sz w:val="24"/>
          <w:szCs w:val="24"/>
          <w:lang w:val="en-US" w:eastAsia="zh-CN"/>
          <w14:textFill>
            <w14:solidFill>
              <w14:schemeClr w14:val="tx1"/>
            </w14:solidFill>
          </w14:textFill>
        </w:rPr>
        <w:t>国家公园、</w:t>
      </w:r>
      <w:r>
        <w:rPr>
          <w:color w:val="000000" w:themeColor="text1"/>
          <w:sz w:val="24"/>
          <w:szCs w:val="24"/>
          <w14:textFill>
            <w14:solidFill>
              <w14:schemeClr w14:val="tx1"/>
            </w14:solidFill>
          </w14:textFill>
        </w:rPr>
        <w:t>自然保护区、</w:t>
      </w:r>
      <w:r>
        <w:rPr>
          <w:rFonts w:hint="eastAsia"/>
          <w:color w:val="000000" w:themeColor="text1"/>
          <w:sz w:val="24"/>
          <w:szCs w:val="24"/>
          <w:lang w:val="en-US" w:eastAsia="zh-CN"/>
          <w14:textFill>
            <w14:solidFill>
              <w14:schemeClr w14:val="tx1"/>
            </w14:solidFill>
          </w14:textFill>
        </w:rPr>
        <w:t>自然公园</w:t>
      </w:r>
      <w:r>
        <w:rPr>
          <w:color w:val="000000" w:themeColor="text1"/>
          <w:sz w:val="24"/>
          <w:szCs w:val="24"/>
          <w14:textFill>
            <w14:solidFill>
              <w14:schemeClr w14:val="tx1"/>
            </w14:solidFill>
          </w14:textFill>
        </w:rPr>
        <w:t>和其他需要特殊保护的区域范围内，为环境空气功能二类区。</w:t>
      </w:r>
    </w:p>
    <w:p w14:paraId="73DE3A39">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（2）水环境</w:t>
      </w:r>
    </w:p>
    <w:p w14:paraId="4EA2EEF4">
      <w:pPr>
        <w:pStyle w:val="271"/>
        <w:spacing w:line="480" w:lineRule="exact"/>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项目区周边无地表水体</w:t>
      </w:r>
      <w:r>
        <w:rPr>
          <w:rFonts w:hint="eastAsia" w:ascii="Times New Roman" w:hAnsi="Times New Roman"/>
          <w:color w:val="000000" w:themeColor="text1"/>
          <w14:textFill>
            <w14:solidFill>
              <w14:schemeClr w14:val="tx1"/>
            </w14:solidFill>
          </w14:textFill>
        </w:rPr>
        <w:t>，距项目区最近的地表水体库如克郭勒河约1</w:t>
      </w:r>
      <w:r>
        <w:rPr>
          <w:rFonts w:ascii="Times New Roman" w:hAnsi="Times New Roman"/>
          <w:color w:val="000000" w:themeColor="text1"/>
          <w14:textFill>
            <w14:solidFill>
              <w14:schemeClr w14:val="tx1"/>
            </w14:solidFill>
          </w14:textFill>
        </w:rPr>
        <w:t>53.8</w:t>
      </w:r>
      <w:r>
        <w:rPr>
          <w:rFonts w:hint="eastAsia" w:ascii="Times New Roman" w:hAnsi="Times New Roman"/>
          <w:color w:val="000000" w:themeColor="text1"/>
          <w14:textFill>
            <w14:solidFill>
              <w14:schemeClr w14:val="tx1"/>
            </w14:solidFill>
          </w14:textFill>
        </w:rPr>
        <w:t>km，区域水系图见图2</w:t>
      </w:r>
      <w:r>
        <w:rPr>
          <w:rFonts w:ascii="Times New Roman" w:hAnsi="Times New Roman"/>
          <w:color w:val="000000" w:themeColor="text1"/>
          <w14:textFill>
            <w14:solidFill>
              <w14:schemeClr w14:val="tx1"/>
            </w14:solidFill>
          </w14:textFill>
        </w:rPr>
        <w:t>.4-1</w:t>
      </w:r>
      <w:r>
        <w:rPr>
          <w:rFonts w:hint="eastAsia" w:ascii="Times New Roman" w:hAnsi="Times New Roman"/>
          <w:color w:val="000000" w:themeColor="text1"/>
          <w14:textFill>
            <w14:solidFill>
              <w14:schemeClr w14:val="tx1"/>
            </w14:solidFill>
          </w14:textFill>
        </w:rPr>
        <w:t>。</w:t>
      </w:r>
    </w:p>
    <w:p w14:paraId="1713529F">
      <w:pPr>
        <w:pStyle w:val="271"/>
        <w:spacing w:line="480" w:lineRule="exact"/>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项目所在区域地下水未进行功能区划分，根据其用途执行《地下水质量标准》（GB/T14848-2017）Ⅲ类标准。</w:t>
      </w:r>
    </w:p>
    <w:p w14:paraId="4F67B9C4">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）声环境</w:t>
      </w:r>
    </w:p>
    <w:p w14:paraId="52C085C6">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项目区远离市区、村镇，根据《声环境功能区划分技术规范》（</w:t>
      </w:r>
      <w:r>
        <w:rPr>
          <w:color w:val="000000" w:themeColor="text1"/>
          <w:sz w:val="24"/>
          <w:szCs w:val="24"/>
          <w14:textFill>
            <w14:solidFill>
              <w14:schemeClr w14:val="tx1"/>
            </w14:solidFill>
          </w14:textFill>
        </w:rPr>
        <w:t>GB/T15190-2014</w:t>
      </w:r>
      <w:r>
        <w:rPr>
          <w:rFonts w:hint="eastAsia"/>
          <w:color w:val="000000" w:themeColor="text1"/>
          <w:sz w:val="24"/>
          <w:szCs w:val="24"/>
          <w14:textFill>
            <w14:solidFill>
              <w14:schemeClr w14:val="tx1"/>
            </w14:solidFill>
          </w14:textFill>
        </w:rPr>
        <w:t>）中声环境功能区划分原则、方法和《声环境质量标准》（</w:t>
      </w:r>
      <w:r>
        <w:rPr>
          <w:color w:val="000000" w:themeColor="text1"/>
          <w:sz w:val="24"/>
          <w:szCs w:val="24"/>
          <w14:textFill>
            <w14:solidFill>
              <w14:schemeClr w14:val="tx1"/>
            </w14:solidFill>
          </w14:textFill>
        </w:rPr>
        <w:t>GB3096-2008</w:t>
      </w:r>
      <w:r>
        <w:rPr>
          <w:rFonts w:hint="eastAsia"/>
          <w:color w:val="000000" w:themeColor="text1"/>
          <w:sz w:val="24"/>
          <w:szCs w:val="24"/>
          <w14:textFill>
            <w14:solidFill>
              <w14:schemeClr w14:val="tx1"/>
            </w14:solidFill>
          </w14:textFill>
        </w:rPr>
        <w:t>）中声环境功能区分类要求，</w:t>
      </w:r>
      <w:r>
        <w:rPr>
          <w:color w:val="000000" w:themeColor="text1"/>
          <w:sz w:val="24"/>
          <w:szCs w:val="24"/>
          <w14:textFill>
            <w14:solidFill>
              <w14:schemeClr w14:val="tx1"/>
            </w14:solidFill>
          </w14:textFill>
        </w:rPr>
        <w:t>本项目属于2类声环境功能区。</w:t>
      </w:r>
    </w:p>
    <w:p w14:paraId="64D59C84">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（4）土壤功能区划</w:t>
      </w:r>
    </w:p>
    <w:p w14:paraId="4CFA4A09">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eastAsia"/>
          <w:color w:val="000000" w:themeColor="text1"/>
          <w:sz w:val="24"/>
          <w:szCs w:val="24"/>
          <w:highlight w:val="none"/>
          <w14:textFill>
            <w14:solidFill>
              <w14:schemeClr w14:val="tx1"/>
            </w14:solidFill>
          </w14:textFill>
        </w:rPr>
        <w:t>用地属于工业用地，根</w:t>
      </w:r>
      <w:r>
        <w:rPr>
          <w:rFonts w:hint="eastAsia"/>
          <w:color w:val="000000" w:themeColor="text1"/>
          <w:sz w:val="24"/>
          <w:szCs w:val="24"/>
          <w14:textFill>
            <w14:solidFill>
              <w14:schemeClr w14:val="tx1"/>
            </w14:solidFill>
          </w14:textFill>
        </w:rPr>
        <w:t>据《土壤环境质量 建设用地土壤污染风险管控标准（试行）》（GB36600-2018），本项目属于第二类用地中的工业用地（M）。</w:t>
      </w:r>
    </w:p>
    <w:p w14:paraId="220F79AB">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）生态功能区划</w:t>
      </w:r>
    </w:p>
    <w:p w14:paraId="0772CB08">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根据《全国生态功能区划（修编版）》，本项目位于I</w:t>
      </w:r>
      <w:r>
        <w:rPr>
          <w:color w:val="000000" w:themeColor="text1"/>
          <w:sz w:val="24"/>
          <w:szCs w:val="24"/>
          <w14:textFill>
            <w14:solidFill>
              <w14:schemeClr w14:val="tx1"/>
            </w14:solidFill>
          </w14:textFill>
        </w:rPr>
        <w:t>-04-20</w:t>
      </w:r>
      <w:r>
        <w:rPr>
          <w:rFonts w:hint="eastAsia"/>
          <w:color w:val="000000" w:themeColor="text1"/>
          <w:sz w:val="24"/>
          <w:szCs w:val="24"/>
          <w14:textFill>
            <w14:solidFill>
              <w14:schemeClr w14:val="tx1"/>
            </w14:solidFill>
          </w14:textFill>
        </w:rPr>
        <w:t>吐鲁番-哈密盆地防风固沙功能区。</w:t>
      </w:r>
    </w:p>
    <w:p w14:paraId="2E726CAB">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color w:val="000000" w:themeColor="text1"/>
          <w:sz w:val="24"/>
          <w:szCs w:val="24"/>
          <w14:textFill>
            <w14:solidFill>
              <w14:schemeClr w14:val="tx1"/>
            </w14:solidFill>
          </w14:textFill>
        </w:rPr>
        <w:t>《新疆生态功能区划》</w:t>
      </w:r>
      <w:r>
        <w:rPr>
          <w:rFonts w:hint="eastAsia"/>
          <w:color w:val="000000" w:themeColor="text1"/>
          <w:sz w:val="24"/>
          <w:szCs w:val="24"/>
          <w14:textFill>
            <w14:solidFill>
              <w14:schemeClr w14:val="tx1"/>
            </w14:solidFill>
          </w14:textFill>
        </w:rPr>
        <w:t>，本项目位于Ⅲ天山山地温性草原、森林生态区——Ⅲ</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14:textFill>
            <w14:solidFill>
              <w14:schemeClr w14:val="tx1"/>
            </w14:solidFill>
          </w14:textFill>
        </w:rPr>
        <w:t>天山南坡吐鲁番—哈密盆地戈壁荒漠、绿洲农业生态亚区——5</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嘎顺—南湖戈壁荒漠风蚀敏感生态功能区。</w:t>
      </w:r>
    </w:p>
    <w:p w14:paraId="2CD8C00E">
      <w:pPr>
        <w:pStyle w:val="4"/>
        <w:spacing w:before="60" w:after="60" w:line="480" w:lineRule="exact"/>
        <w:rPr>
          <w:color w:val="000000" w:themeColor="text1"/>
          <w:kern w:val="2"/>
          <w14:textFill>
            <w14:solidFill>
              <w14:schemeClr w14:val="tx1"/>
            </w14:solidFill>
          </w14:textFill>
        </w:rPr>
      </w:pPr>
      <w:bookmarkStart w:id="150" w:name="_Toc1537138191"/>
      <w:bookmarkStart w:id="151" w:name="_Toc29187"/>
      <w:bookmarkStart w:id="152" w:name="_Toc29148"/>
      <w:bookmarkStart w:id="153" w:name="_Toc12711"/>
      <w:bookmarkStart w:id="154" w:name="_Toc9560"/>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4</w:t>
      </w:r>
      <w:r>
        <w:rPr>
          <w:color w:val="000000" w:themeColor="text1"/>
          <w:kern w:val="2"/>
          <w14:textFill>
            <w14:solidFill>
              <w14:schemeClr w14:val="tx1"/>
            </w14:solidFill>
          </w14:textFill>
        </w:rPr>
        <w:t>.2环境质量标准</w:t>
      </w:r>
      <w:bookmarkEnd w:id="150"/>
      <w:bookmarkEnd w:id="151"/>
      <w:bookmarkEnd w:id="152"/>
      <w:bookmarkEnd w:id="153"/>
      <w:bookmarkEnd w:id="154"/>
    </w:p>
    <w:p w14:paraId="54BF279D">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根据项目区环境功能区划，确定本次环境影响评价采用的环境质量标准和污染物排放标准如下：</w:t>
      </w:r>
    </w:p>
    <w:p w14:paraId="6B7A403B">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4</w:t>
      </w:r>
      <w:r>
        <w:rPr>
          <w:rFonts w:ascii="Times New Roman" w:hAnsi="Times New Roman"/>
          <w:bCs w:val="0"/>
          <w:color w:val="000000" w:themeColor="text1"/>
          <w:kern w:val="2"/>
          <w:szCs w:val="24"/>
          <w14:textFill>
            <w14:solidFill>
              <w14:schemeClr w14:val="tx1"/>
            </w14:solidFill>
          </w14:textFill>
        </w:rPr>
        <w:t>.2.1环境空气质量标准</w:t>
      </w:r>
    </w:p>
    <w:p w14:paraId="135DB258">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本项目所在地为环境空气二类功能区，故环境空气质量执行《环境空气质量标准》（GB3095-20</w:t>
      </w:r>
      <w:r>
        <w:rPr>
          <w:rFonts w:hint="eastAsia"/>
          <w:color w:val="000000" w:themeColor="text1"/>
          <w:sz w:val="24"/>
          <w:szCs w:val="24"/>
          <w:lang w:val="en-US" w:eastAsia="zh-CN"/>
          <w14:textFill>
            <w14:solidFill>
              <w14:schemeClr w14:val="tx1"/>
            </w14:solidFill>
          </w14:textFill>
        </w:rPr>
        <w:t>26</w:t>
      </w:r>
      <w:r>
        <w:rPr>
          <w:color w:val="000000" w:themeColor="text1"/>
          <w:sz w:val="24"/>
          <w:szCs w:val="24"/>
          <w14:textFill>
            <w14:solidFill>
              <w14:schemeClr w14:val="tx1"/>
            </w14:solidFill>
          </w14:textFill>
        </w:rPr>
        <w:t>）中的</w:t>
      </w:r>
      <w:r>
        <w:rPr>
          <w:rFonts w:hint="eastAsia"/>
          <w:color w:val="000000" w:themeColor="text1"/>
          <w:sz w:val="24"/>
          <w:szCs w:val="24"/>
          <w:lang w:val="en-US" w:eastAsia="zh-CN"/>
          <w14:textFill>
            <w14:solidFill>
              <w14:schemeClr w14:val="tx1"/>
            </w14:solidFill>
          </w14:textFill>
        </w:rPr>
        <w:t>过渡阶段</w:t>
      </w:r>
      <w:r>
        <w:rPr>
          <w:color w:val="000000" w:themeColor="text1"/>
          <w:sz w:val="24"/>
          <w:szCs w:val="24"/>
          <w14:textFill>
            <w14:solidFill>
              <w14:schemeClr w14:val="tx1"/>
            </w14:solidFill>
          </w14:textFill>
        </w:rPr>
        <w:t>二级</w:t>
      </w:r>
      <w:r>
        <w:rPr>
          <w:rFonts w:hint="eastAsia"/>
          <w:color w:val="000000" w:themeColor="text1"/>
          <w:sz w:val="24"/>
          <w:szCs w:val="24"/>
          <w:lang w:val="en-US" w:eastAsia="zh-CN"/>
          <w14:textFill>
            <w14:solidFill>
              <w14:schemeClr w14:val="tx1"/>
            </w14:solidFill>
          </w14:textFill>
        </w:rPr>
        <w:t>浓度限值</w:t>
      </w:r>
      <w:r>
        <w:rPr>
          <w:color w:val="000000" w:themeColor="text1"/>
          <w:sz w:val="24"/>
          <w:szCs w:val="24"/>
          <w14:textFill>
            <w14:solidFill>
              <w14:schemeClr w14:val="tx1"/>
            </w14:solidFill>
          </w14:textFill>
        </w:rPr>
        <w:t>，具体标准值见表2.</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-1。</w:t>
      </w:r>
    </w:p>
    <w:p w14:paraId="5AA275E3">
      <w:pPr>
        <w:spacing w:line="480" w:lineRule="exact"/>
        <w:jc w:val="center"/>
        <w:rPr>
          <w:rFonts w:hint="eastAsia"/>
          <w:color w:val="000000" w:themeColor="text1"/>
          <w:sz w:val="24"/>
          <w:szCs w:val="24"/>
          <w14:textFill>
            <w14:solidFill>
              <w14:schemeClr w14:val="tx1"/>
            </w14:solidFill>
          </w14:textFill>
        </w:rPr>
      </w:pPr>
      <w:bookmarkStart w:id="155" w:name="_Toc4624_WPSOffice_Level1"/>
      <w:r>
        <w:rPr>
          <w:b/>
          <w:bCs/>
          <w:color w:val="000000" w:themeColor="text1"/>
          <w:sz w:val="24"/>
          <w:szCs w:val="24"/>
          <w14:textFill>
            <w14:solidFill>
              <w14:schemeClr w14:val="tx1"/>
            </w14:solidFill>
          </w14:textFill>
        </w:rPr>
        <w:t>表2.</w:t>
      </w:r>
      <w:r>
        <w:rPr>
          <w:rFonts w:hint="eastAsia"/>
          <w:b/>
          <w:bCs/>
          <w:color w:val="000000" w:themeColor="text1"/>
          <w:sz w:val="24"/>
          <w:szCs w:val="24"/>
          <w14:textFill>
            <w14:solidFill>
              <w14:schemeClr w14:val="tx1"/>
            </w14:solidFill>
          </w14:textFill>
        </w:rPr>
        <w:t>4</w:t>
      </w:r>
      <w:r>
        <w:rPr>
          <w:b/>
          <w:bCs/>
          <w:color w:val="000000" w:themeColor="text1"/>
          <w:sz w:val="24"/>
          <w:szCs w:val="24"/>
          <w14:textFill>
            <w14:solidFill>
              <w14:schemeClr w14:val="tx1"/>
            </w14:solidFill>
          </w14:textFill>
        </w:rPr>
        <w:t>-1    环境空气质量执行标准（单位：μg/m</w:t>
      </w:r>
      <w:r>
        <w:rPr>
          <w:b/>
          <w:bCs/>
          <w:color w:val="000000" w:themeColor="text1"/>
          <w:sz w:val="24"/>
          <w:szCs w:val="24"/>
          <w:vertAlign w:val="superscript"/>
          <w14:textFill>
            <w14:solidFill>
              <w14:schemeClr w14:val="tx1"/>
            </w14:solidFill>
          </w14:textFill>
        </w:rPr>
        <w:t>3</w:t>
      </w:r>
      <w:r>
        <w:rPr>
          <w:b/>
          <w:bCs/>
          <w:color w:val="000000" w:themeColor="text1"/>
          <w:sz w:val="24"/>
          <w:szCs w:val="24"/>
          <w14:textFill>
            <w14:solidFill>
              <w14:schemeClr w14:val="tx1"/>
            </w14:solidFill>
          </w14:textFill>
        </w:rPr>
        <w:t>）</w:t>
      </w:r>
      <w:bookmarkEnd w:id="155"/>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1663"/>
        <w:gridCol w:w="2990"/>
        <w:gridCol w:w="2363"/>
      </w:tblGrid>
      <w:tr w14:paraId="180E6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82" w:type="pct"/>
            <w:noWrap w:val="0"/>
            <w:vAlign w:val="center"/>
          </w:tcPr>
          <w:p w14:paraId="53FBDA7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类别</w:t>
            </w:r>
          </w:p>
        </w:tc>
        <w:tc>
          <w:tcPr>
            <w:tcW w:w="976" w:type="pct"/>
            <w:noWrap w:val="0"/>
            <w:vAlign w:val="center"/>
          </w:tcPr>
          <w:p w14:paraId="5BAFF8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污染物</w:t>
            </w:r>
          </w:p>
        </w:tc>
        <w:tc>
          <w:tcPr>
            <w:tcW w:w="1754" w:type="pct"/>
            <w:noWrap w:val="0"/>
            <w:vAlign w:val="center"/>
          </w:tcPr>
          <w:p w14:paraId="7E2F022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取值时间</w:t>
            </w:r>
          </w:p>
        </w:tc>
        <w:tc>
          <w:tcPr>
            <w:tcW w:w="1386" w:type="pct"/>
            <w:noWrap w:val="0"/>
            <w:vAlign w:val="center"/>
          </w:tcPr>
          <w:p w14:paraId="1CB18F7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二级标准浓度限值</w:t>
            </w:r>
          </w:p>
        </w:tc>
      </w:tr>
      <w:tr w14:paraId="14752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restart"/>
            <w:noWrap w:val="0"/>
            <w:vAlign w:val="center"/>
          </w:tcPr>
          <w:p w14:paraId="773C16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基本污染物</w:t>
            </w:r>
          </w:p>
        </w:tc>
        <w:tc>
          <w:tcPr>
            <w:tcW w:w="976" w:type="pct"/>
            <w:vMerge w:val="restart"/>
            <w:noWrap w:val="0"/>
            <w:vAlign w:val="center"/>
          </w:tcPr>
          <w:p w14:paraId="5B2E4F0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SO</w:t>
            </w:r>
            <w:r>
              <w:rPr>
                <w:rFonts w:hint="default" w:ascii="Times New Roman" w:hAnsi="Times New Roman" w:cs="Times New Roman"/>
                <w:color w:val="000000" w:themeColor="text1"/>
                <w:kern w:val="0"/>
                <w:vertAlign w:val="subscript"/>
                <w14:textFill>
                  <w14:solidFill>
                    <w14:schemeClr w14:val="tx1"/>
                  </w14:solidFill>
                </w14:textFill>
              </w:rPr>
              <w:t>2</w:t>
            </w:r>
          </w:p>
        </w:tc>
        <w:tc>
          <w:tcPr>
            <w:tcW w:w="1754" w:type="pct"/>
            <w:noWrap w:val="0"/>
            <w:vAlign w:val="center"/>
          </w:tcPr>
          <w:p w14:paraId="2C219F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年平均</w:t>
            </w:r>
          </w:p>
        </w:tc>
        <w:tc>
          <w:tcPr>
            <w:tcW w:w="1386" w:type="pct"/>
            <w:noWrap w:val="0"/>
            <w:vAlign w:val="center"/>
          </w:tcPr>
          <w:p w14:paraId="58D59C7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60</w:t>
            </w:r>
          </w:p>
        </w:tc>
      </w:tr>
      <w:tr w14:paraId="24E6F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657FAB8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157AE4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5BC536E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日平均</w:t>
            </w:r>
          </w:p>
        </w:tc>
        <w:tc>
          <w:tcPr>
            <w:tcW w:w="1386" w:type="pct"/>
            <w:noWrap w:val="0"/>
            <w:vAlign w:val="center"/>
          </w:tcPr>
          <w:p w14:paraId="790DB26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150</w:t>
            </w:r>
          </w:p>
        </w:tc>
      </w:tr>
      <w:tr w14:paraId="62FAC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251CAA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2F9D48E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617F67F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小时</w:t>
            </w:r>
          </w:p>
        </w:tc>
        <w:tc>
          <w:tcPr>
            <w:tcW w:w="1386" w:type="pct"/>
            <w:noWrap w:val="0"/>
            <w:vAlign w:val="center"/>
          </w:tcPr>
          <w:p w14:paraId="028A64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500</w:t>
            </w:r>
          </w:p>
        </w:tc>
      </w:tr>
      <w:tr w14:paraId="7E56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5830C30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restart"/>
            <w:noWrap w:val="0"/>
            <w:vAlign w:val="center"/>
          </w:tcPr>
          <w:p w14:paraId="051FDD9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NO</w:t>
            </w:r>
            <w:r>
              <w:rPr>
                <w:rFonts w:hint="default" w:ascii="Times New Roman" w:hAnsi="Times New Roman" w:cs="Times New Roman"/>
                <w:color w:val="000000" w:themeColor="text1"/>
                <w:kern w:val="0"/>
                <w:vertAlign w:val="subscript"/>
                <w14:textFill>
                  <w14:solidFill>
                    <w14:schemeClr w14:val="tx1"/>
                  </w14:solidFill>
                </w14:textFill>
              </w:rPr>
              <w:t>2</w:t>
            </w:r>
          </w:p>
        </w:tc>
        <w:tc>
          <w:tcPr>
            <w:tcW w:w="1754" w:type="pct"/>
            <w:noWrap w:val="0"/>
            <w:vAlign w:val="center"/>
          </w:tcPr>
          <w:p w14:paraId="3A42FC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年平均</w:t>
            </w:r>
          </w:p>
        </w:tc>
        <w:tc>
          <w:tcPr>
            <w:tcW w:w="1386" w:type="pct"/>
            <w:noWrap w:val="0"/>
            <w:vAlign w:val="center"/>
          </w:tcPr>
          <w:p w14:paraId="159026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40</w:t>
            </w:r>
          </w:p>
        </w:tc>
      </w:tr>
      <w:tr w14:paraId="2ED1C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2FD88F6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3E5A04D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4B61FA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日平均</w:t>
            </w:r>
          </w:p>
        </w:tc>
        <w:tc>
          <w:tcPr>
            <w:tcW w:w="1386" w:type="pct"/>
            <w:noWrap w:val="0"/>
            <w:vAlign w:val="center"/>
          </w:tcPr>
          <w:p w14:paraId="6F33B7F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80</w:t>
            </w:r>
          </w:p>
        </w:tc>
      </w:tr>
      <w:tr w14:paraId="2A685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541060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0EEBE91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4609B65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小时</w:t>
            </w:r>
          </w:p>
        </w:tc>
        <w:tc>
          <w:tcPr>
            <w:tcW w:w="1386" w:type="pct"/>
            <w:noWrap w:val="0"/>
            <w:vAlign w:val="center"/>
          </w:tcPr>
          <w:p w14:paraId="6D703BC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200</w:t>
            </w:r>
          </w:p>
        </w:tc>
      </w:tr>
      <w:tr w14:paraId="0CEAD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7AED0B7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restart"/>
            <w:noWrap w:val="0"/>
            <w:vAlign w:val="center"/>
          </w:tcPr>
          <w:p w14:paraId="6EB7C34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PM</w:t>
            </w:r>
            <w:r>
              <w:rPr>
                <w:rFonts w:hint="default" w:ascii="Times New Roman" w:hAnsi="Times New Roman" w:cs="Times New Roman"/>
                <w:color w:val="000000" w:themeColor="text1"/>
                <w:kern w:val="0"/>
                <w:vertAlign w:val="subscript"/>
                <w14:textFill>
                  <w14:solidFill>
                    <w14:schemeClr w14:val="tx1"/>
                  </w14:solidFill>
                </w14:textFill>
              </w:rPr>
              <w:t>10</w:t>
            </w:r>
          </w:p>
        </w:tc>
        <w:tc>
          <w:tcPr>
            <w:tcW w:w="1754" w:type="pct"/>
            <w:noWrap w:val="0"/>
            <w:vAlign w:val="center"/>
          </w:tcPr>
          <w:p w14:paraId="172C4B1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年平均</w:t>
            </w:r>
          </w:p>
        </w:tc>
        <w:tc>
          <w:tcPr>
            <w:tcW w:w="1386" w:type="pct"/>
            <w:noWrap w:val="0"/>
            <w:vAlign w:val="center"/>
          </w:tcPr>
          <w:p w14:paraId="01DC8BD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cs="Times New Roman"/>
                <w:color w:val="000000" w:themeColor="text1"/>
                <w:kern w:val="0"/>
                <w:lang w:val="en-US" w:eastAsia="zh-CN"/>
                <w14:textFill>
                  <w14:solidFill>
                    <w14:schemeClr w14:val="tx1"/>
                  </w14:solidFill>
                </w14:textFill>
              </w:rPr>
              <w:t>60</w:t>
            </w:r>
          </w:p>
        </w:tc>
      </w:tr>
      <w:tr w14:paraId="0D2E5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5036B6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5C20DE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30C7E7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日平均</w:t>
            </w:r>
          </w:p>
        </w:tc>
        <w:tc>
          <w:tcPr>
            <w:tcW w:w="1386" w:type="pct"/>
            <w:noWrap w:val="0"/>
            <w:vAlign w:val="center"/>
          </w:tcPr>
          <w:p w14:paraId="11EE09B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cs="Times New Roman"/>
                <w:color w:val="000000" w:themeColor="text1"/>
                <w:kern w:val="0"/>
                <w:lang w:val="en-US" w:eastAsia="zh-CN"/>
                <w14:textFill>
                  <w14:solidFill>
                    <w14:schemeClr w14:val="tx1"/>
                  </w14:solidFill>
                </w14:textFill>
              </w:rPr>
              <w:t>120</w:t>
            </w:r>
          </w:p>
        </w:tc>
      </w:tr>
      <w:tr w14:paraId="72ED5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398F81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restart"/>
            <w:noWrap w:val="0"/>
            <w:vAlign w:val="center"/>
          </w:tcPr>
          <w:p w14:paraId="4B57D7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PM</w:t>
            </w:r>
            <w:r>
              <w:rPr>
                <w:rFonts w:hint="default" w:ascii="Times New Roman" w:hAnsi="Times New Roman" w:cs="Times New Roman"/>
                <w:color w:val="000000" w:themeColor="text1"/>
                <w:kern w:val="0"/>
                <w:vertAlign w:val="subscript"/>
                <w14:textFill>
                  <w14:solidFill>
                    <w14:schemeClr w14:val="tx1"/>
                  </w14:solidFill>
                </w14:textFill>
              </w:rPr>
              <w:t>2.5</w:t>
            </w:r>
          </w:p>
        </w:tc>
        <w:tc>
          <w:tcPr>
            <w:tcW w:w="1754" w:type="pct"/>
            <w:noWrap w:val="0"/>
            <w:vAlign w:val="center"/>
          </w:tcPr>
          <w:p w14:paraId="78D3258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年平均</w:t>
            </w:r>
          </w:p>
        </w:tc>
        <w:tc>
          <w:tcPr>
            <w:tcW w:w="1386" w:type="pct"/>
            <w:noWrap w:val="0"/>
            <w:vAlign w:val="center"/>
          </w:tcPr>
          <w:p w14:paraId="47DB4DF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cs="Times New Roman"/>
                <w:color w:val="000000" w:themeColor="text1"/>
                <w:kern w:val="0"/>
                <w:lang w:val="en-US" w:eastAsia="zh-CN"/>
                <w14:textFill>
                  <w14:solidFill>
                    <w14:schemeClr w14:val="tx1"/>
                  </w14:solidFill>
                </w14:textFill>
              </w:rPr>
              <w:t>30</w:t>
            </w:r>
          </w:p>
        </w:tc>
      </w:tr>
      <w:tr w14:paraId="278F2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2CA5AF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455E1AA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7537EAA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日平均</w:t>
            </w:r>
          </w:p>
        </w:tc>
        <w:tc>
          <w:tcPr>
            <w:tcW w:w="1386" w:type="pct"/>
            <w:noWrap w:val="0"/>
            <w:vAlign w:val="center"/>
          </w:tcPr>
          <w:p w14:paraId="163BFC5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cs="Times New Roman"/>
                <w:color w:val="000000" w:themeColor="text1"/>
                <w:kern w:val="0"/>
                <w:lang w:val="en-US" w:eastAsia="zh-CN"/>
                <w14:textFill>
                  <w14:solidFill>
                    <w14:schemeClr w14:val="tx1"/>
                  </w14:solidFill>
                </w14:textFill>
              </w:rPr>
              <w:t>60</w:t>
            </w:r>
          </w:p>
        </w:tc>
      </w:tr>
      <w:tr w14:paraId="17908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170B947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restart"/>
            <w:noWrap w:val="0"/>
            <w:vAlign w:val="center"/>
          </w:tcPr>
          <w:p w14:paraId="0DC47B2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CO</w:t>
            </w:r>
          </w:p>
        </w:tc>
        <w:tc>
          <w:tcPr>
            <w:tcW w:w="1754" w:type="pct"/>
            <w:noWrap w:val="0"/>
            <w:vAlign w:val="center"/>
          </w:tcPr>
          <w:p w14:paraId="3DED56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24小时平均</w:t>
            </w:r>
          </w:p>
        </w:tc>
        <w:tc>
          <w:tcPr>
            <w:tcW w:w="1386" w:type="pct"/>
            <w:noWrap w:val="0"/>
            <w:vAlign w:val="center"/>
          </w:tcPr>
          <w:p w14:paraId="3ABEBCF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4mg/m</w:t>
            </w:r>
            <w:r>
              <w:rPr>
                <w:rFonts w:hint="default" w:ascii="Times New Roman" w:hAnsi="Times New Roman" w:cs="Times New Roman"/>
                <w:color w:val="000000" w:themeColor="text1"/>
                <w:kern w:val="0"/>
                <w:vertAlign w:val="superscript"/>
                <w14:textFill>
                  <w14:solidFill>
                    <w14:schemeClr w14:val="tx1"/>
                  </w14:solidFill>
                </w14:textFill>
              </w:rPr>
              <w:t>3</w:t>
            </w:r>
          </w:p>
        </w:tc>
      </w:tr>
      <w:tr w14:paraId="3DBDE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5AE4D24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621EC2D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4037CFE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1小时平均</w:t>
            </w:r>
          </w:p>
        </w:tc>
        <w:tc>
          <w:tcPr>
            <w:tcW w:w="1386" w:type="pct"/>
            <w:noWrap w:val="0"/>
            <w:vAlign w:val="center"/>
          </w:tcPr>
          <w:p w14:paraId="04C1EA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10mg/m</w:t>
            </w:r>
            <w:r>
              <w:rPr>
                <w:rFonts w:hint="default" w:ascii="Times New Roman" w:hAnsi="Times New Roman" w:cs="Times New Roman"/>
                <w:color w:val="000000" w:themeColor="text1"/>
                <w:kern w:val="0"/>
                <w:vertAlign w:val="superscript"/>
                <w14:textFill>
                  <w14:solidFill>
                    <w14:schemeClr w14:val="tx1"/>
                  </w14:solidFill>
                </w14:textFill>
              </w:rPr>
              <w:t>3</w:t>
            </w:r>
          </w:p>
        </w:tc>
      </w:tr>
      <w:tr w14:paraId="1B087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1FD9077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restart"/>
            <w:noWrap w:val="0"/>
            <w:vAlign w:val="center"/>
          </w:tcPr>
          <w:p w14:paraId="7FF182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O</w:t>
            </w:r>
            <w:r>
              <w:rPr>
                <w:rFonts w:hint="default" w:ascii="Times New Roman" w:hAnsi="Times New Roman" w:cs="Times New Roman"/>
                <w:color w:val="000000" w:themeColor="text1"/>
                <w:kern w:val="0"/>
                <w:vertAlign w:val="subscript"/>
                <w14:textFill>
                  <w14:solidFill>
                    <w14:schemeClr w14:val="tx1"/>
                  </w14:solidFill>
                </w14:textFill>
              </w:rPr>
              <w:t>3</w:t>
            </w:r>
          </w:p>
        </w:tc>
        <w:tc>
          <w:tcPr>
            <w:tcW w:w="1754" w:type="pct"/>
            <w:noWrap w:val="0"/>
            <w:vAlign w:val="center"/>
          </w:tcPr>
          <w:p w14:paraId="0058F49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24小时平均</w:t>
            </w:r>
          </w:p>
        </w:tc>
        <w:tc>
          <w:tcPr>
            <w:tcW w:w="1386" w:type="pct"/>
            <w:noWrap w:val="0"/>
            <w:vAlign w:val="center"/>
          </w:tcPr>
          <w:p w14:paraId="728F470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160</w:t>
            </w:r>
          </w:p>
        </w:tc>
      </w:tr>
      <w:tr w14:paraId="7C1B7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124DC02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33A97E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1CB74A7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1小时平均</w:t>
            </w:r>
          </w:p>
        </w:tc>
        <w:tc>
          <w:tcPr>
            <w:tcW w:w="1386" w:type="pct"/>
            <w:noWrap w:val="0"/>
            <w:vAlign w:val="center"/>
          </w:tcPr>
          <w:p w14:paraId="568B45A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200</w:t>
            </w:r>
          </w:p>
        </w:tc>
      </w:tr>
      <w:tr w14:paraId="29BB5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restart"/>
            <w:noWrap w:val="0"/>
            <w:vAlign w:val="center"/>
          </w:tcPr>
          <w:p w14:paraId="70EEA09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其他污染物</w:t>
            </w:r>
          </w:p>
        </w:tc>
        <w:tc>
          <w:tcPr>
            <w:tcW w:w="976" w:type="pct"/>
            <w:vMerge w:val="restart"/>
            <w:noWrap w:val="0"/>
            <w:vAlign w:val="center"/>
          </w:tcPr>
          <w:p w14:paraId="2BF5C3B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TSP</w:t>
            </w:r>
          </w:p>
        </w:tc>
        <w:tc>
          <w:tcPr>
            <w:tcW w:w="1754" w:type="pct"/>
            <w:noWrap w:val="0"/>
            <w:vAlign w:val="center"/>
          </w:tcPr>
          <w:p w14:paraId="5137DA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年平均</w:t>
            </w:r>
          </w:p>
        </w:tc>
        <w:tc>
          <w:tcPr>
            <w:tcW w:w="1386" w:type="pct"/>
            <w:noWrap w:val="0"/>
            <w:vAlign w:val="center"/>
          </w:tcPr>
          <w:p w14:paraId="68D92E0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200</w:t>
            </w:r>
          </w:p>
        </w:tc>
      </w:tr>
      <w:tr w14:paraId="77B5A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2" w:type="pct"/>
            <w:vMerge w:val="continue"/>
            <w:noWrap w:val="0"/>
            <w:vAlign w:val="center"/>
          </w:tcPr>
          <w:p w14:paraId="44182C1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14:textFill>
                  <w14:solidFill>
                    <w14:schemeClr w14:val="tx1"/>
                  </w14:solidFill>
                </w14:textFill>
              </w:rPr>
            </w:pPr>
          </w:p>
        </w:tc>
        <w:tc>
          <w:tcPr>
            <w:tcW w:w="976" w:type="pct"/>
            <w:vMerge w:val="continue"/>
            <w:noWrap w:val="0"/>
            <w:vAlign w:val="center"/>
          </w:tcPr>
          <w:p w14:paraId="2E6534E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14:textFill>
                  <w14:solidFill>
                    <w14:schemeClr w14:val="tx1"/>
                  </w14:solidFill>
                </w14:textFill>
              </w:rPr>
            </w:pPr>
          </w:p>
        </w:tc>
        <w:tc>
          <w:tcPr>
            <w:tcW w:w="1754" w:type="pct"/>
            <w:noWrap w:val="0"/>
            <w:vAlign w:val="center"/>
          </w:tcPr>
          <w:p w14:paraId="0E95523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24小时平均</w:t>
            </w:r>
          </w:p>
        </w:tc>
        <w:tc>
          <w:tcPr>
            <w:tcW w:w="1386" w:type="pct"/>
            <w:noWrap w:val="0"/>
            <w:vAlign w:val="center"/>
          </w:tcPr>
          <w:p w14:paraId="79036B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kern w:val="0"/>
                <w14:textFill>
                  <w14:solidFill>
                    <w14:schemeClr w14:val="tx1"/>
                  </w14:solidFill>
                </w14:textFill>
              </w:rPr>
              <w:t>300</w:t>
            </w:r>
          </w:p>
        </w:tc>
      </w:tr>
    </w:tbl>
    <w:p w14:paraId="67D6CC39">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4</w:t>
      </w:r>
      <w:r>
        <w:rPr>
          <w:rFonts w:ascii="Times New Roman" w:hAnsi="Times New Roman"/>
          <w:bCs w:val="0"/>
          <w:color w:val="000000" w:themeColor="text1"/>
          <w:kern w:val="2"/>
          <w:szCs w:val="24"/>
          <w14:textFill>
            <w14:solidFill>
              <w14:schemeClr w14:val="tx1"/>
            </w14:solidFill>
          </w14:textFill>
        </w:rPr>
        <w:t>.2.2水环境质量标准</w:t>
      </w:r>
    </w:p>
    <w:p w14:paraId="3079A25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（1）地表水</w:t>
      </w:r>
    </w:p>
    <w:p w14:paraId="7E6BDEFA">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项目区周边区域无地表水体。</w:t>
      </w:r>
    </w:p>
    <w:p w14:paraId="6F072E0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（2）地下水</w:t>
      </w:r>
    </w:p>
    <w:p w14:paraId="4A3E5DB0">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本项目地下水质量执行《地下水质量标准》（GB/T14848-2017）中</w:t>
      </w:r>
      <w:r>
        <w:rPr>
          <w:color w:val="000000" w:themeColor="text1"/>
          <w:sz w:val="24"/>
          <w:szCs w:val="24"/>
          <w14:textFill>
            <w14:solidFill>
              <w14:schemeClr w14:val="tx1"/>
            </w14:solidFill>
          </w14:textFill>
        </w:rPr>
        <w:t>Ⅲ</w:t>
      </w:r>
      <w:r>
        <w:rPr>
          <w:rFonts w:hint="eastAsia"/>
          <w:color w:val="000000" w:themeColor="text1"/>
          <w:sz w:val="24"/>
          <w:szCs w:val="24"/>
          <w14:textFill>
            <w14:solidFill>
              <w14:schemeClr w14:val="tx1"/>
            </w14:solidFill>
          </w14:textFill>
        </w:rPr>
        <w:t>类标准。具体标准值见表2.4-</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p>
    <w:p w14:paraId="1740B37A">
      <w:pPr>
        <w:spacing w:line="480" w:lineRule="exact"/>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表2.4-</w:t>
      </w:r>
      <w:r>
        <w:rPr>
          <w:b/>
          <w:bCs/>
          <w:color w:val="000000" w:themeColor="text1"/>
          <w:sz w:val="24"/>
          <w:szCs w:val="24"/>
          <w14:textFill>
            <w14:solidFill>
              <w14:schemeClr w14:val="tx1"/>
            </w14:solidFill>
          </w14:textFill>
        </w:rPr>
        <w:t>2</w:t>
      </w:r>
      <w:r>
        <w:rPr>
          <w:rFonts w:hint="eastAsia"/>
          <w:b/>
          <w:bCs/>
          <w:color w:val="000000" w:themeColor="text1"/>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地</w:t>
      </w:r>
      <w:r>
        <w:rPr>
          <w:rFonts w:hint="eastAsia"/>
          <w:b/>
          <w:bCs/>
          <w:color w:val="000000" w:themeColor="text1"/>
          <w:sz w:val="24"/>
          <w:szCs w:val="24"/>
          <w14:textFill>
            <w14:solidFill>
              <w14:schemeClr w14:val="tx1"/>
            </w14:solidFill>
          </w14:textFill>
        </w:rPr>
        <w:t>下</w:t>
      </w:r>
      <w:r>
        <w:rPr>
          <w:b/>
          <w:bCs/>
          <w:color w:val="000000" w:themeColor="text1"/>
          <w:sz w:val="24"/>
          <w:szCs w:val="24"/>
          <w14:textFill>
            <w14:solidFill>
              <w14:schemeClr w14:val="tx1"/>
            </w14:solidFill>
          </w14:textFill>
        </w:rPr>
        <w:t>水质量标准     单位：mg/L</w:t>
      </w:r>
    </w:p>
    <w:tbl>
      <w:tblPr>
        <w:tblStyle w:val="79"/>
        <w:tblW w:w="50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44"/>
        <w:gridCol w:w="2297"/>
        <w:gridCol w:w="1285"/>
        <w:gridCol w:w="704"/>
        <w:gridCol w:w="2226"/>
        <w:gridCol w:w="1197"/>
      </w:tblGrid>
      <w:tr w14:paraId="301F5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40" w:type="pct"/>
            <w:noWrap w:val="0"/>
            <w:vAlign w:val="center"/>
          </w:tcPr>
          <w:p w14:paraId="393C69E7">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b/>
                <w:bCs/>
                <w:color w:val="000000" w:themeColor="text1"/>
                <w:spacing w:val="-1"/>
                <w14:textFill>
                  <w14:solidFill>
                    <w14:schemeClr w14:val="tx1"/>
                  </w14:solidFill>
                </w14:textFill>
              </w:rPr>
            </w:pPr>
            <w:r>
              <w:rPr>
                <w:rFonts w:hint="default" w:ascii="Times New Roman" w:hAnsi="Times New Roman" w:cs="Times New Roman"/>
                <w:b/>
                <w:bCs/>
                <w:color w:val="000000" w:themeColor="text1"/>
                <w:spacing w:val="-1"/>
                <w14:textFill>
                  <w14:solidFill>
                    <w14:schemeClr w14:val="tx1"/>
                  </w14:solidFill>
                </w14:textFill>
              </w:rPr>
              <w:t>序号</w:t>
            </w:r>
          </w:p>
        </w:tc>
        <w:tc>
          <w:tcPr>
            <w:tcW w:w="1358" w:type="pct"/>
            <w:noWrap w:val="0"/>
            <w:vAlign w:val="center"/>
          </w:tcPr>
          <w:p w14:paraId="562D701E">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b/>
                <w:bCs/>
                <w:color w:val="000000" w:themeColor="text1"/>
                <w:spacing w:val="-1"/>
                <w14:textFill>
                  <w14:solidFill>
                    <w14:schemeClr w14:val="tx1"/>
                  </w14:solidFill>
                </w14:textFill>
              </w:rPr>
            </w:pPr>
            <w:r>
              <w:rPr>
                <w:rFonts w:hint="default" w:ascii="Times New Roman" w:hAnsi="Times New Roman" w:cs="Times New Roman"/>
                <w:b/>
                <w:bCs/>
                <w:color w:val="000000" w:themeColor="text1"/>
                <w:spacing w:val="-1"/>
                <w14:textFill>
                  <w14:solidFill>
                    <w14:schemeClr w14:val="tx1"/>
                  </w14:solidFill>
                </w14:textFill>
              </w:rPr>
              <w:t>项目</w:t>
            </w:r>
          </w:p>
        </w:tc>
        <w:tc>
          <w:tcPr>
            <w:tcW w:w="760" w:type="pct"/>
            <w:noWrap w:val="0"/>
            <w:vAlign w:val="center"/>
          </w:tcPr>
          <w:p w14:paraId="1DFC24A7">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b/>
                <w:bCs/>
                <w:color w:val="000000" w:themeColor="text1"/>
                <w:spacing w:val="-1"/>
                <w14:textFill>
                  <w14:solidFill>
                    <w14:schemeClr w14:val="tx1"/>
                  </w14:solidFill>
                </w14:textFill>
              </w:rPr>
            </w:pPr>
            <w:r>
              <w:rPr>
                <w:rFonts w:hint="default" w:ascii="Times New Roman" w:hAnsi="Times New Roman" w:cs="Times New Roman"/>
                <w:b/>
                <w:bCs/>
                <w:color w:val="000000" w:themeColor="text1"/>
                <w:spacing w:val="-1"/>
                <w14:textFill>
                  <w14:solidFill>
                    <w14:schemeClr w14:val="tx1"/>
                  </w14:solidFill>
                </w14:textFill>
              </w:rPr>
              <w:t>标准值</w:t>
            </w:r>
          </w:p>
        </w:tc>
        <w:tc>
          <w:tcPr>
            <w:tcW w:w="416" w:type="pct"/>
            <w:noWrap w:val="0"/>
            <w:vAlign w:val="center"/>
          </w:tcPr>
          <w:p w14:paraId="491BFFCF">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b/>
                <w:bCs/>
                <w:color w:val="000000" w:themeColor="text1"/>
                <w:spacing w:val="-1"/>
                <w14:textFill>
                  <w14:solidFill>
                    <w14:schemeClr w14:val="tx1"/>
                  </w14:solidFill>
                </w14:textFill>
              </w:rPr>
            </w:pPr>
            <w:r>
              <w:rPr>
                <w:rFonts w:hint="default" w:ascii="Times New Roman" w:hAnsi="Times New Roman" w:cs="Times New Roman"/>
                <w:b/>
                <w:bCs/>
                <w:color w:val="000000" w:themeColor="text1"/>
                <w:spacing w:val="-1"/>
                <w14:textFill>
                  <w14:solidFill>
                    <w14:schemeClr w14:val="tx1"/>
                  </w14:solidFill>
                </w14:textFill>
              </w:rPr>
              <w:t>序号</w:t>
            </w:r>
          </w:p>
        </w:tc>
        <w:tc>
          <w:tcPr>
            <w:tcW w:w="1316" w:type="pct"/>
            <w:noWrap w:val="0"/>
            <w:vAlign w:val="center"/>
          </w:tcPr>
          <w:p w14:paraId="36D2638B">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b/>
                <w:bCs/>
                <w:color w:val="000000" w:themeColor="text1"/>
                <w:spacing w:val="-1"/>
                <w14:textFill>
                  <w14:solidFill>
                    <w14:schemeClr w14:val="tx1"/>
                  </w14:solidFill>
                </w14:textFill>
              </w:rPr>
            </w:pPr>
            <w:r>
              <w:rPr>
                <w:rFonts w:hint="default" w:ascii="Times New Roman" w:hAnsi="Times New Roman" w:cs="Times New Roman"/>
                <w:b/>
                <w:bCs/>
                <w:color w:val="000000" w:themeColor="text1"/>
                <w:spacing w:val="-1"/>
                <w14:textFill>
                  <w14:solidFill>
                    <w14:schemeClr w14:val="tx1"/>
                  </w14:solidFill>
                </w14:textFill>
              </w:rPr>
              <w:t>项目</w:t>
            </w:r>
          </w:p>
        </w:tc>
        <w:tc>
          <w:tcPr>
            <w:tcW w:w="708" w:type="pct"/>
            <w:noWrap w:val="0"/>
            <w:vAlign w:val="center"/>
          </w:tcPr>
          <w:p w14:paraId="0B31C8ED">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b/>
                <w:bCs/>
                <w:color w:val="000000" w:themeColor="text1"/>
                <w:spacing w:val="-1"/>
                <w14:textFill>
                  <w14:solidFill>
                    <w14:schemeClr w14:val="tx1"/>
                  </w14:solidFill>
                </w14:textFill>
              </w:rPr>
            </w:pPr>
            <w:r>
              <w:rPr>
                <w:rFonts w:hint="default" w:ascii="Times New Roman" w:hAnsi="Times New Roman" w:cs="Times New Roman"/>
                <w:b/>
                <w:bCs/>
                <w:color w:val="000000" w:themeColor="text1"/>
                <w:spacing w:val="-1"/>
                <w14:textFill>
                  <w14:solidFill>
                    <w14:schemeClr w14:val="tx1"/>
                  </w14:solidFill>
                </w14:textFill>
              </w:rPr>
              <w:t>标准值</w:t>
            </w:r>
          </w:p>
        </w:tc>
      </w:tr>
      <w:tr w14:paraId="4695B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70372979">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1</w:t>
            </w:r>
          </w:p>
        </w:tc>
        <w:tc>
          <w:tcPr>
            <w:tcW w:w="1358" w:type="pct"/>
            <w:noWrap w:val="0"/>
            <w:vAlign w:val="center"/>
          </w:tcPr>
          <w:p w14:paraId="3F03E539">
            <w:pPr>
              <w:keepNext w:val="0"/>
              <w:keepLines w:val="0"/>
              <w:suppressLineNumbers w:val="0"/>
              <w:snapToGrid w:val="0"/>
              <w:spacing w:before="0" w:beforeAutospacing="0" w:after="0" w:afterAutospacing="0" w:line="360" w:lineRule="exact"/>
              <w:ind w:left="0" w:right="0"/>
              <w:contextualSpacing/>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pH（无量纲）</w:t>
            </w:r>
          </w:p>
        </w:tc>
        <w:tc>
          <w:tcPr>
            <w:tcW w:w="760" w:type="pct"/>
            <w:noWrap w:val="0"/>
            <w:vAlign w:val="center"/>
          </w:tcPr>
          <w:p w14:paraId="041B5E04">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r>
              <w:rPr>
                <w:rFonts w:hint="eastAsia" w:ascii="Times New Roman" w:hAnsi="Times New Roman" w:cs="Times New Roman"/>
                <w:color w:val="000000" w:themeColor="text1"/>
                <w:szCs w:val="21"/>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8.5</w:t>
            </w:r>
          </w:p>
        </w:tc>
        <w:tc>
          <w:tcPr>
            <w:tcW w:w="416" w:type="pct"/>
            <w:noWrap w:val="0"/>
            <w:vAlign w:val="center"/>
          </w:tcPr>
          <w:p w14:paraId="65824D8E">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15</w:t>
            </w:r>
          </w:p>
        </w:tc>
        <w:tc>
          <w:tcPr>
            <w:tcW w:w="1316" w:type="pct"/>
            <w:noWrap w:val="0"/>
            <w:vAlign w:val="center"/>
          </w:tcPr>
          <w:p w14:paraId="28D35B97">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锰</w:t>
            </w:r>
          </w:p>
        </w:tc>
        <w:tc>
          <w:tcPr>
            <w:tcW w:w="708" w:type="pct"/>
            <w:noWrap w:val="0"/>
            <w:vAlign w:val="center"/>
          </w:tcPr>
          <w:p w14:paraId="4391E0A8">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14:paraId="029D6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7B60ADBC">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2</w:t>
            </w:r>
          </w:p>
        </w:tc>
        <w:tc>
          <w:tcPr>
            <w:tcW w:w="1358" w:type="pct"/>
            <w:noWrap w:val="0"/>
            <w:vAlign w:val="center"/>
          </w:tcPr>
          <w:p w14:paraId="44F74362">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高锰酸盐指数</w:t>
            </w:r>
          </w:p>
        </w:tc>
        <w:tc>
          <w:tcPr>
            <w:tcW w:w="760" w:type="pct"/>
            <w:noWrap w:val="0"/>
            <w:vAlign w:val="center"/>
          </w:tcPr>
          <w:p w14:paraId="109C73F6">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416" w:type="pct"/>
            <w:noWrap w:val="0"/>
            <w:vAlign w:val="center"/>
          </w:tcPr>
          <w:p w14:paraId="69409B9A">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16</w:t>
            </w:r>
          </w:p>
        </w:tc>
        <w:tc>
          <w:tcPr>
            <w:tcW w:w="1316" w:type="pct"/>
            <w:noWrap w:val="0"/>
            <w:vAlign w:val="center"/>
          </w:tcPr>
          <w:p w14:paraId="7FD97C69">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铅</w:t>
            </w:r>
          </w:p>
        </w:tc>
        <w:tc>
          <w:tcPr>
            <w:tcW w:w="708" w:type="pct"/>
            <w:noWrap w:val="0"/>
            <w:vAlign w:val="center"/>
          </w:tcPr>
          <w:p w14:paraId="56C2BDAA">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r>
      <w:tr w14:paraId="2C100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6F3B0E7B">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3</w:t>
            </w:r>
          </w:p>
        </w:tc>
        <w:tc>
          <w:tcPr>
            <w:tcW w:w="1358" w:type="pct"/>
            <w:noWrap w:val="0"/>
            <w:vAlign w:val="center"/>
          </w:tcPr>
          <w:p w14:paraId="325AB3F8">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氟化物</w:t>
            </w:r>
          </w:p>
        </w:tc>
        <w:tc>
          <w:tcPr>
            <w:tcW w:w="760" w:type="pct"/>
            <w:noWrap w:val="0"/>
            <w:vAlign w:val="center"/>
          </w:tcPr>
          <w:p w14:paraId="2628CDA8">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416" w:type="pct"/>
            <w:noWrap w:val="0"/>
            <w:vAlign w:val="center"/>
          </w:tcPr>
          <w:p w14:paraId="732D0F9A">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17</w:t>
            </w:r>
          </w:p>
        </w:tc>
        <w:tc>
          <w:tcPr>
            <w:tcW w:w="1316" w:type="pct"/>
            <w:noWrap w:val="0"/>
            <w:vAlign w:val="center"/>
          </w:tcPr>
          <w:p w14:paraId="36C6E1E2">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镉</w:t>
            </w:r>
          </w:p>
        </w:tc>
        <w:tc>
          <w:tcPr>
            <w:tcW w:w="708" w:type="pct"/>
            <w:noWrap w:val="0"/>
            <w:vAlign w:val="center"/>
          </w:tcPr>
          <w:p w14:paraId="163D1D2B">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≤0.005</w:t>
            </w:r>
          </w:p>
        </w:tc>
      </w:tr>
      <w:tr w14:paraId="04BD3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542C1D5E">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4</w:t>
            </w:r>
          </w:p>
        </w:tc>
        <w:tc>
          <w:tcPr>
            <w:tcW w:w="1358" w:type="pct"/>
            <w:noWrap w:val="0"/>
            <w:vAlign w:val="center"/>
          </w:tcPr>
          <w:p w14:paraId="46793C11">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氯化物</w:t>
            </w:r>
          </w:p>
        </w:tc>
        <w:tc>
          <w:tcPr>
            <w:tcW w:w="760" w:type="pct"/>
            <w:noWrap w:val="0"/>
            <w:vAlign w:val="center"/>
          </w:tcPr>
          <w:p w14:paraId="4ACD639A">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416" w:type="pct"/>
            <w:noWrap w:val="0"/>
            <w:vAlign w:val="center"/>
          </w:tcPr>
          <w:p w14:paraId="12026BD6">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18</w:t>
            </w:r>
          </w:p>
        </w:tc>
        <w:tc>
          <w:tcPr>
            <w:tcW w:w="1316" w:type="pct"/>
            <w:noWrap w:val="0"/>
            <w:vAlign w:val="center"/>
          </w:tcPr>
          <w:p w14:paraId="1904F69D">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总大肠菌群MPN/100mL</w:t>
            </w:r>
          </w:p>
        </w:tc>
        <w:tc>
          <w:tcPr>
            <w:tcW w:w="708" w:type="pct"/>
            <w:noWrap w:val="0"/>
            <w:vAlign w:val="center"/>
          </w:tcPr>
          <w:p w14:paraId="2B4282FA">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r>
      <w:tr w14:paraId="359EF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40" w:type="pct"/>
            <w:noWrap w:val="0"/>
            <w:vAlign w:val="center"/>
          </w:tcPr>
          <w:p w14:paraId="7FC4B3DC">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5</w:t>
            </w:r>
          </w:p>
        </w:tc>
        <w:tc>
          <w:tcPr>
            <w:tcW w:w="1358" w:type="pct"/>
            <w:noWrap w:val="0"/>
            <w:vAlign w:val="center"/>
          </w:tcPr>
          <w:p w14:paraId="0C4FB862">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硝酸盐</w:t>
            </w:r>
          </w:p>
        </w:tc>
        <w:tc>
          <w:tcPr>
            <w:tcW w:w="760" w:type="pct"/>
            <w:noWrap w:val="0"/>
            <w:vAlign w:val="center"/>
          </w:tcPr>
          <w:p w14:paraId="0CC80781">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416" w:type="pct"/>
            <w:noWrap w:val="0"/>
            <w:vAlign w:val="center"/>
          </w:tcPr>
          <w:p w14:paraId="11723D6F">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19</w:t>
            </w:r>
          </w:p>
        </w:tc>
        <w:tc>
          <w:tcPr>
            <w:tcW w:w="1316" w:type="pct"/>
            <w:noWrap w:val="0"/>
            <w:vAlign w:val="center"/>
          </w:tcPr>
          <w:p w14:paraId="01CE1517">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细菌总数CFU/mL</w:t>
            </w:r>
          </w:p>
        </w:tc>
        <w:tc>
          <w:tcPr>
            <w:tcW w:w="708" w:type="pct"/>
            <w:noWrap w:val="0"/>
            <w:vAlign w:val="center"/>
          </w:tcPr>
          <w:p w14:paraId="0744A510">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r>
      <w:tr w14:paraId="11FDA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3B68C05F">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6</w:t>
            </w:r>
          </w:p>
        </w:tc>
        <w:tc>
          <w:tcPr>
            <w:tcW w:w="1358" w:type="pct"/>
            <w:noWrap w:val="0"/>
            <w:vAlign w:val="center"/>
          </w:tcPr>
          <w:p w14:paraId="7A6D4D67">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硫酸盐</w:t>
            </w:r>
          </w:p>
        </w:tc>
        <w:tc>
          <w:tcPr>
            <w:tcW w:w="760" w:type="pct"/>
            <w:noWrap w:val="0"/>
            <w:vAlign w:val="center"/>
          </w:tcPr>
          <w:p w14:paraId="568DAB69">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416" w:type="pct"/>
            <w:noWrap w:val="0"/>
            <w:vAlign w:val="center"/>
          </w:tcPr>
          <w:p w14:paraId="6BA94EAB">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20</w:t>
            </w:r>
          </w:p>
        </w:tc>
        <w:tc>
          <w:tcPr>
            <w:tcW w:w="1316" w:type="pct"/>
            <w:noWrap w:val="0"/>
            <w:vAlign w:val="center"/>
          </w:tcPr>
          <w:p w14:paraId="13BD0332">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汞</w:t>
            </w:r>
          </w:p>
        </w:tc>
        <w:tc>
          <w:tcPr>
            <w:tcW w:w="708" w:type="pct"/>
            <w:noWrap w:val="0"/>
            <w:vAlign w:val="center"/>
          </w:tcPr>
          <w:p w14:paraId="6AB03039">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≤0.001</w:t>
            </w:r>
          </w:p>
        </w:tc>
      </w:tr>
      <w:tr w14:paraId="4D118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7A13FE91">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7</w:t>
            </w:r>
          </w:p>
        </w:tc>
        <w:tc>
          <w:tcPr>
            <w:tcW w:w="1358" w:type="pct"/>
            <w:noWrap w:val="0"/>
            <w:vAlign w:val="center"/>
          </w:tcPr>
          <w:p w14:paraId="4C924ADD">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亚硝酸盐</w:t>
            </w:r>
          </w:p>
        </w:tc>
        <w:tc>
          <w:tcPr>
            <w:tcW w:w="760" w:type="pct"/>
            <w:noWrap w:val="0"/>
            <w:vAlign w:val="center"/>
          </w:tcPr>
          <w:p w14:paraId="6F0C98F3">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416" w:type="pct"/>
            <w:noWrap w:val="0"/>
            <w:vAlign w:val="center"/>
          </w:tcPr>
          <w:p w14:paraId="2375A012">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14:textFill>
                  <w14:solidFill>
                    <w14:schemeClr w14:val="tx1"/>
                  </w14:solidFill>
                </w14:textFill>
              </w:rPr>
              <w:t>21</w:t>
            </w:r>
          </w:p>
        </w:tc>
        <w:tc>
          <w:tcPr>
            <w:tcW w:w="1316" w:type="pct"/>
            <w:noWrap w:val="0"/>
            <w:vAlign w:val="center"/>
          </w:tcPr>
          <w:p w14:paraId="227A6339">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砷</w:t>
            </w:r>
          </w:p>
        </w:tc>
        <w:tc>
          <w:tcPr>
            <w:tcW w:w="708" w:type="pct"/>
            <w:noWrap w:val="0"/>
            <w:vAlign w:val="center"/>
          </w:tcPr>
          <w:p w14:paraId="78F017ED">
            <w:pPr>
              <w:keepNext w:val="0"/>
              <w:keepLines w:val="0"/>
              <w:suppressLineNumbers w:val="0"/>
              <w:snapToGrid w:val="0"/>
              <w:spacing w:before="0" w:beforeAutospacing="0" w:after="0" w:afterAutospacing="0" w:line="360" w:lineRule="exact"/>
              <w:ind w:left="0" w:right="0"/>
              <w:contextualSpacing/>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r>
      <w:tr w14:paraId="3527D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2FE682F9">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8</w:t>
            </w:r>
          </w:p>
        </w:tc>
        <w:tc>
          <w:tcPr>
            <w:tcW w:w="1358" w:type="pct"/>
            <w:noWrap w:val="0"/>
            <w:vAlign w:val="center"/>
          </w:tcPr>
          <w:p w14:paraId="0204BB42">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总硬度</w:t>
            </w:r>
          </w:p>
        </w:tc>
        <w:tc>
          <w:tcPr>
            <w:tcW w:w="760" w:type="pct"/>
            <w:noWrap w:val="0"/>
            <w:vAlign w:val="center"/>
          </w:tcPr>
          <w:p w14:paraId="61A1A8F8">
            <w:pPr>
              <w:keepNext w:val="0"/>
              <w:keepLines w:val="0"/>
              <w:suppressLineNumbers w:val="0"/>
              <w:snapToGrid w:val="0"/>
              <w:spacing w:before="0" w:beforeAutospacing="0" w:after="0" w:afterAutospacing="0" w:line="360" w:lineRule="exact"/>
              <w:ind w:left="0" w:right="0"/>
              <w:contextualSpacing/>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≤450</w:t>
            </w:r>
          </w:p>
        </w:tc>
        <w:tc>
          <w:tcPr>
            <w:tcW w:w="416" w:type="pct"/>
            <w:noWrap w:val="0"/>
            <w:vAlign w:val="center"/>
          </w:tcPr>
          <w:p w14:paraId="045E7ADE">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14:textFill>
                  <w14:solidFill>
                    <w14:schemeClr w14:val="tx1"/>
                  </w14:solidFill>
                </w14:textFill>
              </w:rPr>
              <w:t>22</w:t>
            </w:r>
          </w:p>
        </w:tc>
        <w:tc>
          <w:tcPr>
            <w:tcW w:w="1316" w:type="pct"/>
            <w:noWrap w:val="0"/>
            <w:vAlign w:val="center"/>
          </w:tcPr>
          <w:p w14:paraId="77F25463">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钾</w:t>
            </w:r>
          </w:p>
        </w:tc>
        <w:tc>
          <w:tcPr>
            <w:tcW w:w="708" w:type="pct"/>
            <w:noWrap w:val="0"/>
            <w:vAlign w:val="center"/>
          </w:tcPr>
          <w:p w14:paraId="7097BAA5">
            <w:pPr>
              <w:keepNext w:val="0"/>
              <w:keepLines w:val="0"/>
              <w:suppressLineNumbers w:val="0"/>
              <w:snapToGrid w:val="0"/>
              <w:spacing w:before="0" w:beforeAutospacing="0" w:after="0" w:afterAutospacing="0" w:line="360" w:lineRule="exact"/>
              <w:ind w:left="0" w:right="0"/>
              <w:contextualSpacing/>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615BD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07E01187">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9</w:t>
            </w:r>
          </w:p>
        </w:tc>
        <w:tc>
          <w:tcPr>
            <w:tcW w:w="1358" w:type="pct"/>
            <w:noWrap w:val="0"/>
            <w:vAlign w:val="center"/>
          </w:tcPr>
          <w:p w14:paraId="3484D27F">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溶解性总固体</w:t>
            </w:r>
          </w:p>
        </w:tc>
        <w:tc>
          <w:tcPr>
            <w:tcW w:w="760" w:type="pct"/>
            <w:noWrap w:val="0"/>
            <w:vAlign w:val="center"/>
          </w:tcPr>
          <w:p w14:paraId="6409DEC0">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c>
          <w:tcPr>
            <w:tcW w:w="416" w:type="pct"/>
            <w:noWrap w:val="0"/>
            <w:vAlign w:val="center"/>
          </w:tcPr>
          <w:p w14:paraId="4106145E">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eastAsia" w:ascii="Times New Roman" w:hAnsi="Times New Roman" w:cs="Times New Roman"/>
                <w:color w:val="000000" w:themeColor="text1"/>
                <w:spacing w:val="-1"/>
                <w14:textFill>
                  <w14:solidFill>
                    <w14:schemeClr w14:val="tx1"/>
                  </w14:solidFill>
                </w14:textFill>
              </w:rPr>
              <w:t>23</w:t>
            </w:r>
          </w:p>
        </w:tc>
        <w:tc>
          <w:tcPr>
            <w:tcW w:w="1316" w:type="pct"/>
            <w:noWrap w:val="0"/>
            <w:vAlign w:val="center"/>
          </w:tcPr>
          <w:p w14:paraId="3D87EAEF">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钠</w:t>
            </w:r>
          </w:p>
        </w:tc>
        <w:tc>
          <w:tcPr>
            <w:tcW w:w="708" w:type="pct"/>
            <w:noWrap w:val="0"/>
            <w:vAlign w:val="center"/>
          </w:tcPr>
          <w:p w14:paraId="1D4F9A99">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200</w:t>
            </w:r>
          </w:p>
        </w:tc>
      </w:tr>
      <w:tr w14:paraId="157E5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1E2E8654">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10</w:t>
            </w:r>
          </w:p>
        </w:tc>
        <w:tc>
          <w:tcPr>
            <w:tcW w:w="1358" w:type="pct"/>
            <w:noWrap w:val="0"/>
            <w:vAlign w:val="center"/>
          </w:tcPr>
          <w:p w14:paraId="7014C59C">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氨氮</w:t>
            </w:r>
          </w:p>
        </w:tc>
        <w:tc>
          <w:tcPr>
            <w:tcW w:w="760" w:type="pct"/>
            <w:noWrap w:val="0"/>
            <w:vAlign w:val="center"/>
          </w:tcPr>
          <w:p w14:paraId="238096AC">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416" w:type="pct"/>
            <w:noWrap w:val="0"/>
            <w:vAlign w:val="center"/>
          </w:tcPr>
          <w:p w14:paraId="1057D8DE">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24</w:t>
            </w:r>
          </w:p>
        </w:tc>
        <w:tc>
          <w:tcPr>
            <w:tcW w:w="1316" w:type="pct"/>
            <w:noWrap w:val="0"/>
            <w:vAlign w:val="center"/>
          </w:tcPr>
          <w:p w14:paraId="700C6DE6">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钙</w:t>
            </w:r>
          </w:p>
        </w:tc>
        <w:tc>
          <w:tcPr>
            <w:tcW w:w="708" w:type="pct"/>
            <w:noWrap w:val="0"/>
            <w:vAlign w:val="center"/>
          </w:tcPr>
          <w:p w14:paraId="712F1942">
            <w:pPr>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3D0C8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23A92B96">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11</w:t>
            </w:r>
          </w:p>
        </w:tc>
        <w:tc>
          <w:tcPr>
            <w:tcW w:w="1358" w:type="pct"/>
            <w:noWrap w:val="0"/>
            <w:vAlign w:val="center"/>
          </w:tcPr>
          <w:p w14:paraId="175AC154">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六价铬</w:t>
            </w:r>
          </w:p>
        </w:tc>
        <w:tc>
          <w:tcPr>
            <w:tcW w:w="760" w:type="pct"/>
            <w:noWrap w:val="0"/>
            <w:vAlign w:val="center"/>
          </w:tcPr>
          <w:p w14:paraId="29126357">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416" w:type="pct"/>
            <w:noWrap w:val="0"/>
            <w:vAlign w:val="center"/>
          </w:tcPr>
          <w:p w14:paraId="3753A4B2">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25</w:t>
            </w:r>
          </w:p>
        </w:tc>
        <w:tc>
          <w:tcPr>
            <w:tcW w:w="1316" w:type="pct"/>
            <w:noWrap w:val="0"/>
            <w:vAlign w:val="center"/>
          </w:tcPr>
          <w:p w14:paraId="302C4A22">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镁</w:t>
            </w:r>
          </w:p>
        </w:tc>
        <w:tc>
          <w:tcPr>
            <w:tcW w:w="708" w:type="pct"/>
            <w:noWrap w:val="0"/>
            <w:vAlign w:val="center"/>
          </w:tcPr>
          <w:p w14:paraId="2C521ECE">
            <w:pPr>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27C38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2262782E">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12</w:t>
            </w:r>
          </w:p>
        </w:tc>
        <w:tc>
          <w:tcPr>
            <w:tcW w:w="1358" w:type="pct"/>
            <w:noWrap w:val="0"/>
            <w:vAlign w:val="center"/>
          </w:tcPr>
          <w:p w14:paraId="20634C83">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挥发酚</w:t>
            </w:r>
          </w:p>
        </w:tc>
        <w:tc>
          <w:tcPr>
            <w:tcW w:w="760" w:type="pct"/>
            <w:noWrap w:val="0"/>
            <w:vAlign w:val="center"/>
          </w:tcPr>
          <w:p w14:paraId="31228B7D">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c>
          <w:tcPr>
            <w:tcW w:w="416" w:type="pct"/>
            <w:noWrap w:val="0"/>
            <w:vAlign w:val="center"/>
          </w:tcPr>
          <w:p w14:paraId="3E06E215">
            <w:pPr>
              <w:pStyle w:val="651"/>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26</w:t>
            </w:r>
          </w:p>
        </w:tc>
        <w:tc>
          <w:tcPr>
            <w:tcW w:w="1316" w:type="pct"/>
            <w:noWrap w:val="0"/>
            <w:vAlign w:val="center"/>
          </w:tcPr>
          <w:p w14:paraId="328095A2">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碳酸盐</w:t>
            </w:r>
          </w:p>
        </w:tc>
        <w:tc>
          <w:tcPr>
            <w:tcW w:w="708" w:type="pct"/>
            <w:noWrap w:val="0"/>
            <w:vAlign w:val="center"/>
          </w:tcPr>
          <w:p w14:paraId="51E602BB">
            <w:pPr>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48EBD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40EDE43F">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13</w:t>
            </w:r>
          </w:p>
        </w:tc>
        <w:tc>
          <w:tcPr>
            <w:tcW w:w="1358" w:type="pct"/>
            <w:noWrap w:val="0"/>
            <w:vAlign w:val="center"/>
          </w:tcPr>
          <w:p w14:paraId="0240C5C5">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氰化物</w:t>
            </w:r>
          </w:p>
        </w:tc>
        <w:tc>
          <w:tcPr>
            <w:tcW w:w="760" w:type="pct"/>
            <w:noWrap w:val="0"/>
            <w:vAlign w:val="center"/>
          </w:tcPr>
          <w:p w14:paraId="0DE6D025">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416" w:type="pct"/>
            <w:noWrap w:val="0"/>
            <w:vAlign w:val="center"/>
          </w:tcPr>
          <w:p w14:paraId="0417B677">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27</w:t>
            </w:r>
          </w:p>
        </w:tc>
        <w:tc>
          <w:tcPr>
            <w:tcW w:w="1316" w:type="pct"/>
            <w:noWrap w:val="0"/>
            <w:vAlign w:val="center"/>
          </w:tcPr>
          <w:p w14:paraId="63025F1F">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重碳酸盐</w:t>
            </w:r>
          </w:p>
        </w:tc>
        <w:tc>
          <w:tcPr>
            <w:tcW w:w="708" w:type="pct"/>
            <w:noWrap w:val="0"/>
            <w:vAlign w:val="center"/>
          </w:tcPr>
          <w:p w14:paraId="36D0543C">
            <w:pPr>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7438D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45098295">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14:textFill>
                  <w14:solidFill>
                    <w14:schemeClr w14:val="tx1"/>
                  </w14:solidFill>
                </w14:textFill>
              </w:rPr>
            </w:pPr>
            <w:r>
              <w:rPr>
                <w:rFonts w:hint="eastAsia" w:ascii="Times New Roman" w:hAnsi="Times New Roman" w:cs="Times New Roman"/>
                <w:color w:val="000000" w:themeColor="text1"/>
                <w:spacing w:val="-1"/>
                <w14:textFill>
                  <w14:solidFill>
                    <w14:schemeClr w14:val="tx1"/>
                  </w14:solidFill>
                </w14:textFill>
              </w:rPr>
              <w:t>14</w:t>
            </w:r>
          </w:p>
        </w:tc>
        <w:tc>
          <w:tcPr>
            <w:tcW w:w="1358" w:type="pct"/>
            <w:noWrap w:val="0"/>
            <w:vAlign w:val="center"/>
          </w:tcPr>
          <w:p w14:paraId="35DF9BE5">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铁</w:t>
            </w:r>
          </w:p>
        </w:tc>
        <w:tc>
          <w:tcPr>
            <w:tcW w:w="760" w:type="pct"/>
            <w:noWrap w:val="0"/>
            <w:vAlign w:val="center"/>
          </w:tcPr>
          <w:p w14:paraId="012A5382">
            <w:pPr>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416" w:type="pct"/>
            <w:noWrap w:val="0"/>
            <w:vAlign w:val="center"/>
          </w:tcPr>
          <w:p w14:paraId="6785DA90">
            <w:pPr>
              <w:pStyle w:val="651"/>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pacing w:val="-1"/>
                <w:szCs w:val="24"/>
                <w14:textFill>
                  <w14:solidFill>
                    <w14:schemeClr w14:val="tx1"/>
                  </w14:solidFill>
                </w14:textFill>
              </w:rPr>
            </w:pPr>
            <w:r>
              <w:rPr>
                <w:rFonts w:hint="eastAsia" w:ascii="Times New Roman" w:hAnsi="Times New Roman" w:cs="Times New Roman"/>
                <w:color w:val="000000" w:themeColor="text1"/>
                <w:spacing w:val="-1"/>
                <w:szCs w:val="24"/>
                <w14:textFill>
                  <w14:solidFill>
                    <w14:schemeClr w14:val="tx1"/>
                  </w14:solidFill>
                </w14:textFill>
              </w:rPr>
              <w:t>-</w:t>
            </w:r>
          </w:p>
        </w:tc>
        <w:tc>
          <w:tcPr>
            <w:tcW w:w="1316" w:type="pct"/>
            <w:noWrap w:val="0"/>
            <w:vAlign w:val="center"/>
          </w:tcPr>
          <w:p w14:paraId="6BBAF9AD">
            <w:pPr>
              <w:keepNext w:val="0"/>
              <w:keepLines w:val="0"/>
              <w:suppressLineNumbers w:val="0"/>
              <w:snapToGrid w:val="0"/>
              <w:spacing w:before="0" w:beforeAutospacing="0" w:after="0" w:afterAutospacing="0" w:line="360" w:lineRule="exact"/>
              <w:ind w:left="0" w:right="0"/>
              <w:contextualSpacing/>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708" w:type="pct"/>
            <w:noWrap w:val="0"/>
            <w:vAlign w:val="center"/>
          </w:tcPr>
          <w:p w14:paraId="3265BE7A">
            <w:pPr>
              <w:keepNext w:val="0"/>
              <w:keepLines w:val="0"/>
              <w:suppressLineNumbers w:val="0"/>
              <w:snapToGrid w:val="0"/>
              <w:spacing w:before="0" w:beforeAutospacing="0" w:after="0" w:afterAutospacing="0" w:line="360" w:lineRule="exact"/>
              <w:ind w:left="0" w:right="0"/>
              <w:contextualSpacing/>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bl>
    <w:p w14:paraId="0CF30F37">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2.4</w:t>
      </w:r>
      <w:r>
        <w:rPr>
          <w:rFonts w:ascii="Times New Roman" w:hAnsi="Times New Roman"/>
          <w:bCs w:val="0"/>
          <w:color w:val="000000" w:themeColor="text1"/>
          <w:kern w:val="2"/>
          <w:szCs w:val="24"/>
          <w14:textFill>
            <w14:solidFill>
              <w14:schemeClr w14:val="tx1"/>
            </w14:solidFill>
          </w14:textFill>
        </w:rPr>
        <w:t>.2.3声环境质量标准</w:t>
      </w:r>
    </w:p>
    <w:p w14:paraId="6AEA936B">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声环境按照</w:t>
      </w:r>
      <w:r>
        <w:rPr>
          <w:color w:val="000000" w:themeColor="text1"/>
          <w:sz w:val="24"/>
          <w:szCs w:val="24"/>
          <w14:textFill>
            <w14:solidFill>
              <w14:schemeClr w14:val="tx1"/>
            </w14:solidFill>
          </w14:textFill>
        </w:rPr>
        <w:t>《声环境质量标准》（GB3096-2008）2类标准执行，具体标准限值见表</w:t>
      </w:r>
      <w:r>
        <w:rPr>
          <w:rFonts w:hint="eastAsia"/>
          <w:color w:val="000000" w:themeColor="text1"/>
          <w:sz w:val="24"/>
          <w:szCs w:val="24"/>
          <w14:textFill>
            <w14:solidFill>
              <w14:schemeClr w14:val="tx1"/>
            </w14:solidFill>
          </w14:textFill>
        </w:rPr>
        <w:t>2.4</w:t>
      </w:r>
      <w:r>
        <w:rPr>
          <w:color w:val="000000" w:themeColor="text1"/>
          <w:sz w:val="24"/>
          <w:szCs w:val="24"/>
          <w14:textFill>
            <w14:solidFill>
              <w14:schemeClr w14:val="tx1"/>
            </w14:solidFill>
          </w14:textFill>
        </w:rPr>
        <w:t>-3。</w:t>
      </w:r>
    </w:p>
    <w:p w14:paraId="11BF1C01">
      <w:pPr>
        <w:spacing w:line="480" w:lineRule="exact"/>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2.4</w:t>
      </w:r>
      <w:r>
        <w:rPr>
          <w:b/>
          <w:bCs/>
          <w:color w:val="000000" w:themeColor="text1"/>
          <w:sz w:val="24"/>
          <w:szCs w:val="24"/>
          <w14:textFill>
            <w14:solidFill>
              <w14:schemeClr w14:val="tx1"/>
            </w14:solidFill>
          </w14:textFill>
        </w:rPr>
        <w:t>-3    声环境质量标准    单位：dB（A）</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5679"/>
        <w:gridCol w:w="1098"/>
        <w:gridCol w:w="1028"/>
      </w:tblGrid>
      <w:tr w14:paraId="0C22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tcBorders>
              <w:top w:val="single" w:color="auto" w:sz="12" w:space="0"/>
              <w:left w:val="single" w:color="auto" w:sz="12" w:space="0"/>
            </w:tcBorders>
            <w:noWrap w:val="0"/>
            <w:vAlign w:val="center"/>
          </w:tcPr>
          <w:p w14:paraId="0FC42A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类别</w:t>
            </w:r>
          </w:p>
        </w:tc>
        <w:tc>
          <w:tcPr>
            <w:tcW w:w="3332" w:type="pct"/>
            <w:tcBorders>
              <w:top w:val="single" w:color="auto" w:sz="12" w:space="0"/>
            </w:tcBorders>
            <w:noWrap w:val="0"/>
            <w:vAlign w:val="center"/>
          </w:tcPr>
          <w:p w14:paraId="111CFBA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适用区域</w:t>
            </w:r>
          </w:p>
        </w:tc>
        <w:tc>
          <w:tcPr>
            <w:tcW w:w="644" w:type="pct"/>
            <w:tcBorders>
              <w:top w:val="single" w:color="auto" w:sz="12" w:space="0"/>
            </w:tcBorders>
            <w:noWrap w:val="0"/>
            <w:vAlign w:val="center"/>
          </w:tcPr>
          <w:p w14:paraId="6E2A65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昼间</w:t>
            </w:r>
          </w:p>
        </w:tc>
        <w:tc>
          <w:tcPr>
            <w:tcW w:w="603" w:type="pct"/>
            <w:tcBorders>
              <w:top w:val="single" w:color="auto" w:sz="12" w:space="0"/>
              <w:right w:val="single" w:color="auto" w:sz="12" w:space="0"/>
            </w:tcBorders>
            <w:noWrap w:val="0"/>
            <w:vAlign w:val="center"/>
          </w:tcPr>
          <w:p w14:paraId="4AE9B3C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夜间</w:t>
            </w:r>
          </w:p>
        </w:tc>
      </w:tr>
      <w:tr w14:paraId="6802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tcBorders>
              <w:left w:val="single" w:color="auto" w:sz="12" w:space="0"/>
              <w:bottom w:val="single" w:color="auto" w:sz="12" w:space="0"/>
            </w:tcBorders>
            <w:noWrap w:val="0"/>
            <w:vAlign w:val="center"/>
          </w:tcPr>
          <w:p w14:paraId="2C34E4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2类</w:t>
            </w:r>
          </w:p>
        </w:tc>
        <w:tc>
          <w:tcPr>
            <w:tcW w:w="3332" w:type="pct"/>
            <w:tcBorders>
              <w:bottom w:val="single" w:color="auto" w:sz="12" w:space="0"/>
            </w:tcBorders>
            <w:noWrap w:val="0"/>
            <w:vAlign w:val="center"/>
          </w:tcPr>
          <w:p w14:paraId="6D5C5BB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以商业金融、集市贸易为主要功能，或者居住、商业、工业混杂，需要维护住宅安静的区域</w:t>
            </w:r>
          </w:p>
        </w:tc>
        <w:tc>
          <w:tcPr>
            <w:tcW w:w="644" w:type="pct"/>
            <w:tcBorders>
              <w:bottom w:val="single" w:color="auto" w:sz="12" w:space="0"/>
            </w:tcBorders>
            <w:noWrap w:val="0"/>
            <w:vAlign w:val="center"/>
          </w:tcPr>
          <w:p w14:paraId="52BDE1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60</w:t>
            </w:r>
          </w:p>
        </w:tc>
        <w:tc>
          <w:tcPr>
            <w:tcW w:w="603" w:type="pct"/>
            <w:tcBorders>
              <w:bottom w:val="single" w:color="auto" w:sz="12" w:space="0"/>
              <w:right w:val="single" w:color="auto" w:sz="12" w:space="0"/>
            </w:tcBorders>
            <w:noWrap w:val="0"/>
            <w:vAlign w:val="center"/>
          </w:tcPr>
          <w:p w14:paraId="194DF56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50</w:t>
            </w:r>
          </w:p>
        </w:tc>
      </w:tr>
    </w:tbl>
    <w:p w14:paraId="73C3AB6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2.4</w:t>
      </w:r>
      <w:r>
        <w:rPr>
          <w:rFonts w:ascii="Times New Roman" w:hAnsi="Times New Roman"/>
          <w:bCs w:val="0"/>
          <w:color w:val="000000" w:themeColor="text1"/>
          <w:kern w:val="2"/>
          <w:szCs w:val="24"/>
          <w14:textFill>
            <w14:solidFill>
              <w14:schemeClr w14:val="tx1"/>
            </w14:solidFill>
          </w14:textFill>
        </w:rPr>
        <w:t>.2.4土壤环境质量标准</w:t>
      </w:r>
    </w:p>
    <w:p w14:paraId="58648CAC">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本项目用地</w:t>
      </w:r>
      <w:r>
        <w:rPr>
          <w:color w:val="000000" w:themeColor="text1"/>
          <w:sz w:val="24"/>
          <w14:textFill>
            <w14:solidFill>
              <w14:schemeClr w14:val="tx1"/>
            </w14:solidFill>
          </w14:textFill>
        </w:rPr>
        <w:t>属于《城市用地分类与规划建设用地标准》（GB50137-2011）中规定的二类工业用地（M2），</w:t>
      </w:r>
      <w:r>
        <w:rPr>
          <w:rFonts w:hint="eastAsia"/>
          <w:color w:val="000000" w:themeColor="text1"/>
          <w:sz w:val="24"/>
          <w14:textFill>
            <w14:solidFill>
              <w14:schemeClr w14:val="tx1"/>
            </w14:solidFill>
          </w14:textFill>
        </w:rPr>
        <w:t>评价区土地利用现状为戈壁、裸岩石砾地，土壤类型为石膏盐盘棕漠土，</w:t>
      </w:r>
      <w:r>
        <w:rPr>
          <w:color w:val="000000" w:themeColor="text1"/>
          <w:sz w:val="24"/>
          <w14:textFill>
            <w14:solidFill>
              <w14:schemeClr w14:val="tx1"/>
            </w14:solidFill>
          </w14:textFill>
        </w:rPr>
        <w:t>土壤环境质量执行《土壤环境质量 建设用地土壤污染风险管控标准（试行）》（GB36600-2018）中的第二类筛选值标准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评价标准限值见表</w:t>
      </w: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p>
    <w:p w14:paraId="21C12965">
      <w:pPr>
        <w:spacing w:line="480" w:lineRule="exact"/>
        <w:ind w:firstLine="480" w:firstLineChars="200"/>
        <w:rPr>
          <w:color w:val="000000" w:themeColor="text1"/>
          <w:sz w:val="24"/>
          <w14:textFill>
            <w14:solidFill>
              <w14:schemeClr w14:val="tx1"/>
            </w14:solidFill>
          </w14:textFill>
        </w:rPr>
      </w:pPr>
    </w:p>
    <w:p w14:paraId="4E938489">
      <w:pPr>
        <w:spacing w:line="480" w:lineRule="exact"/>
        <w:jc w:val="center"/>
        <w:rPr>
          <w:color w:val="000000" w:themeColor="text1"/>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2.4</w:t>
      </w:r>
      <w:r>
        <w:rPr>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4</w:t>
      </w:r>
      <w:r>
        <w:rPr>
          <w:b/>
          <w:bCs/>
          <w:color w:val="000000" w:themeColor="text1"/>
          <w:sz w:val="24"/>
          <w:szCs w:val="24"/>
          <w14:textFill>
            <w14:solidFill>
              <w14:schemeClr w14:val="tx1"/>
            </w14:solidFill>
          </w14:textFill>
        </w:rPr>
        <w:t xml:space="preserve">    土壤环境质量 建设用地土壤污染风险管控标准    单位：mg/kg</w:t>
      </w:r>
    </w:p>
    <w:tbl>
      <w:tblPr>
        <w:tblStyle w:val="79"/>
        <w:tblW w:w="5049" w:type="pct"/>
        <w:tblInd w:w="-8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131"/>
        <w:gridCol w:w="669"/>
        <w:gridCol w:w="2309"/>
        <w:gridCol w:w="2064"/>
        <w:gridCol w:w="2271"/>
      </w:tblGrid>
      <w:tr w14:paraId="6E72D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670" w:type="pct"/>
            <w:noWrap w:val="0"/>
            <w:vAlign w:val="center"/>
          </w:tcPr>
          <w:p w14:paraId="5CDE2D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类别</w:t>
            </w:r>
          </w:p>
        </w:tc>
        <w:tc>
          <w:tcPr>
            <w:tcW w:w="396" w:type="pct"/>
            <w:noWrap w:val="0"/>
            <w:vAlign w:val="center"/>
          </w:tcPr>
          <w:p w14:paraId="182905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序号</w:t>
            </w:r>
          </w:p>
        </w:tc>
        <w:tc>
          <w:tcPr>
            <w:tcW w:w="1367" w:type="pct"/>
            <w:noWrap w:val="0"/>
            <w:vAlign w:val="center"/>
          </w:tcPr>
          <w:p w14:paraId="0FED1B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污染物项目</w:t>
            </w:r>
          </w:p>
        </w:tc>
        <w:tc>
          <w:tcPr>
            <w:tcW w:w="1222" w:type="pct"/>
            <w:noWrap w:val="0"/>
            <w:vAlign w:val="center"/>
          </w:tcPr>
          <w:p w14:paraId="0DB04F6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标准值</w:t>
            </w:r>
          </w:p>
        </w:tc>
        <w:tc>
          <w:tcPr>
            <w:tcW w:w="1343" w:type="pct"/>
            <w:noWrap w:val="0"/>
            <w:vAlign w:val="center"/>
          </w:tcPr>
          <w:p w14:paraId="78E3345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执行标准</w:t>
            </w:r>
          </w:p>
        </w:tc>
      </w:tr>
      <w:tr w14:paraId="4981A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5000" w:type="pct"/>
            <w:gridSpan w:val="5"/>
            <w:noWrap w:val="0"/>
            <w:vAlign w:val="center"/>
          </w:tcPr>
          <w:p w14:paraId="7E3454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重金属和无机物</w:t>
            </w:r>
          </w:p>
        </w:tc>
      </w:tr>
      <w:tr w14:paraId="2171F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restart"/>
            <w:noWrap w:val="0"/>
            <w:vAlign w:val="center"/>
          </w:tcPr>
          <w:p w14:paraId="549F12A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第二类用地筛选值</w:t>
            </w:r>
          </w:p>
        </w:tc>
        <w:tc>
          <w:tcPr>
            <w:tcW w:w="396" w:type="pct"/>
            <w:noWrap w:val="0"/>
            <w:vAlign w:val="center"/>
          </w:tcPr>
          <w:p w14:paraId="5D9897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1367" w:type="pct"/>
            <w:noWrap w:val="0"/>
            <w:vAlign w:val="center"/>
          </w:tcPr>
          <w:p w14:paraId="4548FD0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砷</w:t>
            </w:r>
          </w:p>
        </w:tc>
        <w:tc>
          <w:tcPr>
            <w:tcW w:w="1222" w:type="pct"/>
            <w:noWrap w:val="0"/>
            <w:vAlign w:val="center"/>
          </w:tcPr>
          <w:p w14:paraId="593C4E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60</w:t>
            </w:r>
          </w:p>
        </w:tc>
        <w:tc>
          <w:tcPr>
            <w:tcW w:w="1343" w:type="pct"/>
            <w:vMerge w:val="restart"/>
            <w:noWrap w:val="0"/>
            <w:vAlign w:val="center"/>
          </w:tcPr>
          <w:p w14:paraId="39DDDE4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《土壤环境质量 建设用地土壤污染风险管控标准》（GB36600-2018）</w:t>
            </w:r>
          </w:p>
        </w:tc>
      </w:tr>
      <w:tr w14:paraId="69BA8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3592AC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7C3F0D5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w:t>
            </w:r>
          </w:p>
        </w:tc>
        <w:tc>
          <w:tcPr>
            <w:tcW w:w="1367" w:type="pct"/>
            <w:noWrap w:val="0"/>
            <w:vAlign w:val="center"/>
          </w:tcPr>
          <w:p w14:paraId="3BB090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镉</w:t>
            </w:r>
          </w:p>
        </w:tc>
        <w:tc>
          <w:tcPr>
            <w:tcW w:w="1222" w:type="pct"/>
            <w:noWrap w:val="0"/>
            <w:vAlign w:val="center"/>
          </w:tcPr>
          <w:p w14:paraId="7E5CDF4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65</w:t>
            </w:r>
          </w:p>
        </w:tc>
        <w:tc>
          <w:tcPr>
            <w:tcW w:w="1343" w:type="pct"/>
            <w:vMerge w:val="continue"/>
            <w:noWrap w:val="0"/>
            <w:vAlign w:val="center"/>
          </w:tcPr>
          <w:p w14:paraId="4CAB71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0FD13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75BA782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35BBE9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w:t>
            </w:r>
          </w:p>
        </w:tc>
        <w:tc>
          <w:tcPr>
            <w:tcW w:w="1367" w:type="pct"/>
            <w:noWrap w:val="0"/>
            <w:vAlign w:val="center"/>
          </w:tcPr>
          <w:p w14:paraId="49C082B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六价铬</w:t>
            </w:r>
          </w:p>
        </w:tc>
        <w:tc>
          <w:tcPr>
            <w:tcW w:w="1222" w:type="pct"/>
            <w:noWrap w:val="0"/>
            <w:vAlign w:val="center"/>
          </w:tcPr>
          <w:p w14:paraId="5307E84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5.7</w:t>
            </w:r>
          </w:p>
        </w:tc>
        <w:tc>
          <w:tcPr>
            <w:tcW w:w="1343" w:type="pct"/>
            <w:vMerge w:val="continue"/>
            <w:noWrap w:val="0"/>
            <w:vAlign w:val="center"/>
          </w:tcPr>
          <w:p w14:paraId="392DF62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541EE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68ECE5B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477CE5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w:t>
            </w:r>
          </w:p>
        </w:tc>
        <w:tc>
          <w:tcPr>
            <w:tcW w:w="1367" w:type="pct"/>
            <w:noWrap w:val="0"/>
            <w:vAlign w:val="center"/>
          </w:tcPr>
          <w:p w14:paraId="0B27E26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铜</w:t>
            </w:r>
          </w:p>
        </w:tc>
        <w:tc>
          <w:tcPr>
            <w:tcW w:w="1222" w:type="pct"/>
            <w:noWrap w:val="0"/>
            <w:vAlign w:val="center"/>
          </w:tcPr>
          <w:p w14:paraId="195CC60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18000</w:t>
            </w:r>
          </w:p>
        </w:tc>
        <w:tc>
          <w:tcPr>
            <w:tcW w:w="1343" w:type="pct"/>
            <w:vMerge w:val="continue"/>
            <w:noWrap w:val="0"/>
            <w:vAlign w:val="center"/>
          </w:tcPr>
          <w:p w14:paraId="786C672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75BA7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2F8D4D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C5DB9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w:t>
            </w:r>
          </w:p>
        </w:tc>
        <w:tc>
          <w:tcPr>
            <w:tcW w:w="1367" w:type="pct"/>
            <w:noWrap w:val="0"/>
            <w:vAlign w:val="center"/>
          </w:tcPr>
          <w:p w14:paraId="42BF2EC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铅</w:t>
            </w:r>
          </w:p>
        </w:tc>
        <w:tc>
          <w:tcPr>
            <w:tcW w:w="1222" w:type="pct"/>
            <w:noWrap w:val="0"/>
            <w:vAlign w:val="center"/>
          </w:tcPr>
          <w:p w14:paraId="227E847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800</w:t>
            </w:r>
          </w:p>
        </w:tc>
        <w:tc>
          <w:tcPr>
            <w:tcW w:w="1343" w:type="pct"/>
            <w:vMerge w:val="continue"/>
            <w:noWrap w:val="0"/>
            <w:vAlign w:val="center"/>
          </w:tcPr>
          <w:p w14:paraId="74095B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5DDF6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67AC42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5212719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w:t>
            </w:r>
          </w:p>
        </w:tc>
        <w:tc>
          <w:tcPr>
            <w:tcW w:w="1367" w:type="pct"/>
            <w:noWrap w:val="0"/>
            <w:vAlign w:val="center"/>
          </w:tcPr>
          <w:p w14:paraId="1BF8687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汞</w:t>
            </w:r>
          </w:p>
        </w:tc>
        <w:tc>
          <w:tcPr>
            <w:tcW w:w="1222" w:type="pct"/>
            <w:noWrap w:val="0"/>
            <w:vAlign w:val="center"/>
          </w:tcPr>
          <w:p w14:paraId="50020A4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38</w:t>
            </w:r>
          </w:p>
        </w:tc>
        <w:tc>
          <w:tcPr>
            <w:tcW w:w="1343" w:type="pct"/>
            <w:vMerge w:val="continue"/>
            <w:noWrap w:val="0"/>
            <w:vAlign w:val="center"/>
          </w:tcPr>
          <w:p w14:paraId="7FC66F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B115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670" w:type="pct"/>
            <w:vMerge w:val="continue"/>
            <w:noWrap w:val="0"/>
            <w:vAlign w:val="center"/>
          </w:tcPr>
          <w:p w14:paraId="0F0570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760F32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w:t>
            </w:r>
          </w:p>
        </w:tc>
        <w:tc>
          <w:tcPr>
            <w:tcW w:w="1367" w:type="pct"/>
            <w:noWrap w:val="0"/>
            <w:vAlign w:val="center"/>
          </w:tcPr>
          <w:p w14:paraId="179439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镍</w:t>
            </w:r>
          </w:p>
        </w:tc>
        <w:tc>
          <w:tcPr>
            <w:tcW w:w="1222" w:type="pct"/>
            <w:noWrap w:val="0"/>
            <w:vAlign w:val="center"/>
          </w:tcPr>
          <w:p w14:paraId="7C171E3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900</w:t>
            </w:r>
          </w:p>
        </w:tc>
        <w:tc>
          <w:tcPr>
            <w:tcW w:w="1343" w:type="pct"/>
            <w:vMerge w:val="continue"/>
            <w:noWrap w:val="0"/>
            <w:vAlign w:val="center"/>
          </w:tcPr>
          <w:p w14:paraId="2D99F52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536E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5000" w:type="pct"/>
            <w:gridSpan w:val="5"/>
            <w:noWrap w:val="0"/>
            <w:vAlign w:val="center"/>
          </w:tcPr>
          <w:p w14:paraId="1357DD5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挥发性有机物</w:t>
            </w:r>
          </w:p>
        </w:tc>
      </w:tr>
      <w:tr w14:paraId="18D19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restart"/>
            <w:noWrap w:val="0"/>
            <w:vAlign w:val="center"/>
          </w:tcPr>
          <w:p w14:paraId="39763A8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第二类用地筛选值</w:t>
            </w:r>
          </w:p>
        </w:tc>
        <w:tc>
          <w:tcPr>
            <w:tcW w:w="396" w:type="pct"/>
            <w:noWrap w:val="0"/>
            <w:vAlign w:val="center"/>
          </w:tcPr>
          <w:p w14:paraId="75140B2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8</w:t>
            </w:r>
          </w:p>
        </w:tc>
        <w:tc>
          <w:tcPr>
            <w:tcW w:w="1367" w:type="pct"/>
            <w:noWrap w:val="0"/>
            <w:vAlign w:val="center"/>
          </w:tcPr>
          <w:p w14:paraId="286BCD4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四氯化碳</w:t>
            </w:r>
          </w:p>
        </w:tc>
        <w:tc>
          <w:tcPr>
            <w:tcW w:w="1222" w:type="pct"/>
            <w:noWrap w:val="0"/>
            <w:vAlign w:val="center"/>
          </w:tcPr>
          <w:p w14:paraId="6204339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c>
          <w:tcPr>
            <w:tcW w:w="1343" w:type="pct"/>
            <w:vMerge w:val="restart"/>
            <w:noWrap w:val="0"/>
            <w:vAlign w:val="center"/>
          </w:tcPr>
          <w:p w14:paraId="007123A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《土壤环境质量 建设用地土壤污染风险管控标准》（GB36600-2018）</w:t>
            </w:r>
          </w:p>
        </w:tc>
      </w:tr>
      <w:tr w14:paraId="7BB86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5EAE048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16468C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9</w:t>
            </w:r>
          </w:p>
        </w:tc>
        <w:tc>
          <w:tcPr>
            <w:tcW w:w="1367" w:type="pct"/>
            <w:noWrap w:val="0"/>
            <w:vAlign w:val="center"/>
          </w:tcPr>
          <w:p w14:paraId="37E059C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氯仿</w:t>
            </w:r>
          </w:p>
        </w:tc>
        <w:tc>
          <w:tcPr>
            <w:tcW w:w="1222" w:type="pct"/>
            <w:noWrap w:val="0"/>
            <w:vAlign w:val="center"/>
          </w:tcPr>
          <w:p w14:paraId="0B12388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0.9</w:t>
            </w:r>
          </w:p>
        </w:tc>
        <w:tc>
          <w:tcPr>
            <w:tcW w:w="1343" w:type="pct"/>
            <w:vMerge w:val="continue"/>
            <w:noWrap w:val="0"/>
            <w:vAlign w:val="center"/>
          </w:tcPr>
          <w:p w14:paraId="2954A7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C084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0CD4A1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912BAA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10</w:t>
            </w:r>
          </w:p>
        </w:tc>
        <w:tc>
          <w:tcPr>
            <w:tcW w:w="1367" w:type="pct"/>
            <w:noWrap w:val="0"/>
            <w:vAlign w:val="center"/>
          </w:tcPr>
          <w:p w14:paraId="2F81C50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氯甲烷</w:t>
            </w:r>
          </w:p>
        </w:tc>
        <w:tc>
          <w:tcPr>
            <w:tcW w:w="1222" w:type="pct"/>
            <w:noWrap w:val="0"/>
            <w:vAlign w:val="center"/>
          </w:tcPr>
          <w:p w14:paraId="776B0A8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37</w:t>
            </w:r>
          </w:p>
        </w:tc>
        <w:tc>
          <w:tcPr>
            <w:tcW w:w="1343" w:type="pct"/>
            <w:vMerge w:val="continue"/>
            <w:noWrap w:val="0"/>
            <w:vAlign w:val="center"/>
          </w:tcPr>
          <w:p w14:paraId="47DEC2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3933F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1153CB7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5BDF9F0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w:t>
            </w:r>
          </w:p>
        </w:tc>
        <w:tc>
          <w:tcPr>
            <w:tcW w:w="1367" w:type="pct"/>
            <w:noWrap w:val="0"/>
            <w:vAlign w:val="center"/>
          </w:tcPr>
          <w:p w14:paraId="4EA0023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1，1-二氯乙烷</w:t>
            </w:r>
          </w:p>
        </w:tc>
        <w:tc>
          <w:tcPr>
            <w:tcW w:w="1222" w:type="pct"/>
            <w:noWrap w:val="0"/>
            <w:vAlign w:val="center"/>
          </w:tcPr>
          <w:p w14:paraId="6CBA4A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9</w:t>
            </w:r>
          </w:p>
        </w:tc>
        <w:tc>
          <w:tcPr>
            <w:tcW w:w="1343" w:type="pct"/>
            <w:vMerge w:val="continue"/>
            <w:noWrap w:val="0"/>
            <w:vAlign w:val="center"/>
          </w:tcPr>
          <w:p w14:paraId="7D598B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838B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2225D9C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2C5E1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w:t>
            </w:r>
          </w:p>
        </w:tc>
        <w:tc>
          <w:tcPr>
            <w:tcW w:w="1367" w:type="pct"/>
            <w:noWrap w:val="0"/>
            <w:vAlign w:val="center"/>
          </w:tcPr>
          <w:p w14:paraId="6980EFA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r>
              <w:rPr>
                <w:rFonts w:hint="eastAsia"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2-二氯乙烷</w:t>
            </w:r>
          </w:p>
        </w:tc>
        <w:tc>
          <w:tcPr>
            <w:tcW w:w="1222" w:type="pct"/>
            <w:noWrap w:val="0"/>
            <w:vAlign w:val="center"/>
          </w:tcPr>
          <w:p w14:paraId="285BD7E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w:t>
            </w:r>
          </w:p>
        </w:tc>
        <w:tc>
          <w:tcPr>
            <w:tcW w:w="1343" w:type="pct"/>
            <w:vMerge w:val="continue"/>
            <w:noWrap w:val="0"/>
            <w:vAlign w:val="center"/>
          </w:tcPr>
          <w:p w14:paraId="5B655A3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5AD7B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670" w:type="pct"/>
            <w:vMerge w:val="continue"/>
            <w:noWrap w:val="0"/>
            <w:vAlign w:val="center"/>
          </w:tcPr>
          <w:p w14:paraId="081FA68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42BDE9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13</w:t>
            </w:r>
          </w:p>
        </w:tc>
        <w:tc>
          <w:tcPr>
            <w:tcW w:w="1367" w:type="pct"/>
            <w:noWrap w:val="0"/>
            <w:vAlign w:val="center"/>
          </w:tcPr>
          <w:p w14:paraId="00B2B29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1，1-二氯乙烯</w:t>
            </w:r>
          </w:p>
        </w:tc>
        <w:tc>
          <w:tcPr>
            <w:tcW w:w="1222" w:type="pct"/>
            <w:noWrap w:val="0"/>
            <w:vAlign w:val="center"/>
          </w:tcPr>
          <w:p w14:paraId="2C988B2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66</w:t>
            </w:r>
          </w:p>
        </w:tc>
        <w:tc>
          <w:tcPr>
            <w:tcW w:w="1343" w:type="pct"/>
            <w:vMerge w:val="continue"/>
            <w:noWrap w:val="0"/>
            <w:vAlign w:val="center"/>
          </w:tcPr>
          <w:p w14:paraId="20FB9BC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708D5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4B4C33E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0EC9AC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14</w:t>
            </w:r>
          </w:p>
        </w:tc>
        <w:tc>
          <w:tcPr>
            <w:tcW w:w="1367" w:type="pct"/>
            <w:noWrap w:val="0"/>
            <w:vAlign w:val="center"/>
          </w:tcPr>
          <w:p w14:paraId="562811C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顺-1，2-二氯乙烯</w:t>
            </w:r>
          </w:p>
        </w:tc>
        <w:tc>
          <w:tcPr>
            <w:tcW w:w="1222" w:type="pct"/>
            <w:noWrap w:val="0"/>
            <w:vAlign w:val="center"/>
          </w:tcPr>
          <w:p w14:paraId="77A75F7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596</w:t>
            </w:r>
          </w:p>
        </w:tc>
        <w:tc>
          <w:tcPr>
            <w:tcW w:w="1343" w:type="pct"/>
            <w:vMerge w:val="continue"/>
            <w:noWrap w:val="0"/>
            <w:vAlign w:val="center"/>
          </w:tcPr>
          <w:p w14:paraId="2A1591E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41E0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76594A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79B83D1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c>
          <w:tcPr>
            <w:tcW w:w="1367" w:type="pct"/>
            <w:noWrap w:val="0"/>
            <w:vAlign w:val="center"/>
          </w:tcPr>
          <w:p w14:paraId="70D0A0F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反-1</w:t>
            </w:r>
            <w:r>
              <w:rPr>
                <w:rFonts w:hint="eastAsia" w:ascii="Times New Roman" w:hAnsi="Times New Roman" w:cs="Times New Roman"/>
                <w:bCs/>
                <w:color w:val="000000" w:themeColor="text1"/>
                <w:szCs w:val="21"/>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2-二氯乙烯</w:t>
            </w:r>
          </w:p>
        </w:tc>
        <w:tc>
          <w:tcPr>
            <w:tcW w:w="1222" w:type="pct"/>
            <w:noWrap w:val="0"/>
            <w:vAlign w:val="center"/>
          </w:tcPr>
          <w:p w14:paraId="242D70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54</w:t>
            </w:r>
          </w:p>
        </w:tc>
        <w:tc>
          <w:tcPr>
            <w:tcW w:w="1343" w:type="pct"/>
            <w:vMerge w:val="continue"/>
            <w:noWrap w:val="0"/>
            <w:vAlign w:val="center"/>
          </w:tcPr>
          <w:p w14:paraId="15C4E1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0D3F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5CC2209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75A414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16</w:t>
            </w:r>
          </w:p>
        </w:tc>
        <w:tc>
          <w:tcPr>
            <w:tcW w:w="1367" w:type="pct"/>
            <w:noWrap w:val="0"/>
            <w:vAlign w:val="center"/>
          </w:tcPr>
          <w:p w14:paraId="39881DB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二氯</w:t>
            </w:r>
            <w:r>
              <w:rPr>
                <w:rFonts w:hint="eastAsia" w:ascii="Times New Roman" w:hAnsi="Times New Roman" w:cs="Times New Roman"/>
                <w:bCs/>
                <w:color w:val="000000" w:themeColor="text1"/>
                <w:szCs w:val="21"/>
                <w14:textFill>
                  <w14:solidFill>
                    <w14:schemeClr w14:val="tx1"/>
                  </w14:solidFill>
                </w14:textFill>
              </w:rPr>
              <w:t>甲</w:t>
            </w:r>
            <w:r>
              <w:rPr>
                <w:rFonts w:hint="default" w:ascii="Times New Roman" w:hAnsi="Times New Roman" w:cs="Times New Roman"/>
                <w:bCs/>
                <w:color w:val="000000" w:themeColor="text1"/>
                <w:szCs w:val="21"/>
                <w14:textFill>
                  <w14:solidFill>
                    <w14:schemeClr w14:val="tx1"/>
                  </w14:solidFill>
                </w14:textFill>
              </w:rPr>
              <w:t>烷</w:t>
            </w:r>
          </w:p>
        </w:tc>
        <w:tc>
          <w:tcPr>
            <w:tcW w:w="1222" w:type="pct"/>
            <w:noWrap w:val="0"/>
            <w:vAlign w:val="center"/>
          </w:tcPr>
          <w:p w14:paraId="6ACE47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616</w:t>
            </w:r>
          </w:p>
        </w:tc>
        <w:tc>
          <w:tcPr>
            <w:tcW w:w="1343" w:type="pct"/>
            <w:vMerge w:val="continue"/>
            <w:noWrap w:val="0"/>
            <w:vAlign w:val="center"/>
          </w:tcPr>
          <w:p w14:paraId="3A6A91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02EDB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670" w:type="pct"/>
            <w:vMerge w:val="continue"/>
            <w:noWrap w:val="0"/>
            <w:vAlign w:val="center"/>
          </w:tcPr>
          <w:p w14:paraId="089283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A2862B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17</w:t>
            </w:r>
          </w:p>
        </w:tc>
        <w:tc>
          <w:tcPr>
            <w:tcW w:w="1367" w:type="pct"/>
            <w:noWrap w:val="0"/>
            <w:vAlign w:val="center"/>
          </w:tcPr>
          <w:p w14:paraId="0EE9713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1，2-二氯丙烷</w:t>
            </w:r>
          </w:p>
        </w:tc>
        <w:tc>
          <w:tcPr>
            <w:tcW w:w="1222" w:type="pct"/>
            <w:noWrap w:val="0"/>
            <w:vAlign w:val="center"/>
          </w:tcPr>
          <w:p w14:paraId="6C7F657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w:t>
            </w:r>
          </w:p>
        </w:tc>
        <w:tc>
          <w:tcPr>
            <w:tcW w:w="1343" w:type="pct"/>
            <w:vMerge w:val="continue"/>
            <w:noWrap w:val="0"/>
            <w:vAlign w:val="center"/>
          </w:tcPr>
          <w:p w14:paraId="4D76A2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7BDF2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1AD93B8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6F6498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18</w:t>
            </w:r>
          </w:p>
        </w:tc>
        <w:tc>
          <w:tcPr>
            <w:tcW w:w="1367" w:type="pct"/>
            <w:noWrap w:val="0"/>
            <w:vAlign w:val="center"/>
          </w:tcPr>
          <w:p w14:paraId="5242A5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1，1，1，2-四氯乙烷</w:t>
            </w:r>
          </w:p>
        </w:tc>
        <w:tc>
          <w:tcPr>
            <w:tcW w:w="1222" w:type="pct"/>
            <w:noWrap w:val="0"/>
            <w:vAlign w:val="center"/>
          </w:tcPr>
          <w:p w14:paraId="5B7B694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10</w:t>
            </w:r>
          </w:p>
        </w:tc>
        <w:tc>
          <w:tcPr>
            <w:tcW w:w="1343" w:type="pct"/>
            <w:vMerge w:val="continue"/>
            <w:noWrap w:val="0"/>
            <w:vAlign w:val="center"/>
          </w:tcPr>
          <w:p w14:paraId="5706477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B785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30A816A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3AB9CF4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19</w:t>
            </w:r>
          </w:p>
        </w:tc>
        <w:tc>
          <w:tcPr>
            <w:tcW w:w="1367" w:type="pct"/>
            <w:noWrap w:val="0"/>
            <w:vAlign w:val="center"/>
          </w:tcPr>
          <w:p w14:paraId="13323D5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1，1，2，2-四氯乙烷</w:t>
            </w:r>
          </w:p>
        </w:tc>
        <w:tc>
          <w:tcPr>
            <w:tcW w:w="1222" w:type="pct"/>
            <w:noWrap w:val="0"/>
            <w:vAlign w:val="center"/>
          </w:tcPr>
          <w:p w14:paraId="6EE2283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6.8</w:t>
            </w:r>
          </w:p>
        </w:tc>
        <w:tc>
          <w:tcPr>
            <w:tcW w:w="1343" w:type="pct"/>
            <w:vMerge w:val="continue"/>
            <w:noWrap w:val="0"/>
            <w:vAlign w:val="center"/>
          </w:tcPr>
          <w:p w14:paraId="3DF1B0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787D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5DF307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44030E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w:t>
            </w:r>
          </w:p>
        </w:tc>
        <w:tc>
          <w:tcPr>
            <w:tcW w:w="1367" w:type="pct"/>
            <w:noWrap w:val="0"/>
            <w:vAlign w:val="center"/>
          </w:tcPr>
          <w:p w14:paraId="7A3AAF4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四氯乙烯</w:t>
            </w:r>
          </w:p>
        </w:tc>
        <w:tc>
          <w:tcPr>
            <w:tcW w:w="1222" w:type="pct"/>
            <w:noWrap w:val="0"/>
            <w:vAlign w:val="center"/>
          </w:tcPr>
          <w:p w14:paraId="0F2594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53</w:t>
            </w:r>
          </w:p>
        </w:tc>
        <w:tc>
          <w:tcPr>
            <w:tcW w:w="1343" w:type="pct"/>
            <w:vMerge w:val="continue"/>
            <w:noWrap w:val="0"/>
            <w:vAlign w:val="center"/>
          </w:tcPr>
          <w:p w14:paraId="2235F8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C5BE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2E948D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7C2FF8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21</w:t>
            </w:r>
          </w:p>
        </w:tc>
        <w:tc>
          <w:tcPr>
            <w:tcW w:w="1367" w:type="pct"/>
            <w:noWrap w:val="0"/>
            <w:vAlign w:val="center"/>
          </w:tcPr>
          <w:p w14:paraId="65F1BA5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1，1，1-三氯乙烷</w:t>
            </w:r>
          </w:p>
        </w:tc>
        <w:tc>
          <w:tcPr>
            <w:tcW w:w="1222" w:type="pct"/>
            <w:noWrap w:val="0"/>
            <w:vAlign w:val="center"/>
          </w:tcPr>
          <w:p w14:paraId="341D05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840</w:t>
            </w:r>
          </w:p>
        </w:tc>
        <w:tc>
          <w:tcPr>
            <w:tcW w:w="1343" w:type="pct"/>
            <w:vMerge w:val="continue"/>
            <w:noWrap w:val="0"/>
            <w:vAlign w:val="center"/>
          </w:tcPr>
          <w:p w14:paraId="274FA9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EE15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6508B7A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48C2B28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22</w:t>
            </w:r>
          </w:p>
        </w:tc>
        <w:tc>
          <w:tcPr>
            <w:tcW w:w="1367" w:type="pct"/>
            <w:noWrap w:val="0"/>
            <w:vAlign w:val="center"/>
          </w:tcPr>
          <w:p w14:paraId="5699656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1，1，2-三氯乙烷</w:t>
            </w:r>
          </w:p>
        </w:tc>
        <w:tc>
          <w:tcPr>
            <w:tcW w:w="1222" w:type="pct"/>
            <w:noWrap w:val="0"/>
            <w:vAlign w:val="center"/>
          </w:tcPr>
          <w:p w14:paraId="7B4153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c>
          <w:tcPr>
            <w:tcW w:w="1343" w:type="pct"/>
            <w:vMerge w:val="continue"/>
            <w:noWrap w:val="0"/>
            <w:vAlign w:val="center"/>
          </w:tcPr>
          <w:p w14:paraId="3795A9C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36782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670" w:type="pct"/>
            <w:vMerge w:val="continue"/>
            <w:noWrap w:val="0"/>
            <w:vAlign w:val="center"/>
          </w:tcPr>
          <w:p w14:paraId="7A9482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54FDA04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23</w:t>
            </w:r>
          </w:p>
        </w:tc>
        <w:tc>
          <w:tcPr>
            <w:tcW w:w="1367" w:type="pct"/>
            <w:noWrap w:val="0"/>
            <w:vAlign w:val="center"/>
          </w:tcPr>
          <w:p w14:paraId="013E0AB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三氯乙烯</w:t>
            </w:r>
          </w:p>
        </w:tc>
        <w:tc>
          <w:tcPr>
            <w:tcW w:w="1222" w:type="pct"/>
            <w:noWrap w:val="0"/>
            <w:vAlign w:val="center"/>
          </w:tcPr>
          <w:p w14:paraId="377EADF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c>
          <w:tcPr>
            <w:tcW w:w="1343" w:type="pct"/>
            <w:vMerge w:val="continue"/>
            <w:noWrap w:val="0"/>
            <w:vAlign w:val="center"/>
          </w:tcPr>
          <w:p w14:paraId="502FE8C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701F2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624D2D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53CAFF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24</w:t>
            </w:r>
          </w:p>
        </w:tc>
        <w:tc>
          <w:tcPr>
            <w:tcW w:w="1367" w:type="pct"/>
            <w:noWrap w:val="0"/>
            <w:vAlign w:val="center"/>
          </w:tcPr>
          <w:p w14:paraId="2544C7E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1，2，3-三氯丙烷</w:t>
            </w:r>
          </w:p>
        </w:tc>
        <w:tc>
          <w:tcPr>
            <w:tcW w:w="1222" w:type="pct"/>
            <w:noWrap w:val="0"/>
            <w:vAlign w:val="center"/>
          </w:tcPr>
          <w:p w14:paraId="1966204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0.5</w:t>
            </w:r>
          </w:p>
        </w:tc>
        <w:tc>
          <w:tcPr>
            <w:tcW w:w="1343" w:type="pct"/>
            <w:vMerge w:val="continue"/>
            <w:noWrap w:val="0"/>
            <w:vAlign w:val="center"/>
          </w:tcPr>
          <w:p w14:paraId="4FD382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56BEA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14ED8BF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5DC4B16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25</w:t>
            </w:r>
          </w:p>
        </w:tc>
        <w:tc>
          <w:tcPr>
            <w:tcW w:w="1367" w:type="pct"/>
            <w:noWrap w:val="0"/>
            <w:vAlign w:val="center"/>
          </w:tcPr>
          <w:p w14:paraId="789065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氯乙烯</w:t>
            </w:r>
          </w:p>
        </w:tc>
        <w:tc>
          <w:tcPr>
            <w:tcW w:w="1222" w:type="pct"/>
            <w:noWrap w:val="0"/>
            <w:vAlign w:val="center"/>
          </w:tcPr>
          <w:p w14:paraId="4D80F6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0.43</w:t>
            </w:r>
          </w:p>
        </w:tc>
        <w:tc>
          <w:tcPr>
            <w:tcW w:w="1343" w:type="pct"/>
            <w:vMerge w:val="continue"/>
            <w:noWrap w:val="0"/>
            <w:vAlign w:val="center"/>
          </w:tcPr>
          <w:p w14:paraId="7DFFE31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545BB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18A8473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921F7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26</w:t>
            </w:r>
          </w:p>
        </w:tc>
        <w:tc>
          <w:tcPr>
            <w:tcW w:w="1367" w:type="pct"/>
            <w:noWrap w:val="0"/>
            <w:vAlign w:val="center"/>
          </w:tcPr>
          <w:p w14:paraId="2189781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苯</w:t>
            </w:r>
          </w:p>
        </w:tc>
        <w:tc>
          <w:tcPr>
            <w:tcW w:w="1222" w:type="pct"/>
            <w:noWrap w:val="0"/>
            <w:vAlign w:val="center"/>
          </w:tcPr>
          <w:p w14:paraId="4344397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w:t>
            </w:r>
          </w:p>
        </w:tc>
        <w:tc>
          <w:tcPr>
            <w:tcW w:w="1343" w:type="pct"/>
            <w:vMerge w:val="continue"/>
            <w:noWrap w:val="0"/>
            <w:vAlign w:val="center"/>
          </w:tcPr>
          <w:p w14:paraId="1035A3B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3A4BF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204C607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58429C6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27</w:t>
            </w:r>
          </w:p>
        </w:tc>
        <w:tc>
          <w:tcPr>
            <w:tcW w:w="1367" w:type="pct"/>
            <w:noWrap w:val="0"/>
            <w:vAlign w:val="center"/>
          </w:tcPr>
          <w:p w14:paraId="1740EC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氯苯</w:t>
            </w:r>
          </w:p>
        </w:tc>
        <w:tc>
          <w:tcPr>
            <w:tcW w:w="1222" w:type="pct"/>
            <w:noWrap w:val="0"/>
            <w:vAlign w:val="center"/>
          </w:tcPr>
          <w:p w14:paraId="28089A0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270</w:t>
            </w:r>
          </w:p>
        </w:tc>
        <w:tc>
          <w:tcPr>
            <w:tcW w:w="1343" w:type="pct"/>
            <w:vMerge w:val="continue"/>
            <w:noWrap w:val="0"/>
            <w:vAlign w:val="center"/>
          </w:tcPr>
          <w:p w14:paraId="5CDC145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3D24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40448F0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49BD3E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c>
          <w:tcPr>
            <w:tcW w:w="1367" w:type="pct"/>
            <w:noWrap w:val="0"/>
            <w:vAlign w:val="center"/>
          </w:tcPr>
          <w:p w14:paraId="493C35A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1，2-二氯苯</w:t>
            </w:r>
          </w:p>
        </w:tc>
        <w:tc>
          <w:tcPr>
            <w:tcW w:w="1222" w:type="pct"/>
            <w:noWrap w:val="0"/>
            <w:vAlign w:val="center"/>
          </w:tcPr>
          <w:p w14:paraId="2C2679E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560</w:t>
            </w:r>
          </w:p>
        </w:tc>
        <w:tc>
          <w:tcPr>
            <w:tcW w:w="1343" w:type="pct"/>
            <w:vMerge w:val="continue"/>
            <w:noWrap w:val="0"/>
            <w:vAlign w:val="center"/>
          </w:tcPr>
          <w:p w14:paraId="5B765D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77B5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6F806E4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1EFF8A9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29</w:t>
            </w:r>
          </w:p>
        </w:tc>
        <w:tc>
          <w:tcPr>
            <w:tcW w:w="1367" w:type="pct"/>
            <w:noWrap w:val="0"/>
            <w:vAlign w:val="center"/>
          </w:tcPr>
          <w:p w14:paraId="744F7B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1，4-二氯苯</w:t>
            </w:r>
          </w:p>
        </w:tc>
        <w:tc>
          <w:tcPr>
            <w:tcW w:w="1222" w:type="pct"/>
            <w:noWrap w:val="0"/>
            <w:vAlign w:val="center"/>
          </w:tcPr>
          <w:p w14:paraId="7DB2A4B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w:t>
            </w:r>
          </w:p>
        </w:tc>
        <w:tc>
          <w:tcPr>
            <w:tcW w:w="1343" w:type="pct"/>
            <w:vMerge w:val="continue"/>
            <w:noWrap w:val="0"/>
            <w:vAlign w:val="center"/>
          </w:tcPr>
          <w:p w14:paraId="4873AAC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EA6A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76FBD42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610A9DD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30</w:t>
            </w:r>
          </w:p>
        </w:tc>
        <w:tc>
          <w:tcPr>
            <w:tcW w:w="1367" w:type="pct"/>
            <w:noWrap w:val="0"/>
            <w:vAlign w:val="center"/>
          </w:tcPr>
          <w:p w14:paraId="547E57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乙苯</w:t>
            </w:r>
          </w:p>
        </w:tc>
        <w:tc>
          <w:tcPr>
            <w:tcW w:w="1222" w:type="pct"/>
            <w:noWrap w:val="0"/>
            <w:vAlign w:val="center"/>
          </w:tcPr>
          <w:p w14:paraId="2D3796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c>
          <w:tcPr>
            <w:tcW w:w="1343" w:type="pct"/>
            <w:vMerge w:val="continue"/>
            <w:noWrap w:val="0"/>
            <w:vAlign w:val="center"/>
          </w:tcPr>
          <w:p w14:paraId="0BF9538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7D83A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04700DF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3A6207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31</w:t>
            </w:r>
          </w:p>
        </w:tc>
        <w:tc>
          <w:tcPr>
            <w:tcW w:w="1367" w:type="pct"/>
            <w:noWrap w:val="0"/>
            <w:vAlign w:val="center"/>
          </w:tcPr>
          <w:p w14:paraId="7ABFEF3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苯乙烯</w:t>
            </w:r>
          </w:p>
        </w:tc>
        <w:tc>
          <w:tcPr>
            <w:tcW w:w="1222" w:type="pct"/>
            <w:noWrap w:val="0"/>
            <w:vAlign w:val="center"/>
          </w:tcPr>
          <w:p w14:paraId="402E78A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1290</w:t>
            </w:r>
          </w:p>
        </w:tc>
        <w:tc>
          <w:tcPr>
            <w:tcW w:w="1343" w:type="pct"/>
            <w:vMerge w:val="continue"/>
            <w:noWrap w:val="0"/>
            <w:vAlign w:val="center"/>
          </w:tcPr>
          <w:p w14:paraId="6710FC3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AE2F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26D2628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1E68F7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32</w:t>
            </w:r>
          </w:p>
        </w:tc>
        <w:tc>
          <w:tcPr>
            <w:tcW w:w="1367" w:type="pct"/>
            <w:noWrap w:val="0"/>
            <w:vAlign w:val="center"/>
          </w:tcPr>
          <w:p w14:paraId="5934F52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甲苯</w:t>
            </w:r>
          </w:p>
        </w:tc>
        <w:tc>
          <w:tcPr>
            <w:tcW w:w="1222" w:type="pct"/>
            <w:noWrap w:val="0"/>
            <w:vAlign w:val="center"/>
          </w:tcPr>
          <w:p w14:paraId="490163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1200</w:t>
            </w:r>
          </w:p>
        </w:tc>
        <w:tc>
          <w:tcPr>
            <w:tcW w:w="1343" w:type="pct"/>
            <w:vMerge w:val="continue"/>
            <w:noWrap w:val="0"/>
            <w:vAlign w:val="center"/>
          </w:tcPr>
          <w:p w14:paraId="56C564F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6B28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18683C3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5C01234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33</w:t>
            </w:r>
          </w:p>
        </w:tc>
        <w:tc>
          <w:tcPr>
            <w:tcW w:w="1367" w:type="pct"/>
            <w:noWrap w:val="0"/>
            <w:vAlign w:val="center"/>
          </w:tcPr>
          <w:p w14:paraId="67EF350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间二甲苯+对二甲苯</w:t>
            </w:r>
          </w:p>
        </w:tc>
        <w:tc>
          <w:tcPr>
            <w:tcW w:w="1222" w:type="pct"/>
            <w:noWrap w:val="0"/>
            <w:vAlign w:val="center"/>
          </w:tcPr>
          <w:p w14:paraId="7582C86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570</w:t>
            </w:r>
          </w:p>
        </w:tc>
        <w:tc>
          <w:tcPr>
            <w:tcW w:w="1343" w:type="pct"/>
            <w:vMerge w:val="continue"/>
            <w:noWrap w:val="0"/>
            <w:vAlign w:val="center"/>
          </w:tcPr>
          <w:p w14:paraId="269B83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E932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5558D81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6BF1A3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34</w:t>
            </w:r>
          </w:p>
        </w:tc>
        <w:tc>
          <w:tcPr>
            <w:tcW w:w="1367" w:type="pct"/>
            <w:noWrap w:val="0"/>
            <w:vAlign w:val="center"/>
          </w:tcPr>
          <w:p w14:paraId="2A91124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邻二甲苯</w:t>
            </w:r>
          </w:p>
        </w:tc>
        <w:tc>
          <w:tcPr>
            <w:tcW w:w="1222" w:type="pct"/>
            <w:noWrap w:val="0"/>
            <w:vAlign w:val="center"/>
          </w:tcPr>
          <w:p w14:paraId="388F27F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640</w:t>
            </w:r>
          </w:p>
        </w:tc>
        <w:tc>
          <w:tcPr>
            <w:tcW w:w="1343" w:type="pct"/>
            <w:vMerge w:val="continue"/>
            <w:noWrap w:val="0"/>
            <w:vAlign w:val="center"/>
          </w:tcPr>
          <w:p w14:paraId="5F0E099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C26D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5000" w:type="pct"/>
            <w:gridSpan w:val="5"/>
            <w:noWrap w:val="0"/>
            <w:vAlign w:val="center"/>
          </w:tcPr>
          <w:p w14:paraId="401A27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半挥发性有机物</w:t>
            </w:r>
          </w:p>
        </w:tc>
      </w:tr>
      <w:tr w14:paraId="7328C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restart"/>
            <w:noWrap w:val="0"/>
            <w:vAlign w:val="center"/>
          </w:tcPr>
          <w:p w14:paraId="68E04CC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第二类用地筛选值</w:t>
            </w:r>
          </w:p>
        </w:tc>
        <w:tc>
          <w:tcPr>
            <w:tcW w:w="396" w:type="pct"/>
            <w:noWrap w:val="0"/>
            <w:vAlign w:val="center"/>
          </w:tcPr>
          <w:p w14:paraId="1FEA231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35</w:t>
            </w:r>
          </w:p>
        </w:tc>
        <w:tc>
          <w:tcPr>
            <w:tcW w:w="1367" w:type="pct"/>
            <w:noWrap w:val="0"/>
            <w:vAlign w:val="center"/>
          </w:tcPr>
          <w:p w14:paraId="6DECD9B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硝基苯</w:t>
            </w:r>
          </w:p>
        </w:tc>
        <w:tc>
          <w:tcPr>
            <w:tcW w:w="1222" w:type="pct"/>
            <w:noWrap w:val="0"/>
            <w:vAlign w:val="center"/>
          </w:tcPr>
          <w:p w14:paraId="04EF52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76</w:t>
            </w:r>
          </w:p>
        </w:tc>
        <w:tc>
          <w:tcPr>
            <w:tcW w:w="1343" w:type="pct"/>
            <w:vMerge w:val="restart"/>
            <w:noWrap w:val="0"/>
            <w:vAlign w:val="center"/>
          </w:tcPr>
          <w:p w14:paraId="590D4DE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《土壤环境质量 建设用地土壤污染风险管控标准》（GB36600-2018）</w:t>
            </w:r>
          </w:p>
        </w:tc>
      </w:tr>
      <w:tr w14:paraId="2CA7B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616300C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6B1D207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36</w:t>
            </w:r>
          </w:p>
        </w:tc>
        <w:tc>
          <w:tcPr>
            <w:tcW w:w="1367" w:type="pct"/>
            <w:noWrap w:val="0"/>
            <w:vAlign w:val="center"/>
          </w:tcPr>
          <w:p w14:paraId="4CACD9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苯胺</w:t>
            </w:r>
          </w:p>
        </w:tc>
        <w:tc>
          <w:tcPr>
            <w:tcW w:w="1222" w:type="pct"/>
            <w:noWrap w:val="0"/>
            <w:vAlign w:val="center"/>
          </w:tcPr>
          <w:p w14:paraId="4C0CF4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260</w:t>
            </w:r>
          </w:p>
        </w:tc>
        <w:tc>
          <w:tcPr>
            <w:tcW w:w="1343" w:type="pct"/>
            <w:vMerge w:val="continue"/>
            <w:noWrap w:val="0"/>
            <w:vAlign w:val="center"/>
          </w:tcPr>
          <w:p w14:paraId="5837FDA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82B2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421706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44E4C4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37</w:t>
            </w:r>
          </w:p>
        </w:tc>
        <w:tc>
          <w:tcPr>
            <w:tcW w:w="1367" w:type="pct"/>
            <w:noWrap w:val="0"/>
            <w:vAlign w:val="center"/>
          </w:tcPr>
          <w:p w14:paraId="4391E9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2-氯酚</w:t>
            </w:r>
          </w:p>
        </w:tc>
        <w:tc>
          <w:tcPr>
            <w:tcW w:w="1222" w:type="pct"/>
            <w:noWrap w:val="0"/>
            <w:vAlign w:val="center"/>
          </w:tcPr>
          <w:p w14:paraId="5CD636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2256</w:t>
            </w:r>
          </w:p>
        </w:tc>
        <w:tc>
          <w:tcPr>
            <w:tcW w:w="1343" w:type="pct"/>
            <w:vMerge w:val="continue"/>
            <w:noWrap w:val="0"/>
            <w:vAlign w:val="center"/>
          </w:tcPr>
          <w:p w14:paraId="316555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3F05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10E45A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C44528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38</w:t>
            </w:r>
          </w:p>
        </w:tc>
        <w:tc>
          <w:tcPr>
            <w:tcW w:w="1367" w:type="pct"/>
            <w:noWrap w:val="0"/>
            <w:vAlign w:val="center"/>
          </w:tcPr>
          <w:p w14:paraId="29306E5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苯并[a]蒽</w:t>
            </w:r>
          </w:p>
        </w:tc>
        <w:tc>
          <w:tcPr>
            <w:tcW w:w="1222" w:type="pct"/>
            <w:noWrap w:val="0"/>
            <w:vAlign w:val="center"/>
          </w:tcPr>
          <w:p w14:paraId="18B6208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c>
          <w:tcPr>
            <w:tcW w:w="1343" w:type="pct"/>
            <w:vMerge w:val="continue"/>
            <w:noWrap w:val="0"/>
            <w:vAlign w:val="center"/>
          </w:tcPr>
          <w:p w14:paraId="5FD597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3FA3A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3BEC32C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31B0771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39</w:t>
            </w:r>
          </w:p>
        </w:tc>
        <w:tc>
          <w:tcPr>
            <w:tcW w:w="1367" w:type="pct"/>
            <w:noWrap w:val="0"/>
            <w:vAlign w:val="center"/>
          </w:tcPr>
          <w:p w14:paraId="071D560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苯并[a]芘</w:t>
            </w:r>
          </w:p>
        </w:tc>
        <w:tc>
          <w:tcPr>
            <w:tcW w:w="1222" w:type="pct"/>
            <w:noWrap w:val="0"/>
            <w:vAlign w:val="center"/>
          </w:tcPr>
          <w:p w14:paraId="29D35C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c>
          <w:tcPr>
            <w:tcW w:w="1343" w:type="pct"/>
            <w:vMerge w:val="continue"/>
            <w:noWrap w:val="0"/>
            <w:vAlign w:val="center"/>
          </w:tcPr>
          <w:p w14:paraId="05B2553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6B3F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22B37E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1935FC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40</w:t>
            </w:r>
          </w:p>
        </w:tc>
        <w:tc>
          <w:tcPr>
            <w:tcW w:w="1367" w:type="pct"/>
            <w:noWrap w:val="0"/>
            <w:vAlign w:val="center"/>
          </w:tcPr>
          <w:p w14:paraId="6FA75CB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苯并[b]荧蒽</w:t>
            </w:r>
          </w:p>
        </w:tc>
        <w:tc>
          <w:tcPr>
            <w:tcW w:w="1222" w:type="pct"/>
            <w:noWrap w:val="0"/>
            <w:vAlign w:val="center"/>
          </w:tcPr>
          <w:p w14:paraId="26431E5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c>
          <w:tcPr>
            <w:tcW w:w="1343" w:type="pct"/>
            <w:vMerge w:val="continue"/>
            <w:noWrap w:val="0"/>
            <w:vAlign w:val="center"/>
          </w:tcPr>
          <w:p w14:paraId="607015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EE41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3B09BC3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1640011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41</w:t>
            </w:r>
          </w:p>
        </w:tc>
        <w:tc>
          <w:tcPr>
            <w:tcW w:w="1367" w:type="pct"/>
            <w:noWrap w:val="0"/>
            <w:vAlign w:val="center"/>
          </w:tcPr>
          <w:p w14:paraId="2E52D89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苯并[k]荧蒽</w:t>
            </w:r>
          </w:p>
        </w:tc>
        <w:tc>
          <w:tcPr>
            <w:tcW w:w="1222" w:type="pct"/>
            <w:noWrap w:val="0"/>
            <w:vAlign w:val="center"/>
          </w:tcPr>
          <w:p w14:paraId="2255A8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151</w:t>
            </w:r>
          </w:p>
        </w:tc>
        <w:tc>
          <w:tcPr>
            <w:tcW w:w="1343" w:type="pct"/>
            <w:vMerge w:val="continue"/>
            <w:noWrap w:val="0"/>
            <w:vAlign w:val="center"/>
          </w:tcPr>
          <w:p w14:paraId="52B1C0B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5BED3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6DC3A2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0366558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42</w:t>
            </w:r>
          </w:p>
        </w:tc>
        <w:tc>
          <w:tcPr>
            <w:tcW w:w="1367" w:type="pct"/>
            <w:noWrap w:val="0"/>
            <w:vAlign w:val="center"/>
          </w:tcPr>
          <w:p w14:paraId="5D961FF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䓛</w:t>
            </w:r>
          </w:p>
        </w:tc>
        <w:tc>
          <w:tcPr>
            <w:tcW w:w="1222" w:type="pct"/>
            <w:noWrap w:val="0"/>
            <w:vAlign w:val="center"/>
          </w:tcPr>
          <w:p w14:paraId="542DCF6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1293</w:t>
            </w:r>
          </w:p>
        </w:tc>
        <w:tc>
          <w:tcPr>
            <w:tcW w:w="1343" w:type="pct"/>
            <w:vMerge w:val="continue"/>
            <w:noWrap w:val="0"/>
            <w:vAlign w:val="center"/>
          </w:tcPr>
          <w:p w14:paraId="58E862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FA9F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rPr>
        <w:tc>
          <w:tcPr>
            <w:tcW w:w="670" w:type="pct"/>
            <w:vMerge w:val="continue"/>
            <w:noWrap w:val="0"/>
            <w:vAlign w:val="center"/>
          </w:tcPr>
          <w:p w14:paraId="330542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2ECA15D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43</w:t>
            </w:r>
          </w:p>
        </w:tc>
        <w:tc>
          <w:tcPr>
            <w:tcW w:w="1367" w:type="pct"/>
            <w:noWrap w:val="0"/>
            <w:vAlign w:val="center"/>
          </w:tcPr>
          <w:p w14:paraId="24894A0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二苯并[a，h]蒽</w:t>
            </w:r>
          </w:p>
        </w:tc>
        <w:tc>
          <w:tcPr>
            <w:tcW w:w="1222" w:type="pct"/>
            <w:noWrap w:val="0"/>
            <w:vAlign w:val="center"/>
          </w:tcPr>
          <w:p w14:paraId="05E41CD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c>
          <w:tcPr>
            <w:tcW w:w="1343" w:type="pct"/>
            <w:vMerge w:val="continue"/>
            <w:noWrap w:val="0"/>
            <w:vAlign w:val="center"/>
          </w:tcPr>
          <w:p w14:paraId="52D26B3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3B28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0537F7B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664F9C8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44</w:t>
            </w:r>
          </w:p>
        </w:tc>
        <w:tc>
          <w:tcPr>
            <w:tcW w:w="1367" w:type="pct"/>
            <w:noWrap w:val="0"/>
            <w:vAlign w:val="center"/>
          </w:tcPr>
          <w:p w14:paraId="2ACB7A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茚并[1，2，3-cd]芘</w:t>
            </w:r>
          </w:p>
        </w:tc>
        <w:tc>
          <w:tcPr>
            <w:tcW w:w="1222" w:type="pct"/>
            <w:noWrap w:val="0"/>
            <w:vAlign w:val="center"/>
          </w:tcPr>
          <w:p w14:paraId="69BD7B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c>
          <w:tcPr>
            <w:tcW w:w="1343" w:type="pct"/>
            <w:vMerge w:val="continue"/>
            <w:noWrap w:val="0"/>
            <w:vAlign w:val="center"/>
          </w:tcPr>
          <w:p w14:paraId="6A8C2A8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9C4C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70" w:type="pct"/>
            <w:vMerge w:val="continue"/>
            <w:noWrap w:val="0"/>
            <w:vAlign w:val="center"/>
          </w:tcPr>
          <w:p w14:paraId="091921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396" w:type="pct"/>
            <w:noWrap w:val="0"/>
            <w:vAlign w:val="center"/>
          </w:tcPr>
          <w:p w14:paraId="5DD5566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45</w:t>
            </w:r>
          </w:p>
        </w:tc>
        <w:tc>
          <w:tcPr>
            <w:tcW w:w="1367" w:type="pct"/>
            <w:noWrap w:val="0"/>
            <w:vAlign w:val="center"/>
          </w:tcPr>
          <w:p w14:paraId="15EC8D3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萘</w:t>
            </w:r>
          </w:p>
        </w:tc>
        <w:tc>
          <w:tcPr>
            <w:tcW w:w="1222" w:type="pct"/>
            <w:noWrap w:val="0"/>
            <w:vAlign w:val="center"/>
          </w:tcPr>
          <w:p w14:paraId="5B217F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70</w:t>
            </w:r>
          </w:p>
        </w:tc>
        <w:tc>
          <w:tcPr>
            <w:tcW w:w="1343" w:type="pct"/>
            <w:vMerge w:val="continue"/>
            <w:noWrap w:val="0"/>
            <w:vAlign w:val="center"/>
          </w:tcPr>
          <w:p w14:paraId="6627F42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bl>
    <w:p w14:paraId="577A89BC">
      <w:pPr>
        <w:pStyle w:val="4"/>
        <w:spacing w:before="60" w:after="60" w:line="480" w:lineRule="exact"/>
        <w:rPr>
          <w:color w:val="000000" w:themeColor="text1"/>
          <w:kern w:val="2"/>
          <w14:textFill>
            <w14:solidFill>
              <w14:schemeClr w14:val="tx1"/>
            </w14:solidFill>
          </w14:textFill>
        </w:rPr>
      </w:pPr>
      <w:bookmarkStart w:id="156" w:name="_Toc453302727"/>
      <w:bookmarkStart w:id="157" w:name="_Toc20047"/>
      <w:bookmarkStart w:id="158" w:name="_Toc9314"/>
      <w:bookmarkStart w:id="159" w:name="_Toc29707"/>
      <w:bookmarkStart w:id="160" w:name="_Toc31380"/>
      <w:r>
        <w:rPr>
          <w:rFonts w:hint="eastAsia"/>
          <w:color w:val="000000" w:themeColor="text1"/>
          <w:kern w:val="2"/>
          <w14:textFill>
            <w14:solidFill>
              <w14:schemeClr w14:val="tx1"/>
            </w14:solidFill>
          </w14:textFill>
        </w:rPr>
        <w:t>2.4</w:t>
      </w:r>
      <w:r>
        <w:rPr>
          <w:color w:val="000000" w:themeColor="text1"/>
          <w:kern w:val="2"/>
          <w14:textFill>
            <w14:solidFill>
              <w14:schemeClr w14:val="tx1"/>
            </w14:solidFill>
          </w14:textFill>
        </w:rPr>
        <w:t>.3污染物排放标准</w:t>
      </w:r>
      <w:bookmarkEnd w:id="156"/>
      <w:bookmarkEnd w:id="157"/>
      <w:bookmarkEnd w:id="158"/>
      <w:bookmarkEnd w:id="159"/>
      <w:bookmarkEnd w:id="160"/>
    </w:p>
    <w:p w14:paraId="1E0FB69F">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2.4</w:t>
      </w:r>
      <w:r>
        <w:rPr>
          <w:rFonts w:ascii="Times New Roman" w:hAnsi="Times New Roman"/>
          <w:bCs w:val="0"/>
          <w:color w:val="000000" w:themeColor="text1"/>
          <w:kern w:val="2"/>
          <w:szCs w:val="24"/>
          <w14:textFill>
            <w14:solidFill>
              <w14:schemeClr w14:val="tx1"/>
            </w14:solidFill>
          </w14:textFill>
        </w:rPr>
        <w:t>.3.1废气排放标准</w:t>
      </w:r>
    </w:p>
    <w:p w14:paraId="4BADF22D">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施工期产生的无组织粉尘，有关标准限值见表2.</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w:t>
      </w:r>
    </w:p>
    <w:p w14:paraId="3A947755">
      <w:pPr>
        <w:spacing w:line="480" w:lineRule="exact"/>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表2.4-</w:t>
      </w:r>
      <w:r>
        <w:rPr>
          <w:rFonts w:hint="eastAsia"/>
          <w:b/>
          <w:bCs/>
          <w:color w:val="000000" w:themeColor="text1"/>
          <w:sz w:val="24"/>
          <w:szCs w:val="24"/>
          <w:lang w:val="en-US" w:eastAsia="zh-CN"/>
          <w14:textFill>
            <w14:solidFill>
              <w14:schemeClr w14:val="tx1"/>
            </w14:solidFill>
          </w14:textFill>
        </w:rPr>
        <w:t>5</w:t>
      </w:r>
      <w:r>
        <w:rPr>
          <w:b/>
          <w:bCs/>
          <w:color w:val="000000" w:themeColor="text1"/>
          <w:sz w:val="24"/>
          <w:szCs w:val="24"/>
          <w14:textFill>
            <w14:solidFill>
              <w14:schemeClr w14:val="tx1"/>
            </w14:solidFill>
          </w14:textFill>
        </w:rPr>
        <w:t xml:space="preserve">    大气污染物综合排放标准    单位：mg/m</w:t>
      </w:r>
      <w:r>
        <w:rPr>
          <w:b/>
          <w:bCs/>
          <w:color w:val="000000" w:themeColor="text1"/>
          <w:sz w:val="24"/>
          <w:szCs w:val="24"/>
          <w:vertAlign w:val="superscript"/>
          <w14:textFill>
            <w14:solidFill>
              <w14:schemeClr w14:val="tx1"/>
            </w14:solidFill>
          </w14:textFill>
        </w:rPr>
        <w:t>3</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287"/>
        <w:gridCol w:w="2141"/>
        <w:gridCol w:w="4236"/>
      </w:tblGrid>
      <w:tr w14:paraId="10FB4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3" w:type="pct"/>
            <w:noWrap w:val="0"/>
            <w:vAlign w:val="center"/>
          </w:tcPr>
          <w:p w14:paraId="15D2E4B2">
            <w:pPr>
              <w:keepNext w:val="0"/>
              <w:keepLines w:val="0"/>
              <w:suppressLineNumbers w:val="0"/>
              <w:snapToGrid w:val="0"/>
              <w:spacing w:before="0" w:beforeAutospacing="0" w:after="0" w:afterAutospacing="0" w:line="360" w:lineRule="atLeast"/>
              <w:ind w:left="0" w:right="0"/>
              <w:jc w:val="center"/>
              <w:rPr>
                <w:rFonts w:hint="default" w:ascii="Times New Roman" w:hAnsi="Times New Roman" w:cs="Times New Roman"/>
                <w:b/>
                <w:bCs/>
                <w:color w:val="000000" w:themeColor="text1"/>
                <w:kern w:val="0"/>
                <w:lang w:val="zh-CN"/>
                <w14:textFill>
                  <w14:solidFill>
                    <w14:schemeClr w14:val="tx1"/>
                  </w14:solidFill>
                </w14:textFill>
              </w:rPr>
            </w:pPr>
            <w:r>
              <w:rPr>
                <w:rFonts w:hint="default" w:ascii="Times New Roman" w:hAnsi="Times New Roman" w:cs="Times New Roman"/>
                <w:b/>
                <w:bCs/>
                <w:color w:val="000000" w:themeColor="text1"/>
                <w:kern w:val="0"/>
                <w:lang w:val="zh-CN"/>
                <w14:textFill>
                  <w14:solidFill>
                    <w14:schemeClr w14:val="tx1"/>
                  </w14:solidFill>
                </w14:textFill>
              </w:rPr>
              <w:t>污染源</w:t>
            </w:r>
          </w:p>
        </w:tc>
        <w:tc>
          <w:tcPr>
            <w:tcW w:w="755" w:type="pct"/>
            <w:noWrap w:val="0"/>
            <w:vAlign w:val="center"/>
          </w:tcPr>
          <w:p w14:paraId="420E57BD">
            <w:pPr>
              <w:keepNext w:val="0"/>
              <w:keepLines w:val="0"/>
              <w:suppressLineNumbers w:val="0"/>
              <w:snapToGrid w:val="0"/>
              <w:spacing w:before="0" w:beforeAutospacing="0" w:after="0" w:afterAutospacing="0" w:line="360" w:lineRule="atLeast"/>
              <w:ind w:left="0" w:right="0"/>
              <w:jc w:val="center"/>
              <w:rPr>
                <w:rFonts w:hint="default" w:ascii="Times New Roman" w:hAnsi="Times New Roman" w:cs="Times New Roman"/>
                <w:b/>
                <w:bCs/>
                <w:color w:val="000000" w:themeColor="text1"/>
                <w:kern w:val="0"/>
                <w:lang w:val="zh-CN"/>
                <w14:textFill>
                  <w14:solidFill>
                    <w14:schemeClr w14:val="tx1"/>
                  </w14:solidFill>
                </w14:textFill>
              </w:rPr>
            </w:pPr>
            <w:r>
              <w:rPr>
                <w:rFonts w:hint="default" w:ascii="Times New Roman" w:hAnsi="Times New Roman" w:cs="Times New Roman"/>
                <w:b/>
                <w:bCs/>
                <w:color w:val="000000" w:themeColor="text1"/>
                <w:kern w:val="0"/>
                <w:lang w:val="zh-CN"/>
                <w14:textFill>
                  <w14:solidFill>
                    <w14:schemeClr w14:val="tx1"/>
                  </w14:solidFill>
                </w14:textFill>
              </w:rPr>
              <w:t>污染物类型</w:t>
            </w:r>
          </w:p>
        </w:tc>
        <w:tc>
          <w:tcPr>
            <w:tcW w:w="1256" w:type="pct"/>
            <w:noWrap w:val="0"/>
            <w:vAlign w:val="center"/>
          </w:tcPr>
          <w:p w14:paraId="0DA29237">
            <w:pPr>
              <w:keepNext w:val="0"/>
              <w:keepLines w:val="0"/>
              <w:suppressLineNumbers w:val="0"/>
              <w:snapToGrid w:val="0"/>
              <w:spacing w:before="0" w:beforeAutospacing="0" w:after="0" w:afterAutospacing="0" w:line="360" w:lineRule="atLeast"/>
              <w:ind w:left="0" w:right="0"/>
              <w:jc w:val="center"/>
              <w:rPr>
                <w:rFonts w:hint="default" w:ascii="Times New Roman" w:hAnsi="Times New Roman" w:cs="Times New Roman"/>
                <w:b/>
                <w:bCs/>
                <w:color w:val="000000" w:themeColor="text1"/>
                <w:kern w:val="0"/>
                <w:lang w:val="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污染物排放浓度限值</w:t>
            </w:r>
          </w:p>
        </w:tc>
        <w:tc>
          <w:tcPr>
            <w:tcW w:w="2484" w:type="pct"/>
            <w:noWrap w:val="0"/>
            <w:vAlign w:val="center"/>
          </w:tcPr>
          <w:p w14:paraId="4D04D38D">
            <w:pPr>
              <w:keepNext w:val="0"/>
              <w:keepLines w:val="0"/>
              <w:suppressLineNumbers w:val="0"/>
              <w:snapToGrid w:val="0"/>
              <w:spacing w:before="0" w:beforeAutospacing="0" w:after="0" w:afterAutospacing="0" w:line="360" w:lineRule="atLeast"/>
              <w:ind w:left="0" w:right="0"/>
              <w:jc w:val="center"/>
              <w:rPr>
                <w:rFonts w:hint="default" w:ascii="Times New Roman" w:hAnsi="Times New Roman" w:cs="Times New Roman"/>
                <w:b/>
                <w:bCs/>
                <w:color w:val="000000" w:themeColor="text1"/>
                <w:kern w:val="0"/>
                <w:lang w:val="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标准来源</w:t>
            </w:r>
          </w:p>
        </w:tc>
      </w:tr>
      <w:tr w14:paraId="15A9A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3" w:type="pct"/>
            <w:noWrap w:val="0"/>
            <w:vAlign w:val="center"/>
          </w:tcPr>
          <w:p w14:paraId="35F9EB03">
            <w:pPr>
              <w:keepNext w:val="0"/>
              <w:keepLines w:val="0"/>
              <w:suppressLineNumbers w:val="0"/>
              <w:snapToGrid w:val="0"/>
              <w:spacing w:before="0" w:beforeAutospacing="0" w:after="0" w:afterAutospacing="0" w:line="360" w:lineRule="atLeas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无组织</w:t>
            </w:r>
          </w:p>
        </w:tc>
        <w:tc>
          <w:tcPr>
            <w:tcW w:w="755" w:type="pct"/>
            <w:noWrap w:val="0"/>
            <w:vAlign w:val="center"/>
          </w:tcPr>
          <w:p w14:paraId="5672B46D">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w:t>
            </w:r>
          </w:p>
        </w:tc>
        <w:tc>
          <w:tcPr>
            <w:tcW w:w="1256" w:type="pct"/>
            <w:noWrap w:val="0"/>
            <w:vAlign w:val="center"/>
          </w:tcPr>
          <w:p w14:paraId="1470F8B3">
            <w:pPr>
              <w:keepNext w:val="0"/>
              <w:keepLines w:val="0"/>
              <w:suppressLineNumbers w:val="0"/>
              <w:adjustRightInd w:val="0"/>
              <w:snapToGrid w:val="0"/>
              <w:spacing w:before="0" w:beforeAutospacing="0" w:after="0" w:afterAutospacing="0" w:line="360" w:lineRule="atLeas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kern w:val="0"/>
                <w:lang w:val="zh-CN"/>
                <w14:textFill>
                  <w14:solidFill>
                    <w14:schemeClr w14:val="tx1"/>
                  </w14:solidFill>
                </w14:textFill>
              </w:rPr>
              <w:t>m</w:t>
            </w:r>
            <w:r>
              <w:rPr>
                <w:rFonts w:hint="eastAsia" w:ascii="Times New Roman" w:hAnsi="Times New Roman" w:cs="Times New Roman"/>
                <w:color w:val="000000" w:themeColor="text1"/>
                <w:kern w:val="0"/>
                <w:lang w:val="zh-CN"/>
                <w14:textFill>
                  <w14:solidFill>
                    <w14:schemeClr w14:val="tx1"/>
                  </w14:solidFill>
                </w14:textFill>
              </w:rPr>
              <w:t>g</w:t>
            </w:r>
            <w:r>
              <w:rPr>
                <w:rFonts w:hint="default" w:ascii="Times New Roman" w:hAnsi="Times New Roman" w:cs="Times New Roman"/>
                <w:color w:val="000000" w:themeColor="text1"/>
                <w:kern w:val="0"/>
                <w:lang w:val="zh-CN"/>
                <w14:textFill>
                  <w14:solidFill>
                    <w14:schemeClr w14:val="tx1"/>
                  </w14:solidFill>
                </w14:textFill>
              </w:rPr>
              <w:t>/m</w:t>
            </w:r>
            <w:r>
              <w:rPr>
                <w:rFonts w:hint="default" w:ascii="Times New Roman" w:hAnsi="Times New Roman" w:cs="Times New Roman"/>
                <w:color w:val="000000" w:themeColor="text1"/>
                <w:kern w:val="0"/>
                <w:vertAlign w:val="superscript"/>
                <w:lang w:val="zh-CN"/>
                <w14:textFill>
                  <w14:solidFill>
                    <w14:schemeClr w14:val="tx1"/>
                  </w14:solidFill>
                </w14:textFill>
              </w:rPr>
              <w:t>3</w:t>
            </w:r>
          </w:p>
        </w:tc>
        <w:tc>
          <w:tcPr>
            <w:tcW w:w="2484" w:type="pct"/>
            <w:noWrap w:val="0"/>
            <w:vAlign w:val="center"/>
          </w:tcPr>
          <w:p w14:paraId="1BAADEE4">
            <w:pPr>
              <w:keepNext w:val="0"/>
              <w:keepLines w:val="0"/>
              <w:suppressLineNumbers w:val="0"/>
              <w:snapToGrid w:val="0"/>
              <w:spacing w:before="0" w:beforeAutospacing="0" w:after="0" w:afterAutospacing="0" w:line="360" w:lineRule="atLeast"/>
              <w:ind w:left="-105" w:leftChars="-50" w:right="-105" w:rightChars="-5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《大气污染物综合排放标准》(GB16297-1996)</w:t>
            </w:r>
          </w:p>
        </w:tc>
      </w:tr>
    </w:tbl>
    <w:p w14:paraId="0E08BDD9">
      <w:pPr>
        <w:pStyle w:val="18"/>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本项目运营期供暖采用电锅炉，矿区已建有锅炉房一座，配备两台1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MW电加热锅炉，最大供热负荷为2.8MW，项目运营期无锅炉烟气排放。</w:t>
      </w:r>
      <w:r>
        <w:rPr>
          <w:color w:val="000000" w:themeColor="text1"/>
          <w:sz w:val="24"/>
          <w14:textFill>
            <w14:solidFill>
              <w14:schemeClr w14:val="tx1"/>
            </w14:solidFill>
          </w14:textFill>
        </w:rPr>
        <w:t>本项目主要大气污染源为</w:t>
      </w:r>
      <w:r>
        <w:rPr>
          <w:rFonts w:hint="eastAsia"/>
          <w:color w:val="000000" w:themeColor="text1"/>
          <w:sz w:val="24"/>
          <w14:textFill>
            <w14:solidFill>
              <w14:schemeClr w14:val="tx1"/>
            </w14:solidFill>
          </w14:textFill>
        </w:rPr>
        <w:t>矿山井下开采期</w:t>
      </w:r>
      <w:r>
        <w:rPr>
          <w:color w:val="000000" w:themeColor="text1"/>
          <w:sz w:val="24"/>
          <w14:textFill>
            <w14:solidFill>
              <w14:schemeClr w14:val="tx1"/>
            </w14:solidFill>
          </w14:textFill>
        </w:rPr>
        <w:t>产生的</w:t>
      </w:r>
      <w:r>
        <w:rPr>
          <w:rFonts w:hint="eastAsia"/>
          <w:color w:val="000000" w:themeColor="text1"/>
          <w:sz w:val="24"/>
          <w:szCs w:val="28"/>
          <w14:textFill>
            <w14:solidFill>
              <w14:schemeClr w14:val="tx1"/>
            </w14:solidFill>
          </w14:textFill>
        </w:rPr>
        <w:t>凿岩爆破粉尘、矿（废）石翻卸产生的粉尘、废石堆场扬尘、道路运输扬尘以及柴油设备燃烧废气。</w:t>
      </w:r>
    </w:p>
    <w:p w14:paraId="73E46169">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本项目大气污染物排放标准执行《铁矿采选工业污染物排放标准》（GB28661-2012）。具体标准值见表</w:t>
      </w:r>
      <w:r>
        <w:rPr>
          <w:rFonts w:hint="eastAsia"/>
          <w:color w:val="000000" w:themeColor="text1"/>
          <w:sz w:val="24"/>
          <w:szCs w:val="24"/>
          <w14:textFill>
            <w14:solidFill>
              <w14:schemeClr w14:val="tx1"/>
            </w14:solidFill>
          </w14:textFill>
        </w:rPr>
        <w:t>2.4</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w:t>
      </w:r>
    </w:p>
    <w:p w14:paraId="6BA0639A">
      <w:pPr>
        <w:spacing w:line="480" w:lineRule="exact"/>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2.4</w:t>
      </w:r>
      <w:r>
        <w:rPr>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6</w:t>
      </w:r>
      <w:r>
        <w:rPr>
          <w:rFonts w:hint="eastAsia"/>
          <w:b/>
          <w:bCs/>
          <w:color w:val="000000" w:themeColor="text1"/>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大气污染物排放限值</w:t>
      </w:r>
    </w:p>
    <w:tbl>
      <w:tblPr>
        <w:tblStyle w:val="79"/>
        <w:tblW w:w="4991" w:type="pct"/>
        <w:tblInd w:w="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993"/>
        <w:gridCol w:w="1419"/>
        <w:gridCol w:w="3446"/>
      </w:tblGrid>
      <w:tr w14:paraId="13A7F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557" w:type="pct"/>
            <w:noWrap w:val="0"/>
            <w:vAlign w:val="center"/>
          </w:tcPr>
          <w:p w14:paraId="3E882CFF">
            <w:pPr>
              <w:keepNext w:val="0"/>
              <w:keepLines w:val="0"/>
              <w:suppressLineNumbers w:val="0"/>
              <w:spacing w:before="0" w:beforeAutospacing="0" w:after="0" w:afterAutospacing="0" w:line="360" w:lineRule="atLeast"/>
              <w:ind w:left="-105" w:leftChars="-50" w:right="-105" w:rightChars="-50"/>
              <w:jc w:val="center"/>
              <w:rPr>
                <w:rFonts w:hint="default" w:ascii="Times New Roman" w:hAnsi="Times New Roman" w:cs="Times New Roman"/>
                <w:b/>
                <w:bCs/>
                <w:color w:val="000000" w:themeColor="text1"/>
                <w:kern w:val="0"/>
                <w:szCs w:val="21"/>
                <w:lang w:val="zh-CN"/>
                <w14:textFill>
                  <w14:solidFill>
                    <w14:schemeClr w14:val="tx1"/>
                  </w14:solidFill>
                </w14:textFill>
              </w:rPr>
            </w:pPr>
            <w:r>
              <w:rPr>
                <w:rFonts w:hint="default" w:ascii="Times New Roman" w:hAnsi="Times New Roman" w:cs="Times New Roman"/>
                <w:b/>
                <w:bCs/>
                <w:color w:val="000000" w:themeColor="text1"/>
                <w:kern w:val="0"/>
                <w:szCs w:val="21"/>
                <w:lang w:val="zh-CN"/>
                <w14:textFill>
                  <w14:solidFill>
                    <w14:schemeClr w14:val="tx1"/>
                  </w14:solidFill>
                </w14:textFill>
              </w:rPr>
              <w:t>污染源</w:t>
            </w:r>
          </w:p>
        </w:tc>
        <w:tc>
          <w:tcPr>
            <w:tcW w:w="583" w:type="pct"/>
            <w:noWrap w:val="0"/>
            <w:vAlign w:val="center"/>
          </w:tcPr>
          <w:p w14:paraId="251FFC30">
            <w:pPr>
              <w:keepNext w:val="0"/>
              <w:keepLines w:val="0"/>
              <w:suppressLineNumbers w:val="0"/>
              <w:spacing w:before="0" w:beforeAutospacing="0" w:after="0" w:afterAutospacing="0" w:line="360" w:lineRule="atLeast"/>
              <w:ind w:left="-105" w:leftChars="-50" w:right="-105" w:rightChars="-50"/>
              <w:jc w:val="center"/>
              <w:rPr>
                <w:rFonts w:hint="default" w:ascii="Times New Roman" w:hAnsi="Times New Roman" w:cs="Times New Roman"/>
                <w:b/>
                <w:bCs/>
                <w:color w:val="000000" w:themeColor="text1"/>
                <w:kern w:val="0"/>
                <w:szCs w:val="21"/>
                <w:lang w:val="zh-CN"/>
                <w14:textFill>
                  <w14:solidFill>
                    <w14:schemeClr w14:val="tx1"/>
                  </w14:solidFill>
                </w14:textFill>
              </w:rPr>
            </w:pPr>
            <w:r>
              <w:rPr>
                <w:rFonts w:hint="default" w:ascii="Times New Roman" w:hAnsi="Times New Roman" w:cs="Times New Roman"/>
                <w:b/>
                <w:bCs/>
                <w:color w:val="000000" w:themeColor="text1"/>
                <w:kern w:val="0"/>
                <w:szCs w:val="21"/>
                <w:lang w:val="zh-CN"/>
                <w14:textFill>
                  <w14:solidFill>
                    <w14:schemeClr w14:val="tx1"/>
                  </w14:solidFill>
                </w14:textFill>
              </w:rPr>
              <w:t>污染物</w:t>
            </w:r>
          </w:p>
        </w:tc>
        <w:tc>
          <w:tcPr>
            <w:tcW w:w="833" w:type="pct"/>
            <w:noWrap w:val="0"/>
            <w:vAlign w:val="center"/>
          </w:tcPr>
          <w:p w14:paraId="3A4A58F4">
            <w:pPr>
              <w:keepNext w:val="0"/>
              <w:keepLines w:val="0"/>
              <w:suppressLineNumbers w:val="0"/>
              <w:spacing w:before="0" w:beforeAutospacing="0" w:after="0" w:afterAutospacing="0" w:line="360" w:lineRule="atLeast"/>
              <w:ind w:left="-105" w:leftChars="-50" w:right="-105" w:rightChars="-50"/>
              <w:jc w:val="center"/>
              <w:rPr>
                <w:rFonts w:hint="default" w:ascii="Times New Roman" w:hAnsi="Times New Roman" w:cs="Times New Roman"/>
                <w:b/>
                <w:bCs/>
                <w:color w:val="000000" w:themeColor="text1"/>
                <w:kern w:val="0"/>
                <w:szCs w:val="21"/>
                <w:lang w:val="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排放浓度限值</w:t>
            </w:r>
          </w:p>
        </w:tc>
        <w:tc>
          <w:tcPr>
            <w:tcW w:w="2025" w:type="pct"/>
            <w:noWrap w:val="0"/>
            <w:vAlign w:val="center"/>
          </w:tcPr>
          <w:p w14:paraId="43ACFA18">
            <w:pPr>
              <w:keepNext w:val="0"/>
              <w:keepLines w:val="0"/>
              <w:suppressLineNumbers w:val="0"/>
              <w:spacing w:before="0" w:beforeAutospacing="0" w:after="0" w:afterAutospacing="0" w:line="360" w:lineRule="atLeast"/>
              <w:ind w:left="-105" w:leftChars="-50" w:right="-105" w:rightChars="-50"/>
              <w:jc w:val="center"/>
              <w:rPr>
                <w:rFonts w:hint="default" w:ascii="Times New Roman" w:hAnsi="Times New Roman" w:cs="Times New Roman"/>
                <w:b/>
                <w:bCs/>
                <w:color w:val="000000" w:themeColor="text1"/>
                <w:kern w:val="0"/>
                <w:szCs w:val="21"/>
                <w:lang w:val="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标准来源</w:t>
            </w:r>
          </w:p>
        </w:tc>
      </w:tr>
      <w:tr w14:paraId="15AAC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7" w:type="pct"/>
            <w:noWrap w:val="0"/>
            <w:vAlign w:val="center"/>
          </w:tcPr>
          <w:p w14:paraId="5FB5E245">
            <w:pPr>
              <w:keepNext w:val="0"/>
              <w:keepLines w:val="0"/>
              <w:suppressLineNumbers w:val="0"/>
              <w:spacing w:before="0" w:beforeAutospacing="0" w:after="0" w:afterAutospacing="0" w:line="360" w:lineRule="atLeas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各无组织排放源（凿岩爆破、原矿和废石井下装载及运输、废石堆场、道路运输等）</w:t>
            </w:r>
          </w:p>
        </w:tc>
        <w:tc>
          <w:tcPr>
            <w:tcW w:w="583" w:type="pct"/>
            <w:noWrap w:val="0"/>
            <w:vAlign w:val="center"/>
          </w:tcPr>
          <w:p w14:paraId="3EF1A284">
            <w:pPr>
              <w:keepNext w:val="0"/>
              <w:keepLines w:val="0"/>
              <w:suppressLineNumbers w:val="0"/>
              <w:adjustRightInd w:val="0"/>
              <w:spacing w:before="0" w:beforeAutospacing="0" w:after="0" w:afterAutospacing="0" w:line="360" w:lineRule="atLeas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833" w:type="pct"/>
            <w:noWrap w:val="0"/>
            <w:vAlign w:val="center"/>
          </w:tcPr>
          <w:p w14:paraId="3E22F7A6">
            <w:pPr>
              <w:keepNext w:val="0"/>
              <w:keepLines w:val="0"/>
              <w:suppressLineNumbers w:val="0"/>
              <w:adjustRightInd w:val="0"/>
              <w:spacing w:before="0" w:beforeAutospacing="0" w:after="0" w:afterAutospacing="0" w:line="360" w:lineRule="atLeas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r>
              <w:rPr>
                <w:rFonts w:hint="default" w:ascii="Times New Roman" w:hAnsi="Times New Roman" w:cs="Times New Roman"/>
                <w:color w:val="000000" w:themeColor="text1"/>
                <w:kern w:val="0"/>
                <w:szCs w:val="21"/>
                <w:lang w:val="zh-CN"/>
                <w14:textFill>
                  <w14:solidFill>
                    <w14:schemeClr w14:val="tx1"/>
                  </w14:solidFill>
                </w14:textFill>
              </w:rPr>
              <w:t>mg/m</w:t>
            </w:r>
            <w:r>
              <w:rPr>
                <w:rFonts w:hint="default" w:ascii="Times New Roman" w:hAnsi="Times New Roman" w:cs="Times New Roman"/>
                <w:color w:val="000000" w:themeColor="text1"/>
                <w:kern w:val="0"/>
                <w:szCs w:val="21"/>
                <w:vertAlign w:val="superscript"/>
                <w:lang w:val="zh-CN"/>
                <w14:textFill>
                  <w14:solidFill>
                    <w14:schemeClr w14:val="tx1"/>
                  </w14:solidFill>
                </w14:textFill>
              </w:rPr>
              <w:t>3</w:t>
            </w:r>
          </w:p>
        </w:tc>
        <w:tc>
          <w:tcPr>
            <w:tcW w:w="2025" w:type="pct"/>
            <w:noWrap w:val="0"/>
            <w:vAlign w:val="center"/>
          </w:tcPr>
          <w:p w14:paraId="2EB7A23E">
            <w:pPr>
              <w:keepNext w:val="0"/>
              <w:keepLines w:val="0"/>
              <w:suppressLineNumbers w:val="0"/>
              <w:spacing w:before="0" w:beforeAutospacing="0" w:after="0" w:afterAutospacing="0" w:line="360" w:lineRule="atLeas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《铁矿采选工业污染物排放标准》</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GB28661-2012</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表7现有和新建企业大气污染物无组织排放浓度限值</w:t>
            </w:r>
          </w:p>
        </w:tc>
      </w:tr>
    </w:tbl>
    <w:p w14:paraId="0E616B83">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2.4</w:t>
      </w:r>
      <w:r>
        <w:rPr>
          <w:rFonts w:ascii="Times New Roman" w:hAnsi="Times New Roman"/>
          <w:bCs w:val="0"/>
          <w:color w:val="000000" w:themeColor="text1"/>
          <w:kern w:val="2"/>
          <w:szCs w:val="24"/>
          <w14:textFill>
            <w14:solidFill>
              <w14:schemeClr w14:val="tx1"/>
            </w14:solidFill>
          </w14:textFill>
        </w:rPr>
        <w:t>.3.2废水排放标准</w:t>
      </w:r>
    </w:p>
    <w:p w14:paraId="54F791E5">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本项目生产废水主要是</w:t>
      </w:r>
      <w:r>
        <w:rPr>
          <w:color w:val="000000" w:themeColor="text1"/>
          <w:sz w:val="24"/>
          <w:szCs w:val="24"/>
          <w14:textFill>
            <w14:solidFill>
              <w14:schemeClr w14:val="tx1"/>
            </w14:solidFill>
          </w14:textFill>
        </w:rPr>
        <w:t>湿式凿岩过程中产生的凿岩废水</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地下开采时产生的</w:t>
      </w:r>
      <w:r>
        <w:rPr>
          <w:rFonts w:hint="eastAsia"/>
          <w:color w:val="000000" w:themeColor="text1"/>
          <w:sz w:val="24"/>
          <w:szCs w:val="24"/>
          <w14:textFill>
            <w14:solidFill>
              <w14:schemeClr w14:val="tx1"/>
            </w14:solidFill>
          </w14:textFill>
        </w:rPr>
        <w:t>矿井涌水。</w:t>
      </w:r>
      <w:r>
        <w:rPr>
          <w:color w:val="000000" w:themeColor="text1"/>
          <w:sz w:val="24"/>
          <w:szCs w:val="24"/>
          <w14:textFill>
            <w14:solidFill>
              <w14:schemeClr w14:val="tx1"/>
            </w14:solidFill>
          </w14:textFill>
        </w:rPr>
        <w:t>凿岩</w:t>
      </w:r>
      <w:r>
        <w:rPr>
          <w:rFonts w:hint="eastAsia"/>
          <w:color w:val="000000" w:themeColor="text1"/>
          <w:sz w:val="24"/>
          <w:szCs w:val="24"/>
          <w14:textFill>
            <w14:solidFill>
              <w14:schemeClr w14:val="tx1"/>
            </w14:solidFill>
          </w14:textFill>
        </w:rPr>
        <w:t>采用喷雾洒水湿式凿岩，废水量较少，一般不形成径流；矿井涌水经混凝沉淀处理后，满足《铁矿采选工业污染物排放标准》（GB28661-2012）新建企业水污染物排放浓度限值以及《城市污水再生利用 城市杂用水水质》（GB/T18920-2020）中的城市绿化、道路清扫、消防、建筑施工限值后，一部分用于采矿生产用水和矿山绿化、工业场地及道路降尘等，其余泵送至选厂生产新水水池供生产使用，不外排。标准值见表2.4-</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w:t>
      </w:r>
    </w:p>
    <w:p w14:paraId="0D73B6A7">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w:t>
      </w:r>
      <w:r>
        <w:rPr>
          <w:rFonts w:hint="eastAsia"/>
          <w:color w:val="000000" w:themeColor="text1"/>
          <w:sz w:val="24"/>
          <w:szCs w:val="24"/>
          <w:highlight w:val="none"/>
          <w14:textFill>
            <w14:solidFill>
              <w14:schemeClr w14:val="tx1"/>
            </w14:solidFill>
          </w14:textFill>
        </w:rPr>
        <w:t>目生活污水经地埋式一体化污水处理设备处理满足</w:t>
      </w:r>
      <w:r>
        <w:rPr>
          <w:rFonts w:ascii="Times New Roman" w:hAnsi="Times New Roman" w:eastAsiaTheme="minorEastAsia"/>
          <w:color w:val="000000" w:themeColor="text1"/>
          <w:sz w:val="24"/>
          <w:szCs w:val="24"/>
          <w14:textFill>
            <w14:solidFill>
              <w14:schemeClr w14:val="tx1"/>
            </w14:solidFill>
          </w14:textFill>
        </w:rPr>
        <w:t>《农村生活污水处理排放标准》（DB65 4275-2019）中A级标准</w:t>
      </w:r>
      <w:r>
        <w:rPr>
          <w:rFonts w:hint="eastAsia"/>
          <w:color w:val="000000" w:themeColor="text1"/>
          <w:sz w:val="24"/>
          <w:szCs w:val="28"/>
          <w:highlight w:val="none"/>
          <w14:textFill>
            <w14:solidFill>
              <w14:schemeClr w14:val="tx1"/>
            </w14:solidFill>
          </w14:textFill>
        </w:rPr>
        <w:t>，灌</w:t>
      </w:r>
      <w:r>
        <w:rPr>
          <w:rFonts w:hint="eastAsia"/>
          <w:color w:val="000000" w:themeColor="text1"/>
          <w:sz w:val="24"/>
          <w:szCs w:val="28"/>
          <w14:textFill>
            <w14:solidFill>
              <w14:schemeClr w14:val="tx1"/>
            </w14:solidFill>
          </w14:textFill>
        </w:rPr>
        <w:t>溉期</w:t>
      </w:r>
      <w:r>
        <w:rPr>
          <w:rFonts w:hint="eastAsia"/>
          <w:color w:val="000000" w:themeColor="text1"/>
          <w:sz w:val="24"/>
          <w:szCs w:val="24"/>
          <w14:textFill>
            <w14:solidFill>
              <w14:schemeClr w14:val="tx1"/>
            </w14:solidFill>
          </w14:textFill>
        </w:rPr>
        <w:t>全部用于矿区绿化，非灌溉期输送至选厂生产使用，不外排。标准值见表2.4-</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14:textFill>
            <w14:solidFill>
              <w14:schemeClr w14:val="tx1"/>
            </w14:solidFill>
          </w14:textFill>
        </w:rPr>
        <w:t>。</w:t>
      </w:r>
    </w:p>
    <w:p w14:paraId="03F09450">
      <w:pPr>
        <w:spacing w:line="480" w:lineRule="exact"/>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2.4</w:t>
      </w:r>
      <w:r>
        <w:rPr>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7</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lang w:val="en-US" w:eastAsia="zh-CN"/>
          <w14:textFill>
            <w14:solidFill>
              <w14:schemeClr w14:val="tx1"/>
            </w14:solidFill>
          </w14:textFill>
        </w:rPr>
        <w:t>生产废水</w:t>
      </w:r>
      <w:r>
        <w:rPr>
          <w:b/>
          <w:bCs/>
          <w:color w:val="000000" w:themeColor="text1"/>
          <w:sz w:val="24"/>
          <w:szCs w:val="24"/>
          <w14:textFill>
            <w14:solidFill>
              <w14:schemeClr w14:val="tx1"/>
            </w14:solidFill>
          </w14:textFill>
        </w:rPr>
        <w:t>污染物排放限值    单位：mg/L（</w:t>
      </w:r>
      <w:r>
        <w:rPr>
          <w:rFonts w:hint="eastAsia"/>
          <w:b/>
          <w:bCs/>
          <w:color w:val="000000" w:themeColor="text1"/>
          <w:sz w:val="24"/>
          <w:szCs w:val="24"/>
          <w14:textFill>
            <w14:solidFill>
              <w14:schemeClr w14:val="tx1"/>
            </w14:solidFill>
          </w14:textFill>
        </w:rPr>
        <w:t>pH</w:t>
      </w:r>
      <w:r>
        <w:rPr>
          <w:b/>
          <w:bCs/>
          <w:color w:val="000000" w:themeColor="text1"/>
          <w:sz w:val="24"/>
          <w:szCs w:val="24"/>
          <w14:textFill>
            <w14:solidFill>
              <w14:schemeClr w14:val="tx1"/>
            </w14:solidFill>
          </w14:textFill>
        </w:rPr>
        <w:t>无量纲）</w:t>
      </w:r>
    </w:p>
    <w:tbl>
      <w:tblPr>
        <w:tblStyle w:val="7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685"/>
        <w:gridCol w:w="2995"/>
        <w:gridCol w:w="2135"/>
      </w:tblGrid>
      <w:tr w14:paraId="770A1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3" w:type="pct"/>
            <w:noWrap w:val="0"/>
            <w:vAlign w:val="center"/>
          </w:tcPr>
          <w:p w14:paraId="0AF78DE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序号</w:t>
            </w:r>
          </w:p>
        </w:tc>
        <w:tc>
          <w:tcPr>
            <w:tcW w:w="1576" w:type="pct"/>
            <w:noWrap w:val="0"/>
            <w:vAlign w:val="center"/>
          </w:tcPr>
          <w:p w14:paraId="2D92585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项目</w:t>
            </w:r>
          </w:p>
        </w:tc>
        <w:tc>
          <w:tcPr>
            <w:tcW w:w="1758" w:type="pct"/>
            <w:noWrap w:val="0"/>
            <w:vAlign w:val="center"/>
          </w:tcPr>
          <w:p w14:paraId="78FB6A2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标准值</w:t>
            </w:r>
          </w:p>
        </w:tc>
        <w:tc>
          <w:tcPr>
            <w:tcW w:w="1250" w:type="pct"/>
            <w:noWrap w:val="0"/>
            <w:vAlign w:val="center"/>
          </w:tcPr>
          <w:p w14:paraId="3195F5C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标准来源</w:t>
            </w:r>
          </w:p>
        </w:tc>
      </w:tr>
      <w:tr w14:paraId="7D7C8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14:paraId="219D76C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生产废水间接排放标准</w:t>
            </w:r>
          </w:p>
        </w:tc>
      </w:tr>
      <w:tr w14:paraId="3F664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747536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1576" w:type="pct"/>
            <w:noWrap w:val="0"/>
            <w:vAlign w:val="center"/>
          </w:tcPr>
          <w:p w14:paraId="3404627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pH</w:t>
            </w:r>
          </w:p>
        </w:tc>
        <w:tc>
          <w:tcPr>
            <w:tcW w:w="1758" w:type="pct"/>
            <w:noWrap w:val="0"/>
            <w:vAlign w:val="center"/>
          </w:tcPr>
          <w:p w14:paraId="69761F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6~9</w:t>
            </w:r>
          </w:p>
        </w:tc>
        <w:tc>
          <w:tcPr>
            <w:tcW w:w="1250" w:type="pct"/>
            <w:vMerge w:val="restart"/>
            <w:noWrap w:val="0"/>
            <w:vAlign w:val="center"/>
          </w:tcPr>
          <w:p w14:paraId="6A8871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《铁矿采选工业污染物排放标准》（GB28661-2012）新建企业水污染物排放浓度限值</w:t>
            </w:r>
          </w:p>
        </w:tc>
      </w:tr>
      <w:tr w14:paraId="52392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5C6F32B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w:t>
            </w:r>
          </w:p>
        </w:tc>
        <w:tc>
          <w:tcPr>
            <w:tcW w:w="1576" w:type="pct"/>
            <w:noWrap w:val="0"/>
            <w:vAlign w:val="center"/>
          </w:tcPr>
          <w:p w14:paraId="78D3B93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悬浮物</w:t>
            </w:r>
          </w:p>
        </w:tc>
        <w:tc>
          <w:tcPr>
            <w:tcW w:w="1758" w:type="pct"/>
            <w:noWrap w:val="0"/>
            <w:vAlign w:val="center"/>
          </w:tcPr>
          <w:p w14:paraId="6C0BA7A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300</w:t>
            </w:r>
          </w:p>
        </w:tc>
        <w:tc>
          <w:tcPr>
            <w:tcW w:w="1250" w:type="pct"/>
            <w:vMerge w:val="continue"/>
            <w:noWrap w:val="0"/>
            <w:vAlign w:val="center"/>
          </w:tcPr>
          <w:p w14:paraId="5D4DEAC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321EF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32A308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w:t>
            </w:r>
          </w:p>
        </w:tc>
        <w:tc>
          <w:tcPr>
            <w:tcW w:w="1576" w:type="pct"/>
            <w:noWrap w:val="0"/>
            <w:vAlign w:val="center"/>
          </w:tcPr>
          <w:p w14:paraId="1BA7F41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化学需氧量</w:t>
            </w:r>
          </w:p>
        </w:tc>
        <w:tc>
          <w:tcPr>
            <w:tcW w:w="1758" w:type="pct"/>
            <w:noWrap w:val="0"/>
            <w:vAlign w:val="center"/>
          </w:tcPr>
          <w:p w14:paraId="172C0A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200</w:t>
            </w:r>
          </w:p>
        </w:tc>
        <w:tc>
          <w:tcPr>
            <w:tcW w:w="1250" w:type="pct"/>
            <w:vMerge w:val="continue"/>
            <w:noWrap w:val="0"/>
            <w:vAlign w:val="center"/>
          </w:tcPr>
          <w:p w14:paraId="39F2CB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57222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15F1EEE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w:t>
            </w:r>
          </w:p>
        </w:tc>
        <w:tc>
          <w:tcPr>
            <w:tcW w:w="1576" w:type="pct"/>
            <w:noWrap w:val="0"/>
            <w:vAlign w:val="center"/>
          </w:tcPr>
          <w:p w14:paraId="4BAFB9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总氮</w:t>
            </w:r>
          </w:p>
        </w:tc>
        <w:tc>
          <w:tcPr>
            <w:tcW w:w="1758" w:type="pct"/>
            <w:noWrap w:val="0"/>
            <w:vAlign w:val="center"/>
          </w:tcPr>
          <w:p w14:paraId="0A88A11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40</w:t>
            </w:r>
          </w:p>
        </w:tc>
        <w:tc>
          <w:tcPr>
            <w:tcW w:w="1250" w:type="pct"/>
            <w:vMerge w:val="continue"/>
            <w:noWrap w:val="0"/>
            <w:vAlign w:val="center"/>
          </w:tcPr>
          <w:p w14:paraId="10A7F6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09CA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6F6ABC0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w:t>
            </w:r>
          </w:p>
        </w:tc>
        <w:tc>
          <w:tcPr>
            <w:tcW w:w="1576" w:type="pct"/>
            <w:noWrap w:val="0"/>
            <w:vAlign w:val="center"/>
          </w:tcPr>
          <w:p w14:paraId="02D90FD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总磷</w:t>
            </w:r>
          </w:p>
        </w:tc>
        <w:tc>
          <w:tcPr>
            <w:tcW w:w="1758" w:type="pct"/>
            <w:noWrap w:val="0"/>
            <w:vAlign w:val="center"/>
          </w:tcPr>
          <w:p w14:paraId="2229671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2.0</w:t>
            </w:r>
          </w:p>
        </w:tc>
        <w:tc>
          <w:tcPr>
            <w:tcW w:w="1250" w:type="pct"/>
            <w:vMerge w:val="continue"/>
            <w:noWrap w:val="0"/>
            <w:vAlign w:val="center"/>
          </w:tcPr>
          <w:p w14:paraId="1B3B7C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BA9D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4D2598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w:t>
            </w:r>
          </w:p>
        </w:tc>
        <w:tc>
          <w:tcPr>
            <w:tcW w:w="1576" w:type="pct"/>
            <w:noWrap w:val="0"/>
            <w:vAlign w:val="center"/>
          </w:tcPr>
          <w:p w14:paraId="0DCA145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石油类</w:t>
            </w:r>
          </w:p>
        </w:tc>
        <w:tc>
          <w:tcPr>
            <w:tcW w:w="1758" w:type="pct"/>
            <w:noWrap w:val="0"/>
            <w:vAlign w:val="center"/>
          </w:tcPr>
          <w:p w14:paraId="7F1B2D7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20</w:t>
            </w:r>
          </w:p>
        </w:tc>
        <w:tc>
          <w:tcPr>
            <w:tcW w:w="1250" w:type="pct"/>
            <w:vMerge w:val="continue"/>
            <w:noWrap w:val="0"/>
            <w:vAlign w:val="center"/>
          </w:tcPr>
          <w:p w14:paraId="0D918C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F831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6DF47F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7</w:t>
            </w:r>
          </w:p>
        </w:tc>
        <w:tc>
          <w:tcPr>
            <w:tcW w:w="1576" w:type="pct"/>
            <w:noWrap w:val="0"/>
            <w:vAlign w:val="center"/>
          </w:tcPr>
          <w:p w14:paraId="29DAF29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总锌</w:t>
            </w:r>
          </w:p>
        </w:tc>
        <w:tc>
          <w:tcPr>
            <w:tcW w:w="1758" w:type="pct"/>
            <w:noWrap w:val="0"/>
            <w:vAlign w:val="center"/>
          </w:tcPr>
          <w:p w14:paraId="199DB51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5.0</w:t>
            </w:r>
          </w:p>
        </w:tc>
        <w:tc>
          <w:tcPr>
            <w:tcW w:w="1250" w:type="pct"/>
            <w:vMerge w:val="continue"/>
            <w:noWrap w:val="0"/>
            <w:vAlign w:val="center"/>
          </w:tcPr>
          <w:p w14:paraId="6B05E4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0ED6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06E689E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8</w:t>
            </w:r>
          </w:p>
        </w:tc>
        <w:tc>
          <w:tcPr>
            <w:tcW w:w="1576" w:type="pct"/>
            <w:noWrap w:val="0"/>
            <w:vAlign w:val="center"/>
          </w:tcPr>
          <w:p w14:paraId="101CB81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总铜</w:t>
            </w:r>
          </w:p>
        </w:tc>
        <w:tc>
          <w:tcPr>
            <w:tcW w:w="1758" w:type="pct"/>
            <w:noWrap w:val="0"/>
            <w:vAlign w:val="center"/>
          </w:tcPr>
          <w:p w14:paraId="64F9CC1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2.0</w:t>
            </w:r>
          </w:p>
        </w:tc>
        <w:tc>
          <w:tcPr>
            <w:tcW w:w="1250" w:type="pct"/>
            <w:vMerge w:val="continue"/>
            <w:noWrap w:val="0"/>
            <w:vAlign w:val="center"/>
          </w:tcPr>
          <w:p w14:paraId="4A22DB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7F61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4ABF47A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9</w:t>
            </w:r>
          </w:p>
        </w:tc>
        <w:tc>
          <w:tcPr>
            <w:tcW w:w="1576" w:type="pct"/>
            <w:noWrap w:val="0"/>
            <w:vAlign w:val="center"/>
          </w:tcPr>
          <w:p w14:paraId="0077855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总猛</w:t>
            </w:r>
          </w:p>
        </w:tc>
        <w:tc>
          <w:tcPr>
            <w:tcW w:w="1758" w:type="pct"/>
            <w:noWrap w:val="0"/>
            <w:vAlign w:val="center"/>
          </w:tcPr>
          <w:p w14:paraId="7BA57D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4.0</w:t>
            </w:r>
          </w:p>
        </w:tc>
        <w:tc>
          <w:tcPr>
            <w:tcW w:w="1250" w:type="pct"/>
            <w:vMerge w:val="continue"/>
            <w:noWrap w:val="0"/>
            <w:vAlign w:val="center"/>
          </w:tcPr>
          <w:p w14:paraId="2C71079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0F305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60AE38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10</w:t>
            </w:r>
          </w:p>
        </w:tc>
        <w:tc>
          <w:tcPr>
            <w:tcW w:w="1576" w:type="pct"/>
            <w:noWrap w:val="0"/>
            <w:vAlign w:val="center"/>
          </w:tcPr>
          <w:p w14:paraId="2211795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总硒</w:t>
            </w:r>
          </w:p>
        </w:tc>
        <w:tc>
          <w:tcPr>
            <w:tcW w:w="1758" w:type="pct"/>
            <w:noWrap w:val="0"/>
            <w:vAlign w:val="center"/>
          </w:tcPr>
          <w:p w14:paraId="707CC93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0.4</w:t>
            </w:r>
          </w:p>
        </w:tc>
        <w:tc>
          <w:tcPr>
            <w:tcW w:w="1250" w:type="pct"/>
            <w:vMerge w:val="continue"/>
            <w:noWrap w:val="0"/>
            <w:vAlign w:val="center"/>
          </w:tcPr>
          <w:p w14:paraId="12209F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E3F5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352136C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w:t>
            </w:r>
          </w:p>
        </w:tc>
        <w:tc>
          <w:tcPr>
            <w:tcW w:w="1576" w:type="pct"/>
            <w:noWrap w:val="0"/>
            <w:vAlign w:val="center"/>
          </w:tcPr>
          <w:p w14:paraId="1647DC0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总铁</w:t>
            </w:r>
          </w:p>
        </w:tc>
        <w:tc>
          <w:tcPr>
            <w:tcW w:w="1758" w:type="pct"/>
            <w:noWrap w:val="0"/>
            <w:vAlign w:val="center"/>
          </w:tcPr>
          <w:p w14:paraId="67F8AF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10</w:t>
            </w:r>
          </w:p>
        </w:tc>
        <w:tc>
          <w:tcPr>
            <w:tcW w:w="1250" w:type="pct"/>
            <w:vMerge w:val="continue"/>
            <w:noWrap w:val="0"/>
            <w:vAlign w:val="center"/>
          </w:tcPr>
          <w:p w14:paraId="08523A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1125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196A3EB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w:t>
            </w:r>
          </w:p>
        </w:tc>
        <w:tc>
          <w:tcPr>
            <w:tcW w:w="1576" w:type="pct"/>
            <w:noWrap w:val="0"/>
            <w:vAlign w:val="center"/>
          </w:tcPr>
          <w:p w14:paraId="36103B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硫化物</w:t>
            </w:r>
          </w:p>
        </w:tc>
        <w:tc>
          <w:tcPr>
            <w:tcW w:w="1758" w:type="pct"/>
            <w:noWrap w:val="0"/>
            <w:vAlign w:val="center"/>
          </w:tcPr>
          <w:p w14:paraId="5D0F390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1.0</w:t>
            </w:r>
          </w:p>
        </w:tc>
        <w:tc>
          <w:tcPr>
            <w:tcW w:w="1250" w:type="pct"/>
            <w:vMerge w:val="continue"/>
            <w:noWrap w:val="0"/>
            <w:vAlign w:val="center"/>
          </w:tcPr>
          <w:p w14:paraId="068F31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E237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56B60F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13</w:t>
            </w:r>
          </w:p>
        </w:tc>
        <w:tc>
          <w:tcPr>
            <w:tcW w:w="1576" w:type="pct"/>
            <w:noWrap w:val="0"/>
            <w:vAlign w:val="center"/>
          </w:tcPr>
          <w:p w14:paraId="681979A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氟化物</w:t>
            </w:r>
          </w:p>
        </w:tc>
        <w:tc>
          <w:tcPr>
            <w:tcW w:w="1758" w:type="pct"/>
            <w:noWrap w:val="0"/>
            <w:vAlign w:val="center"/>
          </w:tcPr>
          <w:p w14:paraId="535434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20</w:t>
            </w:r>
          </w:p>
        </w:tc>
        <w:tc>
          <w:tcPr>
            <w:tcW w:w="1250" w:type="pct"/>
            <w:vMerge w:val="continue"/>
            <w:noWrap w:val="0"/>
            <w:vAlign w:val="center"/>
          </w:tcPr>
          <w:p w14:paraId="42D0479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8B19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6C82698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14</w:t>
            </w:r>
          </w:p>
        </w:tc>
        <w:tc>
          <w:tcPr>
            <w:tcW w:w="1576" w:type="pct"/>
            <w:noWrap w:val="0"/>
            <w:vAlign w:val="center"/>
          </w:tcPr>
          <w:p w14:paraId="536E58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总汞</w:t>
            </w:r>
          </w:p>
        </w:tc>
        <w:tc>
          <w:tcPr>
            <w:tcW w:w="1758" w:type="pct"/>
            <w:noWrap w:val="0"/>
            <w:vAlign w:val="center"/>
          </w:tcPr>
          <w:p w14:paraId="6D1CC88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0.05</w:t>
            </w:r>
          </w:p>
        </w:tc>
        <w:tc>
          <w:tcPr>
            <w:tcW w:w="1250" w:type="pct"/>
            <w:vMerge w:val="continue"/>
            <w:noWrap w:val="0"/>
            <w:vAlign w:val="center"/>
          </w:tcPr>
          <w:p w14:paraId="72B61B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7E4B3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1053676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c>
          <w:tcPr>
            <w:tcW w:w="1576" w:type="pct"/>
            <w:noWrap w:val="0"/>
            <w:vAlign w:val="center"/>
          </w:tcPr>
          <w:p w14:paraId="259516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总镉</w:t>
            </w:r>
          </w:p>
        </w:tc>
        <w:tc>
          <w:tcPr>
            <w:tcW w:w="1758" w:type="pct"/>
            <w:noWrap w:val="0"/>
            <w:vAlign w:val="center"/>
          </w:tcPr>
          <w:p w14:paraId="7810C21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0.1</w:t>
            </w:r>
          </w:p>
        </w:tc>
        <w:tc>
          <w:tcPr>
            <w:tcW w:w="1250" w:type="pct"/>
            <w:vMerge w:val="continue"/>
            <w:noWrap w:val="0"/>
            <w:vAlign w:val="center"/>
          </w:tcPr>
          <w:p w14:paraId="25D389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5A236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010BCED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16</w:t>
            </w:r>
          </w:p>
        </w:tc>
        <w:tc>
          <w:tcPr>
            <w:tcW w:w="1576" w:type="pct"/>
            <w:noWrap w:val="0"/>
            <w:vAlign w:val="center"/>
          </w:tcPr>
          <w:p w14:paraId="60AC1D9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总铬</w:t>
            </w:r>
          </w:p>
        </w:tc>
        <w:tc>
          <w:tcPr>
            <w:tcW w:w="1758" w:type="pct"/>
            <w:noWrap w:val="0"/>
            <w:vAlign w:val="center"/>
          </w:tcPr>
          <w:p w14:paraId="439FB7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1.5</w:t>
            </w:r>
          </w:p>
        </w:tc>
        <w:tc>
          <w:tcPr>
            <w:tcW w:w="1250" w:type="pct"/>
            <w:vMerge w:val="continue"/>
            <w:noWrap w:val="0"/>
            <w:vAlign w:val="center"/>
          </w:tcPr>
          <w:p w14:paraId="30D67BF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7ABE6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43861C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17</w:t>
            </w:r>
          </w:p>
        </w:tc>
        <w:tc>
          <w:tcPr>
            <w:tcW w:w="1576" w:type="pct"/>
            <w:noWrap w:val="0"/>
            <w:vAlign w:val="center"/>
          </w:tcPr>
          <w:p w14:paraId="00B1E16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六价铬</w:t>
            </w:r>
          </w:p>
        </w:tc>
        <w:tc>
          <w:tcPr>
            <w:tcW w:w="1758" w:type="pct"/>
            <w:noWrap w:val="0"/>
            <w:vAlign w:val="center"/>
          </w:tcPr>
          <w:p w14:paraId="5486211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0.5</w:t>
            </w:r>
          </w:p>
        </w:tc>
        <w:tc>
          <w:tcPr>
            <w:tcW w:w="1250" w:type="pct"/>
            <w:vMerge w:val="continue"/>
            <w:noWrap w:val="0"/>
            <w:vAlign w:val="center"/>
          </w:tcPr>
          <w:p w14:paraId="6B23194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9852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5663B21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18</w:t>
            </w:r>
          </w:p>
        </w:tc>
        <w:tc>
          <w:tcPr>
            <w:tcW w:w="1576" w:type="pct"/>
            <w:noWrap w:val="0"/>
            <w:vAlign w:val="center"/>
          </w:tcPr>
          <w:p w14:paraId="6A0812E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总砷</w:t>
            </w:r>
          </w:p>
        </w:tc>
        <w:tc>
          <w:tcPr>
            <w:tcW w:w="1758" w:type="pct"/>
            <w:noWrap w:val="0"/>
            <w:vAlign w:val="center"/>
          </w:tcPr>
          <w:p w14:paraId="4E9C9C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0.5</w:t>
            </w:r>
          </w:p>
        </w:tc>
        <w:tc>
          <w:tcPr>
            <w:tcW w:w="1250" w:type="pct"/>
            <w:vMerge w:val="continue"/>
            <w:noWrap w:val="0"/>
            <w:vAlign w:val="center"/>
          </w:tcPr>
          <w:p w14:paraId="4D42F55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76FC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15BCA6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19</w:t>
            </w:r>
          </w:p>
        </w:tc>
        <w:tc>
          <w:tcPr>
            <w:tcW w:w="1576" w:type="pct"/>
            <w:noWrap w:val="0"/>
            <w:vAlign w:val="center"/>
          </w:tcPr>
          <w:p w14:paraId="7BD5F05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总铅</w:t>
            </w:r>
          </w:p>
        </w:tc>
        <w:tc>
          <w:tcPr>
            <w:tcW w:w="1758" w:type="pct"/>
            <w:noWrap w:val="0"/>
            <w:vAlign w:val="center"/>
          </w:tcPr>
          <w:p w14:paraId="1E13A70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1.0</w:t>
            </w:r>
          </w:p>
        </w:tc>
        <w:tc>
          <w:tcPr>
            <w:tcW w:w="1250" w:type="pct"/>
            <w:vMerge w:val="continue"/>
            <w:noWrap w:val="0"/>
            <w:vAlign w:val="center"/>
          </w:tcPr>
          <w:p w14:paraId="3994EA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3BC9D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0FFDDD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20</w:t>
            </w:r>
          </w:p>
        </w:tc>
        <w:tc>
          <w:tcPr>
            <w:tcW w:w="1576" w:type="pct"/>
            <w:noWrap w:val="0"/>
            <w:vAlign w:val="center"/>
          </w:tcPr>
          <w:p w14:paraId="5F6BFCF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总镍</w:t>
            </w:r>
          </w:p>
        </w:tc>
        <w:tc>
          <w:tcPr>
            <w:tcW w:w="1758" w:type="pct"/>
            <w:noWrap w:val="0"/>
            <w:vAlign w:val="center"/>
          </w:tcPr>
          <w:p w14:paraId="2E76688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1.0</w:t>
            </w:r>
          </w:p>
        </w:tc>
        <w:tc>
          <w:tcPr>
            <w:tcW w:w="1250" w:type="pct"/>
            <w:vMerge w:val="continue"/>
            <w:noWrap w:val="0"/>
            <w:vAlign w:val="center"/>
          </w:tcPr>
          <w:p w14:paraId="313CDBC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02458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6D5572B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21</w:t>
            </w:r>
          </w:p>
        </w:tc>
        <w:tc>
          <w:tcPr>
            <w:tcW w:w="1576" w:type="pct"/>
            <w:noWrap w:val="0"/>
            <w:vAlign w:val="center"/>
          </w:tcPr>
          <w:p w14:paraId="33B7E9A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总铍</w:t>
            </w:r>
          </w:p>
        </w:tc>
        <w:tc>
          <w:tcPr>
            <w:tcW w:w="1758" w:type="pct"/>
            <w:noWrap w:val="0"/>
            <w:vAlign w:val="center"/>
          </w:tcPr>
          <w:p w14:paraId="711B2D5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0.005</w:t>
            </w:r>
          </w:p>
        </w:tc>
        <w:tc>
          <w:tcPr>
            <w:tcW w:w="1250" w:type="pct"/>
            <w:vMerge w:val="continue"/>
            <w:noWrap w:val="0"/>
            <w:vAlign w:val="center"/>
          </w:tcPr>
          <w:p w14:paraId="28E6EB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42997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6BB7B8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22</w:t>
            </w:r>
          </w:p>
        </w:tc>
        <w:tc>
          <w:tcPr>
            <w:tcW w:w="1576" w:type="pct"/>
            <w:noWrap w:val="0"/>
            <w:vAlign w:val="center"/>
          </w:tcPr>
          <w:p w14:paraId="70BB21F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总银</w:t>
            </w:r>
          </w:p>
        </w:tc>
        <w:tc>
          <w:tcPr>
            <w:tcW w:w="1758" w:type="pct"/>
            <w:noWrap w:val="0"/>
            <w:vAlign w:val="center"/>
          </w:tcPr>
          <w:p w14:paraId="0853EF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0.5</w:t>
            </w:r>
          </w:p>
        </w:tc>
        <w:tc>
          <w:tcPr>
            <w:tcW w:w="1250" w:type="pct"/>
            <w:vMerge w:val="continue"/>
            <w:noWrap w:val="0"/>
            <w:vAlign w:val="center"/>
          </w:tcPr>
          <w:p w14:paraId="4ADCDE8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512D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79A3602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1576" w:type="pct"/>
            <w:noWrap w:val="0"/>
            <w:vAlign w:val="center"/>
          </w:tcPr>
          <w:p w14:paraId="1EA29A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溶解性总固体</w:t>
            </w:r>
          </w:p>
        </w:tc>
        <w:tc>
          <w:tcPr>
            <w:tcW w:w="1758" w:type="pct"/>
            <w:noWrap w:val="0"/>
            <w:vAlign w:val="center"/>
          </w:tcPr>
          <w:p w14:paraId="7C684C6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14:textFill>
                  <w14:solidFill>
                    <w14:schemeClr w14:val="tx1"/>
                  </w14:solidFill>
                </w14:textFill>
              </w:rPr>
              <w:t>1000</w:t>
            </w:r>
          </w:p>
        </w:tc>
        <w:tc>
          <w:tcPr>
            <w:tcW w:w="1250" w:type="pct"/>
            <w:vMerge w:val="restart"/>
            <w:noWrap w:val="0"/>
            <w:vAlign w:val="center"/>
          </w:tcPr>
          <w:p w14:paraId="60EE481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《城市污水再生利用 城市杂用水水质》（GB/T18920-20</w:t>
            </w:r>
            <w:r>
              <w:rPr>
                <w:rFonts w:hint="eastAsia" w:ascii="Times New Roman" w:hAnsi="Times New Roman" w:cs="Times New Roman"/>
                <w:bCs/>
                <w:color w:val="000000" w:themeColor="text1"/>
                <w:szCs w:val="21"/>
                <w14:textFill>
                  <w14:solidFill>
                    <w14:schemeClr w14:val="tx1"/>
                  </w14:solidFill>
                </w14:textFill>
              </w:rPr>
              <w:t>20</w:t>
            </w:r>
            <w:r>
              <w:rPr>
                <w:rFonts w:hint="default" w:ascii="Times New Roman" w:hAnsi="Times New Roman" w:cs="Times New Roman"/>
                <w:bCs/>
                <w:color w:val="000000" w:themeColor="text1"/>
                <w:szCs w:val="21"/>
                <w14:textFill>
                  <w14:solidFill>
                    <w14:schemeClr w14:val="tx1"/>
                  </w14:solidFill>
                </w14:textFill>
              </w:rPr>
              <w:t>）中</w:t>
            </w:r>
            <w:r>
              <w:rPr>
                <w:rFonts w:hint="eastAsia" w:ascii="Times New Roman" w:hAnsi="Times New Roman" w:cs="Times New Roman"/>
                <w:bCs/>
                <w:color w:val="000000" w:themeColor="text1"/>
                <w:szCs w:val="21"/>
                <w14:textFill>
                  <w14:solidFill>
                    <w14:schemeClr w14:val="tx1"/>
                  </w14:solidFill>
                </w14:textFill>
              </w:rPr>
              <w:t>的城市绿化、道路清扫、消防、建筑施工限值</w:t>
            </w:r>
          </w:p>
        </w:tc>
      </w:tr>
      <w:tr w14:paraId="1628C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33124B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w:t>
            </w:r>
          </w:p>
        </w:tc>
        <w:tc>
          <w:tcPr>
            <w:tcW w:w="1576" w:type="pct"/>
            <w:noWrap w:val="0"/>
            <w:vAlign w:val="center"/>
          </w:tcPr>
          <w:p w14:paraId="36D31B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五日生化需氧量</w:t>
            </w:r>
          </w:p>
        </w:tc>
        <w:tc>
          <w:tcPr>
            <w:tcW w:w="1758" w:type="pct"/>
            <w:noWrap w:val="0"/>
            <w:vAlign w:val="center"/>
          </w:tcPr>
          <w:p w14:paraId="0E0665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r>
              <w:rPr>
                <w:rFonts w:hint="eastAsia" w:ascii="Times New Roman" w:hAnsi="Times New Roman" w:cs="Times New Roman"/>
                <w:bCs/>
                <w:color w:val="000000" w:themeColor="text1"/>
                <w:szCs w:val="21"/>
                <w14:textFill>
                  <w14:solidFill>
                    <w14:schemeClr w14:val="tx1"/>
                  </w14:solidFill>
                </w14:textFill>
              </w:rPr>
              <w:t>0</w:t>
            </w:r>
          </w:p>
        </w:tc>
        <w:tc>
          <w:tcPr>
            <w:tcW w:w="1250" w:type="pct"/>
            <w:vMerge w:val="continue"/>
            <w:noWrap w:val="0"/>
            <w:vAlign w:val="center"/>
          </w:tcPr>
          <w:p w14:paraId="70B7142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E48C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0355E2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w:t>
            </w:r>
          </w:p>
        </w:tc>
        <w:tc>
          <w:tcPr>
            <w:tcW w:w="1576" w:type="pct"/>
            <w:noWrap w:val="0"/>
            <w:vAlign w:val="center"/>
          </w:tcPr>
          <w:p w14:paraId="3773B4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氨氮</w:t>
            </w:r>
          </w:p>
        </w:tc>
        <w:tc>
          <w:tcPr>
            <w:tcW w:w="1758" w:type="pct"/>
            <w:noWrap w:val="0"/>
            <w:vAlign w:val="center"/>
          </w:tcPr>
          <w:p w14:paraId="75D6A47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≤8</w:t>
            </w:r>
          </w:p>
        </w:tc>
        <w:tc>
          <w:tcPr>
            <w:tcW w:w="1250" w:type="pct"/>
            <w:vMerge w:val="continue"/>
            <w:noWrap w:val="0"/>
            <w:vAlign w:val="center"/>
          </w:tcPr>
          <w:p w14:paraId="7AAA4A2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20020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377F22D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w:t>
            </w:r>
          </w:p>
        </w:tc>
        <w:tc>
          <w:tcPr>
            <w:tcW w:w="1576" w:type="pct"/>
            <w:noWrap w:val="0"/>
            <w:vAlign w:val="center"/>
          </w:tcPr>
          <w:p w14:paraId="3C8F4B3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阴离子表面活性剂</w:t>
            </w:r>
          </w:p>
        </w:tc>
        <w:tc>
          <w:tcPr>
            <w:tcW w:w="1758" w:type="pct"/>
            <w:noWrap w:val="0"/>
            <w:vAlign w:val="center"/>
          </w:tcPr>
          <w:p w14:paraId="67F2F29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14:textFill>
                  <w14:solidFill>
                    <w14:schemeClr w14:val="tx1"/>
                  </w14:solidFill>
                </w14:textFill>
              </w:rPr>
              <w:t>0.5</w:t>
            </w:r>
          </w:p>
        </w:tc>
        <w:tc>
          <w:tcPr>
            <w:tcW w:w="1250" w:type="pct"/>
            <w:vMerge w:val="continue"/>
            <w:noWrap w:val="0"/>
            <w:vAlign w:val="center"/>
          </w:tcPr>
          <w:p w14:paraId="4EC0B23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DC04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4997F3D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w:t>
            </w:r>
          </w:p>
        </w:tc>
        <w:tc>
          <w:tcPr>
            <w:tcW w:w="1576" w:type="pct"/>
            <w:noWrap w:val="0"/>
            <w:vAlign w:val="center"/>
          </w:tcPr>
          <w:p w14:paraId="5DF715A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溶解氧</w:t>
            </w:r>
          </w:p>
        </w:tc>
        <w:tc>
          <w:tcPr>
            <w:tcW w:w="1758" w:type="pct"/>
            <w:noWrap w:val="0"/>
            <w:vAlign w:val="center"/>
          </w:tcPr>
          <w:p w14:paraId="7A9153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14:textFill>
                  <w14:solidFill>
                    <w14:schemeClr w14:val="tx1"/>
                  </w14:solidFill>
                </w14:textFill>
              </w:rPr>
              <w:t>2.0</w:t>
            </w:r>
          </w:p>
        </w:tc>
        <w:tc>
          <w:tcPr>
            <w:tcW w:w="1250" w:type="pct"/>
            <w:vMerge w:val="continue"/>
            <w:noWrap w:val="0"/>
            <w:vAlign w:val="center"/>
          </w:tcPr>
          <w:p w14:paraId="7A498B2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12E96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5D02272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w:t>
            </w:r>
          </w:p>
        </w:tc>
        <w:tc>
          <w:tcPr>
            <w:tcW w:w="1576" w:type="pct"/>
            <w:noWrap w:val="0"/>
            <w:vAlign w:val="center"/>
          </w:tcPr>
          <w:p w14:paraId="6F8F2A9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总氯</w:t>
            </w:r>
          </w:p>
        </w:tc>
        <w:tc>
          <w:tcPr>
            <w:tcW w:w="1758" w:type="pct"/>
            <w:noWrap w:val="0"/>
            <w:vAlign w:val="center"/>
          </w:tcPr>
          <w:p w14:paraId="0243B1A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出厂</w:t>
            </w:r>
            <w:r>
              <w:rPr>
                <w:rFonts w:hint="default" w:ascii="Times New Roman" w:hAnsi="Times New Roman" w:cs="Times New Roman"/>
                <w:bCs/>
                <w:color w:val="000000" w:themeColor="text1"/>
                <w:szCs w:val="21"/>
                <w14:textFill>
                  <w14:solidFill>
                    <w14:schemeClr w14:val="tx1"/>
                  </w14:solidFill>
                </w14:textFill>
              </w:rPr>
              <w:t>≥1.0，管网末端≥0.2</w:t>
            </w:r>
          </w:p>
        </w:tc>
        <w:tc>
          <w:tcPr>
            <w:tcW w:w="1250" w:type="pct"/>
            <w:vMerge w:val="continue"/>
            <w:noWrap w:val="0"/>
            <w:vAlign w:val="center"/>
          </w:tcPr>
          <w:p w14:paraId="02889D5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06805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3" w:type="pct"/>
            <w:noWrap w:val="0"/>
            <w:vAlign w:val="center"/>
          </w:tcPr>
          <w:p w14:paraId="5176E2F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w:t>
            </w:r>
          </w:p>
        </w:tc>
        <w:tc>
          <w:tcPr>
            <w:tcW w:w="1576" w:type="pct"/>
            <w:noWrap w:val="0"/>
            <w:vAlign w:val="center"/>
          </w:tcPr>
          <w:p w14:paraId="51F958B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大肠埃希氏菌MPN</w:t>
            </w:r>
            <w:r>
              <w:rPr>
                <w:rFonts w:hint="default" w:ascii="Times New Roman" w:hAnsi="Times New Roman" w:cs="Times New Roman"/>
                <w:bCs/>
                <w:color w:val="000000" w:themeColor="text1"/>
                <w:szCs w:val="21"/>
                <w14:textFill>
                  <w14:solidFill>
                    <w14:schemeClr w14:val="tx1"/>
                  </w14:solidFill>
                </w14:textFill>
              </w:rPr>
              <w:t>/100mL</w:t>
            </w:r>
          </w:p>
        </w:tc>
        <w:tc>
          <w:tcPr>
            <w:tcW w:w="1758" w:type="pct"/>
            <w:noWrap w:val="0"/>
            <w:vAlign w:val="center"/>
          </w:tcPr>
          <w:p w14:paraId="73CC574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无</w:t>
            </w:r>
          </w:p>
        </w:tc>
        <w:tc>
          <w:tcPr>
            <w:tcW w:w="1250" w:type="pct"/>
            <w:vMerge w:val="continue"/>
            <w:noWrap w:val="0"/>
            <w:vAlign w:val="center"/>
          </w:tcPr>
          <w:p w14:paraId="389C17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r>
    </w:tbl>
    <w:p w14:paraId="248DE75F">
      <w:pPr>
        <w:spacing w:line="480" w:lineRule="exact"/>
        <w:ind w:left="315" w:hanging="315"/>
        <w:jc w:val="center"/>
        <w:rPr>
          <w:rFonts w:ascii="Times New Roman" w:hAnsi="Times New Roman" w:eastAsiaTheme="minorEastAsia"/>
          <w:b/>
          <w:color w:val="000000" w:themeColor="text1"/>
          <w:sz w:val="24"/>
          <w:szCs w:val="21"/>
          <w14:textFill>
            <w14:solidFill>
              <w14:schemeClr w14:val="tx1"/>
            </w14:solidFill>
          </w14:textFill>
        </w:rPr>
      </w:pPr>
      <w:r>
        <w:rPr>
          <w:rFonts w:ascii="Times New Roman" w:hAnsi="Times New Roman" w:eastAsiaTheme="minorEastAsia"/>
          <w:b/>
          <w:color w:val="000000" w:themeColor="text1"/>
          <w:sz w:val="24"/>
          <w:szCs w:val="21"/>
          <w14:textFill>
            <w14:solidFill>
              <w14:schemeClr w14:val="tx1"/>
            </w14:solidFill>
          </w14:textFill>
        </w:rPr>
        <w:t>表2.</w:t>
      </w:r>
      <w:r>
        <w:rPr>
          <w:rFonts w:hint="eastAsia" w:ascii="Times New Roman" w:hAnsi="Times New Roman" w:eastAsiaTheme="minorEastAsia"/>
          <w:b/>
          <w:color w:val="000000" w:themeColor="text1"/>
          <w:sz w:val="24"/>
          <w:szCs w:val="21"/>
          <w:lang w:val="en-US" w:eastAsia="zh-CN"/>
          <w14:textFill>
            <w14:solidFill>
              <w14:schemeClr w14:val="tx1"/>
            </w14:solidFill>
          </w14:textFill>
        </w:rPr>
        <w:t>4</w:t>
      </w:r>
      <w:r>
        <w:rPr>
          <w:rFonts w:ascii="Times New Roman" w:hAnsi="Times New Roman" w:eastAsiaTheme="minorEastAsia"/>
          <w:b/>
          <w:color w:val="000000" w:themeColor="text1"/>
          <w:sz w:val="24"/>
          <w:szCs w:val="21"/>
          <w14:textFill>
            <w14:solidFill>
              <w14:schemeClr w14:val="tx1"/>
            </w14:solidFill>
          </w14:textFill>
        </w:rPr>
        <w:t>-</w:t>
      </w:r>
      <w:r>
        <w:rPr>
          <w:rFonts w:hint="eastAsia" w:ascii="Times New Roman" w:hAnsi="Times New Roman" w:eastAsiaTheme="minorEastAsia"/>
          <w:b/>
          <w:color w:val="000000" w:themeColor="text1"/>
          <w:sz w:val="24"/>
          <w:szCs w:val="21"/>
          <w:lang w:val="en-US" w:eastAsia="zh-CN"/>
          <w14:textFill>
            <w14:solidFill>
              <w14:schemeClr w14:val="tx1"/>
            </w14:solidFill>
          </w14:textFill>
        </w:rPr>
        <w:t>8</w:t>
      </w:r>
      <w:r>
        <w:rPr>
          <w:rFonts w:ascii="Times New Roman" w:hAnsi="Times New Roman" w:eastAsiaTheme="minorEastAsia"/>
          <w:b/>
          <w:color w:val="000000" w:themeColor="text1"/>
          <w:sz w:val="24"/>
          <w:szCs w:val="21"/>
          <w14:textFill>
            <w14:solidFill>
              <w14:schemeClr w14:val="tx1"/>
            </w14:solidFill>
          </w14:textFill>
        </w:rPr>
        <w:t xml:space="preserve">    农村生活污水处理排放标准</w:t>
      </w:r>
    </w:p>
    <w:tbl>
      <w:tblPr>
        <w:tblStyle w:val="79"/>
        <w:tblW w:w="84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34"/>
        <w:gridCol w:w="3890"/>
        <w:gridCol w:w="1127"/>
        <w:gridCol w:w="1557"/>
        <w:gridCol w:w="1245"/>
      </w:tblGrid>
      <w:tr w14:paraId="7C06E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blHeader/>
          <w:jc w:val="center"/>
        </w:trPr>
        <w:tc>
          <w:tcPr>
            <w:tcW w:w="634" w:type="dxa"/>
            <w:tcBorders>
              <w:tl2br w:val="nil"/>
              <w:tr2bl w:val="nil"/>
            </w:tcBorders>
            <w:shd w:val="clear" w:color="auto" w:fill="auto"/>
            <w:vAlign w:val="center"/>
          </w:tcPr>
          <w:p w14:paraId="2217E1BD">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b/>
                <w:color w:val="000000" w:themeColor="text1"/>
                <w:szCs w:val="21"/>
                <w14:textFill>
                  <w14:solidFill>
                    <w14:schemeClr w14:val="tx1"/>
                  </w14:solidFill>
                </w14:textFill>
              </w:rPr>
            </w:pPr>
            <w:r>
              <w:rPr>
                <w:rFonts w:hint="default" w:ascii="Times New Roman" w:hAnsi="Times New Roman" w:eastAsiaTheme="minorEastAsia"/>
                <w:b/>
                <w:color w:val="000000" w:themeColor="text1"/>
                <w:szCs w:val="21"/>
                <w14:textFill>
                  <w14:solidFill>
                    <w14:schemeClr w14:val="tx1"/>
                  </w14:solidFill>
                </w14:textFill>
              </w:rPr>
              <w:t>序号</w:t>
            </w:r>
          </w:p>
        </w:tc>
        <w:tc>
          <w:tcPr>
            <w:tcW w:w="3890" w:type="dxa"/>
            <w:tcBorders>
              <w:tl2br w:val="nil"/>
              <w:tr2bl w:val="nil"/>
            </w:tcBorders>
            <w:shd w:val="clear" w:color="auto" w:fill="auto"/>
            <w:vAlign w:val="center"/>
          </w:tcPr>
          <w:p w14:paraId="057B7F86">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b/>
                <w:color w:val="000000" w:themeColor="text1"/>
                <w:szCs w:val="21"/>
                <w14:textFill>
                  <w14:solidFill>
                    <w14:schemeClr w14:val="tx1"/>
                  </w14:solidFill>
                </w14:textFill>
              </w:rPr>
            </w:pPr>
            <w:r>
              <w:rPr>
                <w:rFonts w:hint="default" w:ascii="Times New Roman" w:hAnsi="Times New Roman" w:eastAsiaTheme="minorEastAsia"/>
                <w:b/>
                <w:color w:val="000000" w:themeColor="text1"/>
                <w:kern w:val="0"/>
                <w:szCs w:val="21"/>
                <w14:textFill>
                  <w14:solidFill>
                    <w14:schemeClr w14:val="tx1"/>
                  </w14:solidFill>
                </w14:textFill>
              </w:rPr>
              <w:t>项目</w:t>
            </w:r>
          </w:p>
        </w:tc>
        <w:tc>
          <w:tcPr>
            <w:tcW w:w="1127" w:type="dxa"/>
            <w:tcBorders>
              <w:tl2br w:val="nil"/>
              <w:tr2bl w:val="nil"/>
            </w:tcBorders>
            <w:shd w:val="clear" w:color="auto" w:fill="auto"/>
            <w:vAlign w:val="center"/>
          </w:tcPr>
          <w:p w14:paraId="657BD9AC">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b/>
                <w:color w:val="000000" w:themeColor="text1"/>
                <w:kern w:val="0"/>
                <w:szCs w:val="21"/>
                <w14:textFill>
                  <w14:solidFill>
                    <w14:schemeClr w14:val="tx1"/>
                  </w14:solidFill>
                </w14:textFill>
              </w:rPr>
            </w:pPr>
            <w:r>
              <w:rPr>
                <w:rFonts w:hint="eastAsia" w:ascii="Times New Roman" w:hAnsi="Times New Roman" w:eastAsiaTheme="minorEastAsia"/>
                <w:b/>
                <w:color w:val="000000" w:themeColor="text1"/>
                <w:kern w:val="0"/>
                <w:szCs w:val="21"/>
                <w14:textFill>
                  <w14:solidFill>
                    <w14:schemeClr w14:val="tx1"/>
                  </w14:solidFill>
                </w14:textFill>
              </w:rPr>
              <w:t>A级</w:t>
            </w:r>
          </w:p>
        </w:tc>
        <w:tc>
          <w:tcPr>
            <w:tcW w:w="1557" w:type="dxa"/>
            <w:tcBorders>
              <w:tl2br w:val="nil"/>
              <w:tr2bl w:val="nil"/>
            </w:tcBorders>
            <w:shd w:val="clear" w:color="auto" w:fill="auto"/>
            <w:vAlign w:val="center"/>
          </w:tcPr>
          <w:p w14:paraId="4EDC78EF">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b/>
                <w:color w:val="000000" w:themeColor="text1"/>
                <w:kern w:val="0"/>
                <w:szCs w:val="21"/>
                <w14:textFill>
                  <w14:solidFill>
                    <w14:schemeClr w14:val="tx1"/>
                  </w14:solidFill>
                </w14:textFill>
              </w:rPr>
            </w:pPr>
            <w:r>
              <w:rPr>
                <w:rFonts w:hint="eastAsia" w:ascii="Times New Roman" w:hAnsi="Times New Roman" w:eastAsiaTheme="minorEastAsia"/>
                <w:b/>
                <w:color w:val="000000" w:themeColor="text1"/>
                <w:kern w:val="0"/>
                <w:szCs w:val="21"/>
                <w14:textFill>
                  <w14:solidFill>
                    <w14:schemeClr w14:val="tx1"/>
                  </w14:solidFill>
                </w14:textFill>
              </w:rPr>
              <w:t>B级</w:t>
            </w:r>
          </w:p>
        </w:tc>
        <w:tc>
          <w:tcPr>
            <w:tcW w:w="1245" w:type="dxa"/>
            <w:tcBorders>
              <w:tl2br w:val="nil"/>
              <w:tr2bl w:val="nil"/>
            </w:tcBorders>
            <w:shd w:val="clear" w:color="auto" w:fill="auto"/>
            <w:vAlign w:val="center"/>
          </w:tcPr>
          <w:p w14:paraId="63E2F08D">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b/>
                <w:color w:val="000000" w:themeColor="text1"/>
                <w:kern w:val="0"/>
                <w:szCs w:val="21"/>
                <w14:textFill>
                  <w14:solidFill>
                    <w14:schemeClr w14:val="tx1"/>
                  </w14:solidFill>
                </w14:textFill>
              </w:rPr>
            </w:pPr>
            <w:r>
              <w:rPr>
                <w:rFonts w:hint="eastAsia" w:ascii="Times New Roman" w:hAnsi="Times New Roman" w:eastAsiaTheme="minorEastAsia"/>
                <w:b/>
                <w:color w:val="000000" w:themeColor="text1"/>
                <w:kern w:val="0"/>
                <w:szCs w:val="21"/>
                <w14:textFill>
                  <w14:solidFill>
                    <w14:schemeClr w14:val="tx1"/>
                  </w14:solidFill>
                </w14:textFill>
              </w:rPr>
              <w:t>C级</w:t>
            </w:r>
          </w:p>
        </w:tc>
      </w:tr>
      <w:tr w14:paraId="465F9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634" w:type="dxa"/>
            <w:tcBorders>
              <w:tl2br w:val="nil"/>
              <w:tr2bl w:val="nil"/>
            </w:tcBorders>
            <w:shd w:val="clear" w:color="auto" w:fill="auto"/>
            <w:vAlign w:val="center"/>
          </w:tcPr>
          <w:p w14:paraId="521FAAA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1</w:t>
            </w:r>
          </w:p>
        </w:tc>
        <w:tc>
          <w:tcPr>
            <w:tcW w:w="3890" w:type="dxa"/>
            <w:tcBorders>
              <w:tl2br w:val="nil"/>
              <w:tr2bl w:val="nil"/>
            </w:tcBorders>
            <w:shd w:val="clear" w:color="auto" w:fill="auto"/>
            <w:vAlign w:val="center"/>
          </w:tcPr>
          <w:p w14:paraId="567A940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kern w:val="0"/>
                <w:szCs w:val="21"/>
                <w14:textFill>
                  <w14:solidFill>
                    <w14:schemeClr w14:val="tx1"/>
                  </w14:solidFill>
                </w14:textFill>
              </w:rPr>
              <w:t>pH</w:t>
            </w:r>
          </w:p>
        </w:tc>
        <w:tc>
          <w:tcPr>
            <w:tcW w:w="3929" w:type="dxa"/>
            <w:gridSpan w:val="3"/>
            <w:tcBorders>
              <w:tl2br w:val="nil"/>
              <w:tr2bl w:val="nil"/>
            </w:tcBorders>
            <w:shd w:val="clear" w:color="auto" w:fill="auto"/>
            <w:vAlign w:val="center"/>
          </w:tcPr>
          <w:p w14:paraId="4B64A9E1">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kern w:val="0"/>
                <w:szCs w:val="21"/>
                <w14:textFill>
                  <w14:solidFill>
                    <w14:schemeClr w14:val="tx1"/>
                  </w14:solidFill>
                </w14:textFill>
              </w:rPr>
              <w:t>6～9</w:t>
            </w:r>
          </w:p>
        </w:tc>
      </w:tr>
      <w:tr w14:paraId="6AC50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634" w:type="dxa"/>
            <w:tcBorders>
              <w:tl2br w:val="nil"/>
              <w:tr2bl w:val="nil"/>
            </w:tcBorders>
            <w:shd w:val="clear" w:color="auto" w:fill="auto"/>
            <w:vAlign w:val="center"/>
          </w:tcPr>
          <w:p w14:paraId="0580FBE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w:t>
            </w:r>
          </w:p>
        </w:tc>
        <w:tc>
          <w:tcPr>
            <w:tcW w:w="3890" w:type="dxa"/>
            <w:tcBorders>
              <w:tl2br w:val="nil"/>
              <w:tr2bl w:val="nil"/>
            </w:tcBorders>
            <w:shd w:val="clear" w:color="auto" w:fill="auto"/>
            <w:vAlign w:val="center"/>
          </w:tcPr>
          <w:p w14:paraId="02B88F5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化学需氧量</w:t>
            </w:r>
            <w:r>
              <w:rPr>
                <w:rFonts w:hint="eastAsia" w:eastAsiaTheme="minorEastAsia"/>
                <w:color w:val="000000" w:themeColor="text1"/>
                <w:kern w:val="0"/>
                <w:szCs w:val="21"/>
                <w:lang w:eastAsia="zh-CN"/>
                <w14:textFill>
                  <w14:solidFill>
                    <w14:schemeClr w14:val="tx1"/>
                  </w14:solidFill>
                </w14:textFill>
              </w:rPr>
              <w:t>（</w:t>
            </w:r>
            <w:r>
              <w:rPr>
                <w:rFonts w:hint="eastAsia" w:ascii="Times New Roman" w:hAnsi="Times New Roman" w:eastAsiaTheme="minorEastAsia"/>
                <w:color w:val="000000" w:themeColor="text1"/>
                <w:kern w:val="0"/>
                <w:szCs w:val="21"/>
                <w14:textFill>
                  <w14:solidFill>
                    <w14:schemeClr w14:val="tx1"/>
                  </w14:solidFill>
                </w14:textFill>
              </w:rPr>
              <w:t>COD</w:t>
            </w:r>
            <w:r>
              <w:rPr>
                <w:rFonts w:hint="eastAsia" w:eastAsiaTheme="minorEastAsia"/>
                <w:color w:val="000000" w:themeColor="text1"/>
                <w:kern w:val="0"/>
                <w:szCs w:val="21"/>
                <w:lang w:eastAsia="zh-CN"/>
                <w14:textFill>
                  <w14:solidFill>
                    <w14:schemeClr w14:val="tx1"/>
                  </w14:solidFill>
                </w14:textFill>
              </w:rPr>
              <w:t>）</w:t>
            </w:r>
            <w:r>
              <w:rPr>
                <w:rFonts w:hint="default" w:ascii="Times New Roman" w:hAnsi="Times New Roman" w:eastAsiaTheme="minorEastAsia"/>
                <w:color w:val="000000" w:themeColor="text1"/>
                <w:kern w:val="0"/>
                <w:szCs w:val="21"/>
                <w14:textFill>
                  <w14:solidFill>
                    <w14:schemeClr w14:val="tx1"/>
                  </w14:solidFill>
                </w14:textFill>
              </w:rPr>
              <w:t>，mg/L</w:t>
            </w:r>
          </w:p>
        </w:tc>
        <w:tc>
          <w:tcPr>
            <w:tcW w:w="1127" w:type="dxa"/>
            <w:tcBorders>
              <w:tl2br w:val="nil"/>
              <w:tr2bl w:val="nil"/>
            </w:tcBorders>
            <w:shd w:val="clear" w:color="auto" w:fill="auto"/>
            <w:vAlign w:val="center"/>
          </w:tcPr>
          <w:p w14:paraId="7DBBF24D">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60</w:t>
            </w:r>
          </w:p>
        </w:tc>
        <w:tc>
          <w:tcPr>
            <w:tcW w:w="1557" w:type="dxa"/>
            <w:tcBorders>
              <w:tl2br w:val="nil"/>
              <w:tr2bl w:val="nil"/>
            </w:tcBorders>
            <w:shd w:val="clear" w:color="auto" w:fill="auto"/>
            <w:vAlign w:val="center"/>
          </w:tcPr>
          <w:p w14:paraId="7DB042DC">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180</w:t>
            </w:r>
          </w:p>
        </w:tc>
        <w:tc>
          <w:tcPr>
            <w:tcW w:w="1245" w:type="dxa"/>
            <w:tcBorders>
              <w:tl2br w:val="nil"/>
              <w:tr2bl w:val="nil"/>
            </w:tcBorders>
            <w:shd w:val="clear" w:color="auto" w:fill="auto"/>
            <w:vAlign w:val="center"/>
          </w:tcPr>
          <w:p w14:paraId="0AE0A40B">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200</w:t>
            </w:r>
          </w:p>
        </w:tc>
      </w:tr>
      <w:tr w14:paraId="7AB47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634" w:type="dxa"/>
            <w:tcBorders>
              <w:tl2br w:val="nil"/>
              <w:tr2bl w:val="nil"/>
            </w:tcBorders>
            <w:shd w:val="clear" w:color="auto" w:fill="auto"/>
            <w:vAlign w:val="center"/>
          </w:tcPr>
          <w:p w14:paraId="282A604B">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w:t>
            </w:r>
          </w:p>
        </w:tc>
        <w:tc>
          <w:tcPr>
            <w:tcW w:w="3890" w:type="dxa"/>
            <w:tcBorders>
              <w:tl2br w:val="nil"/>
              <w:tr2bl w:val="nil"/>
            </w:tcBorders>
            <w:shd w:val="clear" w:color="auto" w:fill="auto"/>
            <w:vAlign w:val="center"/>
          </w:tcPr>
          <w:p w14:paraId="1C876A49">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悬浮物</w:t>
            </w:r>
            <w:r>
              <w:rPr>
                <w:rFonts w:hint="eastAsia" w:eastAsiaTheme="minorEastAsia"/>
                <w:color w:val="000000" w:themeColor="text1"/>
                <w:kern w:val="0"/>
                <w:szCs w:val="21"/>
                <w:lang w:eastAsia="zh-CN"/>
                <w14:textFill>
                  <w14:solidFill>
                    <w14:schemeClr w14:val="tx1"/>
                  </w14:solidFill>
                </w14:textFill>
              </w:rPr>
              <w:t>（</w:t>
            </w:r>
            <w:r>
              <w:rPr>
                <w:rFonts w:hint="eastAsia" w:ascii="Times New Roman" w:hAnsi="Times New Roman" w:eastAsiaTheme="minorEastAsia"/>
                <w:color w:val="000000" w:themeColor="text1"/>
                <w:kern w:val="0"/>
                <w:szCs w:val="21"/>
                <w14:textFill>
                  <w14:solidFill>
                    <w14:schemeClr w14:val="tx1"/>
                  </w14:solidFill>
                </w14:textFill>
              </w:rPr>
              <w:t>SS</w:t>
            </w:r>
            <w:r>
              <w:rPr>
                <w:rFonts w:hint="eastAsia" w:eastAsiaTheme="minorEastAsia"/>
                <w:color w:val="000000" w:themeColor="text1"/>
                <w:kern w:val="0"/>
                <w:szCs w:val="21"/>
                <w:lang w:eastAsia="zh-CN"/>
                <w14:textFill>
                  <w14:solidFill>
                    <w14:schemeClr w14:val="tx1"/>
                  </w14:solidFill>
                </w14:textFill>
              </w:rPr>
              <w:t>）</w:t>
            </w:r>
            <w:r>
              <w:rPr>
                <w:rFonts w:hint="default" w:ascii="Times New Roman" w:hAnsi="Times New Roman" w:eastAsiaTheme="minorEastAsia"/>
                <w:color w:val="000000" w:themeColor="text1"/>
                <w:kern w:val="0"/>
                <w:szCs w:val="21"/>
                <w14:textFill>
                  <w14:solidFill>
                    <w14:schemeClr w14:val="tx1"/>
                  </w14:solidFill>
                </w14:textFill>
              </w:rPr>
              <w:t>，mg/L</w:t>
            </w:r>
          </w:p>
        </w:tc>
        <w:tc>
          <w:tcPr>
            <w:tcW w:w="1127" w:type="dxa"/>
            <w:tcBorders>
              <w:tl2br w:val="nil"/>
              <w:tr2bl w:val="nil"/>
            </w:tcBorders>
            <w:shd w:val="clear" w:color="auto" w:fill="auto"/>
            <w:vAlign w:val="center"/>
          </w:tcPr>
          <w:p w14:paraId="47DA451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30</w:t>
            </w:r>
          </w:p>
        </w:tc>
        <w:tc>
          <w:tcPr>
            <w:tcW w:w="1557" w:type="dxa"/>
            <w:tcBorders>
              <w:tl2br w:val="nil"/>
              <w:tr2bl w:val="nil"/>
            </w:tcBorders>
            <w:shd w:val="clear" w:color="auto" w:fill="auto"/>
            <w:vAlign w:val="center"/>
          </w:tcPr>
          <w:p w14:paraId="2AE54165">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90</w:t>
            </w:r>
          </w:p>
        </w:tc>
        <w:tc>
          <w:tcPr>
            <w:tcW w:w="1245" w:type="dxa"/>
            <w:tcBorders>
              <w:tl2br w:val="nil"/>
              <w:tr2bl w:val="nil"/>
            </w:tcBorders>
            <w:shd w:val="clear" w:color="auto" w:fill="auto"/>
            <w:vAlign w:val="center"/>
          </w:tcPr>
          <w:p w14:paraId="43264AB9">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100</w:t>
            </w:r>
          </w:p>
        </w:tc>
      </w:tr>
      <w:tr w14:paraId="14751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634" w:type="dxa"/>
            <w:tcBorders>
              <w:tl2br w:val="nil"/>
              <w:tr2bl w:val="nil"/>
            </w:tcBorders>
            <w:shd w:val="clear" w:color="auto" w:fill="auto"/>
            <w:vAlign w:val="center"/>
          </w:tcPr>
          <w:p w14:paraId="584A9D8B">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4</w:t>
            </w:r>
          </w:p>
        </w:tc>
        <w:tc>
          <w:tcPr>
            <w:tcW w:w="3890" w:type="dxa"/>
            <w:tcBorders>
              <w:tl2br w:val="nil"/>
              <w:tr2bl w:val="nil"/>
            </w:tcBorders>
            <w:shd w:val="clear" w:color="auto" w:fill="auto"/>
            <w:vAlign w:val="center"/>
          </w:tcPr>
          <w:p w14:paraId="1779F9AC">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粪大肠菌群</w:t>
            </w:r>
            <w:r>
              <w:rPr>
                <w:rFonts w:hint="default" w:ascii="Times New Roman" w:hAnsi="Times New Roman" w:eastAsiaTheme="minorEastAsia"/>
                <w:color w:val="000000" w:themeColor="text1"/>
                <w:kern w:val="0"/>
                <w:szCs w:val="21"/>
                <w14:textFill>
                  <w14:solidFill>
                    <w14:schemeClr w14:val="tx1"/>
                  </w14:solidFill>
                </w14:textFill>
              </w:rPr>
              <w:t>，</w:t>
            </w:r>
            <w:r>
              <w:rPr>
                <w:rFonts w:hint="eastAsia" w:ascii="Times New Roman" w:hAnsi="Times New Roman" w:eastAsiaTheme="minorEastAsia"/>
                <w:color w:val="000000" w:themeColor="text1"/>
                <w:kern w:val="0"/>
                <w:szCs w:val="21"/>
                <w14:textFill>
                  <w14:solidFill>
                    <w14:schemeClr w14:val="tx1"/>
                  </w14:solidFill>
                </w14:textFill>
              </w:rPr>
              <w:t>MPN</w:t>
            </w:r>
            <w:r>
              <w:rPr>
                <w:rFonts w:hint="default" w:ascii="Times New Roman" w:hAnsi="Times New Roman" w:eastAsiaTheme="minorEastAsia"/>
                <w:color w:val="000000" w:themeColor="text1"/>
                <w:kern w:val="0"/>
                <w:szCs w:val="21"/>
                <w14:textFill>
                  <w14:solidFill>
                    <w14:schemeClr w14:val="tx1"/>
                  </w14:solidFill>
                </w14:textFill>
              </w:rPr>
              <w:t>/L</w:t>
            </w:r>
          </w:p>
        </w:tc>
        <w:tc>
          <w:tcPr>
            <w:tcW w:w="1127" w:type="dxa"/>
            <w:tcBorders>
              <w:tl2br w:val="nil"/>
              <w:tr2bl w:val="nil"/>
            </w:tcBorders>
            <w:shd w:val="clear" w:color="auto" w:fill="auto"/>
            <w:vAlign w:val="center"/>
          </w:tcPr>
          <w:p w14:paraId="2FBD1210">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10000</w:t>
            </w:r>
          </w:p>
        </w:tc>
        <w:tc>
          <w:tcPr>
            <w:tcW w:w="2802" w:type="dxa"/>
            <w:gridSpan w:val="2"/>
            <w:tcBorders>
              <w:tl2br w:val="nil"/>
              <w:tr2bl w:val="nil"/>
            </w:tcBorders>
            <w:shd w:val="clear" w:color="auto" w:fill="auto"/>
            <w:vAlign w:val="center"/>
          </w:tcPr>
          <w:p w14:paraId="5CF5BE7B">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40000</w:t>
            </w:r>
          </w:p>
        </w:tc>
      </w:tr>
      <w:tr w14:paraId="1E8C9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634" w:type="dxa"/>
            <w:tcBorders>
              <w:tl2br w:val="nil"/>
              <w:tr2bl w:val="nil"/>
            </w:tcBorders>
            <w:shd w:val="clear" w:color="auto" w:fill="auto"/>
            <w:vAlign w:val="center"/>
          </w:tcPr>
          <w:p w14:paraId="0AA23CA8">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w:t>
            </w:r>
          </w:p>
        </w:tc>
        <w:tc>
          <w:tcPr>
            <w:tcW w:w="3890" w:type="dxa"/>
            <w:tcBorders>
              <w:tl2br w:val="nil"/>
              <w:tr2bl w:val="nil"/>
            </w:tcBorders>
            <w:shd w:val="clear" w:color="auto" w:fill="auto"/>
            <w:vAlign w:val="center"/>
          </w:tcPr>
          <w:p w14:paraId="79A80F88">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b/>
                <w:bCs/>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蛔虫卵个数</w:t>
            </w:r>
            <w:r>
              <w:rPr>
                <w:rFonts w:hint="default" w:ascii="Times New Roman" w:hAnsi="Times New Roman" w:eastAsiaTheme="minorEastAsia"/>
                <w:color w:val="000000" w:themeColor="text1"/>
                <w:kern w:val="0"/>
                <w:szCs w:val="21"/>
                <w14:textFill>
                  <w14:solidFill>
                    <w14:schemeClr w14:val="tx1"/>
                  </w14:solidFill>
                </w14:textFill>
              </w:rPr>
              <w:t>，</w:t>
            </w:r>
            <w:r>
              <w:rPr>
                <w:rFonts w:hint="eastAsia" w:ascii="Times New Roman" w:hAnsi="Times New Roman" w:eastAsiaTheme="minorEastAsia"/>
                <w:color w:val="000000" w:themeColor="text1"/>
                <w:kern w:val="0"/>
                <w:szCs w:val="21"/>
                <w14:textFill>
                  <w14:solidFill>
                    <w14:schemeClr w14:val="tx1"/>
                  </w14:solidFill>
                </w14:textFill>
              </w:rPr>
              <w:t>个</w:t>
            </w:r>
            <w:r>
              <w:rPr>
                <w:rFonts w:hint="default" w:ascii="Times New Roman" w:hAnsi="Times New Roman" w:eastAsiaTheme="minorEastAsia"/>
                <w:color w:val="000000" w:themeColor="text1"/>
                <w:kern w:val="0"/>
                <w:szCs w:val="21"/>
                <w14:textFill>
                  <w14:solidFill>
                    <w14:schemeClr w14:val="tx1"/>
                  </w14:solidFill>
                </w14:textFill>
              </w:rPr>
              <w:t>/L</w:t>
            </w:r>
          </w:p>
        </w:tc>
        <w:tc>
          <w:tcPr>
            <w:tcW w:w="3929" w:type="dxa"/>
            <w:gridSpan w:val="3"/>
            <w:tcBorders>
              <w:tl2br w:val="nil"/>
              <w:tr2bl w:val="nil"/>
            </w:tcBorders>
            <w:shd w:val="clear" w:color="auto" w:fill="auto"/>
            <w:vAlign w:val="center"/>
          </w:tcPr>
          <w:p w14:paraId="4ED37BD2">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kern w:val="0"/>
                <w:szCs w:val="21"/>
                <w14:textFill>
                  <w14:solidFill>
                    <w14:schemeClr w14:val="tx1"/>
                  </w14:solidFill>
                </w14:textFill>
              </w:rPr>
              <w:t>2</w:t>
            </w:r>
          </w:p>
        </w:tc>
      </w:tr>
    </w:tbl>
    <w:p w14:paraId="76D6B101">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2.4</w:t>
      </w:r>
      <w:r>
        <w:rPr>
          <w:rFonts w:ascii="Times New Roman" w:hAnsi="Times New Roman"/>
          <w:bCs w:val="0"/>
          <w:color w:val="000000" w:themeColor="text1"/>
          <w:kern w:val="2"/>
          <w:szCs w:val="24"/>
          <w14:textFill>
            <w14:solidFill>
              <w14:schemeClr w14:val="tx1"/>
            </w14:solidFill>
          </w14:textFill>
        </w:rPr>
        <w:t>.3.3噪声排放标准</w:t>
      </w:r>
    </w:p>
    <w:p w14:paraId="7CC59730">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本项目施工期噪声执行《建筑施工噪声排放标准》（GB12523-20</w:t>
      </w:r>
      <w:r>
        <w:rPr>
          <w:rFonts w:hint="eastAsia"/>
          <w:color w:val="000000" w:themeColor="text1"/>
          <w:sz w:val="24"/>
          <w:szCs w:val="24"/>
          <w:lang w:val="en-US" w:eastAsia="zh-CN"/>
          <w14:textFill>
            <w14:solidFill>
              <w14:schemeClr w14:val="tx1"/>
            </w14:solidFill>
          </w14:textFill>
        </w:rPr>
        <w:t>25</w:t>
      </w:r>
      <w:r>
        <w:rPr>
          <w:color w:val="000000" w:themeColor="text1"/>
          <w:sz w:val="24"/>
          <w:szCs w:val="24"/>
          <w14:textFill>
            <w14:solidFill>
              <w14:schemeClr w14:val="tx1"/>
            </w14:solidFill>
          </w14:textFill>
        </w:rPr>
        <w:t>）中的限值；运营期厂界噪声执行《工业企业厂界环境噪声排放标准》（GB12348-2008）中2类标准。详见表</w:t>
      </w:r>
      <w:r>
        <w:rPr>
          <w:rFonts w:hint="eastAsia"/>
          <w:color w:val="000000" w:themeColor="text1"/>
          <w:sz w:val="24"/>
          <w:szCs w:val="24"/>
          <w14:textFill>
            <w14:solidFill>
              <w14:schemeClr w14:val="tx1"/>
            </w14:solidFill>
          </w14:textFill>
        </w:rPr>
        <w:t>2.4</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w:t>
      </w:r>
    </w:p>
    <w:p w14:paraId="293CE32A">
      <w:pPr>
        <w:spacing w:line="480" w:lineRule="exact"/>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2.4</w:t>
      </w:r>
      <w:r>
        <w:rPr>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9</w:t>
      </w:r>
      <w:r>
        <w:rPr>
          <w:b/>
          <w:bCs/>
          <w:color w:val="000000" w:themeColor="text1"/>
          <w:sz w:val="24"/>
          <w:szCs w:val="24"/>
          <w14:textFill>
            <w14:solidFill>
              <w14:schemeClr w14:val="tx1"/>
            </w14:solidFill>
          </w14:textFill>
        </w:rPr>
        <w:t xml:space="preserve">    环境噪声排放限值</w:t>
      </w:r>
      <w:r>
        <w:rPr>
          <w:rFonts w:hint="eastAsia"/>
          <w:b/>
          <w:bCs/>
          <w:color w:val="000000" w:themeColor="text1"/>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单位：</w:t>
      </w:r>
      <w:r>
        <w:rPr>
          <w:b/>
          <w:bCs/>
          <w:color w:val="000000" w:themeColor="text1"/>
          <w14:textFill>
            <w14:solidFill>
              <w14:schemeClr w14:val="tx1"/>
            </w14:solidFill>
          </w14:textFill>
        </w:rPr>
        <w:t>dB（A）</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94"/>
        <w:gridCol w:w="992"/>
        <w:gridCol w:w="978"/>
        <w:gridCol w:w="1055"/>
      </w:tblGrid>
      <w:tr w14:paraId="328E0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5" w:type="pct"/>
            <w:noWrap w:val="0"/>
            <w:vAlign w:val="center"/>
          </w:tcPr>
          <w:p w14:paraId="030E4155">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标准来源</w:t>
            </w:r>
          </w:p>
        </w:tc>
        <w:tc>
          <w:tcPr>
            <w:tcW w:w="582" w:type="pct"/>
            <w:noWrap w:val="0"/>
            <w:vAlign w:val="center"/>
          </w:tcPr>
          <w:p w14:paraId="213F4595">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类别</w:t>
            </w:r>
          </w:p>
        </w:tc>
        <w:tc>
          <w:tcPr>
            <w:tcW w:w="574" w:type="pct"/>
            <w:noWrap w:val="0"/>
            <w:vAlign w:val="center"/>
          </w:tcPr>
          <w:p w14:paraId="7BF9A53A">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昼间</w:t>
            </w:r>
          </w:p>
        </w:tc>
        <w:tc>
          <w:tcPr>
            <w:tcW w:w="619" w:type="pct"/>
            <w:noWrap w:val="0"/>
            <w:vAlign w:val="center"/>
          </w:tcPr>
          <w:p w14:paraId="6937C202">
            <w:pPr>
              <w:pStyle w:val="183"/>
              <w:spacing w:after="0"/>
              <w:ind w:firstLine="0" w:firstLineChars="0"/>
              <w:rPr>
                <w:rFonts w:hint="eastAsia"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夜间</w:t>
            </w:r>
          </w:p>
        </w:tc>
      </w:tr>
      <w:tr w14:paraId="61ED4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5" w:type="pct"/>
            <w:noWrap w:val="0"/>
            <w:vAlign w:val="center"/>
          </w:tcPr>
          <w:p w14:paraId="305AA16C">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《建筑施工噪声排放标准》（GB12523-2025）</w:t>
            </w:r>
          </w:p>
        </w:tc>
        <w:tc>
          <w:tcPr>
            <w:tcW w:w="582" w:type="pct"/>
            <w:noWrap w:val="0"/>
            <w:vAlign w:val="center"/>
          </w:tcPr>
          <w:p w14:paraId="37943D36">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w:t>
            </w:r>
          </w:p>
        </w:tc>
        <w:tc>
          <w:tcPr>
            <w:tcW w:w="574" w:type="pct"/>
            <w:noWrap w:val="0"/>
            <w:vAlign w:val="center"/>
          </w:tcPr>
          <w:p w14:paraId="3D8BB7CC">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70</w:t>
            </w:r>
          </w:p>
        </w:tc>
        <w:tc>
          <w:tcPr>
            <w:tcW w:w="619" w:type="pct"/>
            <w:noWrap w:val="0"/>
            <w:vAlign w:val="center"/>
          </w:tcPr>
          <w:p w14:paraId="2ECAB282">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55</w:t>
            </w:r>
          </w:p>
        </w:tc>
      </w:tr>
      <w:tr w14:paraId="5D11F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5" w:type="pct"/>
            <w:noWrap w:val="0"/>
            <w:vAlign w:val="center"/>
          </w:tcPr>
          <w:p w14:paraId="057252F8">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《工业企业厂界环境噪声排放标准》（GB12348-2008）</w:t>
            </w:r>
          </w:p>
        </w:tc>
        <w:tc>
          <w:tcPr>
            <w:tcW w:w="582" w:type="pct"/>
            <w:noWrap w:val="0"/>
            <w:vAlign w:val="center"/>
          </w:tcPr>
          <w:p w14:paraId="32FECD18">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2类</w:t>
            </w:r>
          </w:p>
        </w:tc>
        <w:tc>
          <w:tcPr>
            <w:tcW w:w="574" w:type="pct"/>
            <w:noWrap w:val="0"/>
            <w:vAlign w:val="center"/>
          </w:tcPr>
          <w:p w14:paraId="05C68B8D">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60</w:t>
            </w:r>
          </w:p>
        </w:tc>
        <w:tc>
          <w:tcPr>
            <w:tcW w:w="619" w:type="pct"/>
            <w:noWrap w:val="0"/>
            <w:vAlign w:val="center"/>
          </w:tcPr>
          <w:p w14:paraId="556BD586">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50</w:t>
            </w:r>
          </w:p>
        </w:tc>
      </w:tr>
    </w:tbl>
    <w:p w14:paraId="4F2C4B81">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2.4</w:t>
      </w:r>
      <w:r>
        <w:rPr>
          <w:rFonts w:ascii="Times New Roman" w:hAnsi="Times New Roman"/>
          <w:bCs w:val="0"/>
          <w:color w:val="000000" w:themeColor="text1"/>
          <w:kern w:val="2"/>
          <w:szCs w:val="24"/>
          <w14:textFill>
            <w14:solidFill>
              <w14:schemeClr w14:val="tx1"/>
            </w14:solidFill>
          </w14:textFill>
        </w:rPr>
        <w:t>.3.4固体废物执行标准</w:t>
      </w:r>
    </w:p>
    <w:p w14:paraId="07876F3A">
      <w:pPr>
        <w:spacing w:line="480" w:lineRule="exact"/>
        <w:ind w:firstLine="480" w:firstLineChars="200"/>
        <w:rPr>
          <w:rFonts w:hint="default" w:ascii="Times New Roman" w:hAnsi="Times New Roman" w:eastAsia="宋体" w:cs="Times New Roman"/>
          <w:b w:val="0"/>
          <w:bCs w:val="0"/>
          <w:color w:val="000000" w:themeColor="text1"/>
          <w:spacing w:val="0"/>
          <w:w w:val="100"/>
          <w:position w:val="0"/>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项目主要固体废物包括</w:t>
      </w:r>
      <w:r>
        <w:rPr>
          <w:color w:val="000000" w:themeColor="text1"/>
          <w:sz w:val="24"/>
          <w:szCs w:val="28"/>
          <w14:textFill>
            <w14:solidFill>
              <w14:schemeClr w14:val="tx1"/>
            </w14:solidFill>
          </w14:textFill>
        </w:rPr>
        <w:t>采矿废石、生活垃圾、</w:t>
      </w:r>
      <w:r>
        <w:rPr>
          <w:rFonts w:hint="eastAsia"/>
          <w:color w:val="000000" w:themeColor="text1"/>
          <w:sz w:val="24"/>
          <w:szCs w:val="28"/>
          <w14:textFill>
            <w14:solidFill>
              <w14:schemeClr w14:val="tx1"/>
            </w14:solidFill>
          </w14:textFill>
        </w:rPr>
        <w:t>沉淀池底泥、污水处理站底泥</w:t>
      </w:r>
      <w:r>
        <w:rPr>
          <w:color w:val="000000" w:themeColor="text1"/>
          <w:sz w:val="24"/>
          <w:szCs w:val="28"/>
          <w14:textFill>
            <w14:solidFill>
              <w14:schemeClr w14:val="tx1"/>
            </w14:solidFill>
          </w14:textFill>
        </w:rPr>
        <w:t>以及</w:t>
      </w:r>
      <w:r>
        <w:rPr>
          <w:rFonts w:hint="eastAsia"/>
          <w:color w:val="000000" w:themeColor="text1"/>
          <w:sz w:val="24"/>
          <w:szCs w:val="28"/>
          <w14:textFill>
            <w14:solidFill>
              <w14:schemeClr w14:val="tx1"/>
            </w14:solidFill>
          </w14:textFill>
        </w:rPr>
        <w:t>废矿物油、</w:t>
      </w:r>
      <w:r>
        <w:rPr>
          <w:rFonts w:hint="eastAsia"/>
          <w:color w:val="000000" w:themeColor="text1"/>
          <w:sz w:val="24"/>
          <w:szCs w:val="28"/>
          <w:lang w:eastAsia="zh-CN"/>
          <w14:textFill>
            <w14:solidFill>
              <w14:schemeClr w14:val="tx1"/>
            </w14:solidFill>
          </w14:textFill>
        </w:rPr>
        <w:t>废油桶</w:t>
      </w:r>
      <w:r>
        <w:rPr>
          <w:color w:val="000000" w:themeColor="text1"/>
          <w:sz w:val="24"/>
          <w:szCs w:val="28"/>
          <w14:textFill>
            <w14:solidFill>
              <w14:schemeClr w14:val="tx1"/>
            </w14:solidFill>
          </w14:textFill>
        </w:rPr>
        <w:t>等</w:t>
      </w:r>
      <w:r>
        <w:rPr>
          <w:rFonts w:hint="eastAsia"/>
          <w:color w:val="000000" w:themeColor="text1"/>
          <w:sz w:val="24"/>
          <w:szCs w:val="28"/>
          <w:lang w:eastAsia="zh-CN"/>
          <w14:textFill>
            <w14:solidFill>
              <w14:schemeClr w14:val="tx1"/>
            </w14:solidFill>
          </w14:textFill>
        </w:rPr>
        <w:t>。</w:t>
      </w:r>
      <w:bookmarkStart w:id="161" w:name="OLE_LINK255"/>
      <w:r>
        <w:rPr>
          <w:rFonts w:hint="default" w:ascii="Times New Roman" w:hAnsi="Times New Roman" w:eastAsia="宋体" w:cs="Times New Roman"/>
          <w:b w:val="0"/>
          <w:bCs w:val="0"/>
          <w:color w:val="000000" w:themeColor="text1"/>
          <w:spacing w:val="0"/>
          <w:w w:val="100"/>
          <w:position w:val="0"/>
          <w:sz w:val="24"/>
          <w14:textFill>
            <w14:solidFill>
              <w14:schemeClr w14:val="tx1"/>
            </w14:solidFill>
          </w14:textFill>
        </w:rPr>
        <w:t>一般固体废物执行《一般工业固体废物贮存和填埋污染控制标准》（GB18599-2020）中的固体废物执行标准</w:t>
      </w:r>
      <w:bookmarkEnd w:id="161"/>
      <w:r>
        <w:rPr>
          <w:rFonts w:hint="default" w:ascii="Times New Roman" w:hAnsi="Times New Roman" w:eastAsia="宋体" w:cs="Times New Roman"/>
          <w:b w:val="0"/>
          <w:bCs w:val="0"/>
          <w:color w:val="000000" w:themeColor="text1"/>
          <w:spacing w:val="0"/>
          <w:w w:val="100"/>
          <w:position w:val="0"/>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固废鉴别</w:t>
      </w:r>
      <w:r>
        <w:rPr>
          <w:rFonts w:hint="default" w:ascii="Times New Roman" w:hAnsi="Times New Roman" w:eastAsia="宋体" w:cs="Times New Roman"/>
          <w:b w:val="0"/>
          <w:bCs w:val="0"/>
          <w:color w:val="000000" w:themeColor="text1"/>
          <w:spacing w:val="0"/>
          <w:w w:val="100"/>
          <w:position w:val="0"/>
          <w:sz w:val="24"/>
          <w14:textFill>
            <w14:solidFill>
              <w14:schemeClr w14:val="tx1"/>
            </w14:solidFill>
          </w14:textFill>
        </w:rPr>
        <w:t>执行《危险废物鉴别标准</w:t>
      </w:r>
      <w:r>
        <w:rPr>
          <w:rFonts w:hint="default" w:ascii="Times New Roman" w:hAnsi="Times New Roman" w:eastAsia="宋体" w:cs="Times New Roman"/>
          <w:b w:val="0"/>
          <w:bCs w:val="0"/>
          <w:color w:val="000000" w:themeColor="text1"/>
          <w:spacing w:val="0"/>
          <w:w w:val="100"/>
          <w:position w:val="0"/>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4"/>
          <w14:textFill>
            <w14:solidFill>
              <w14:schemeClr w14:val="tx1"/>
            </w14:solidFill>
          </w14:textFill>
        </w:rPr>
        <w:t>腐蚀性鉴别》（GB5085.1-2007）和《危险废物鉴别标准-浸出毒性鉴别》（GB5085.3-2007）（浸出液最高允许浓度）</w:t>
      </w:r>
      <w:r>
        <w:rPr>
          <w:rFonts w:hint="default" w:ascii="Times New Roman" w:hAnsi="Times New Roman" w:eastAsia="宋体" w:cs="Times New Roman"/>
          <w:b w:val="0"/>
          <w:bCs w:val="0"/>
          <w:color w:val="000000" w:themeColor="text1"/>
          <w:spacing w:val="0"/>
          <w:w w:val="100"/>
          <w:position w:val="0"/>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4"/>
          <w14:textFill>
            <w14:solidFill>
              <w14:schemeClr w14:val="tx1"/>
            </w14:solidFill>
          </w14:textFill>
        </w:rPr>
        <w:t>有关标准限值见表2.</w:t>
      </w:r>
      <w:r>
        <w:rPr>
          <w:rFonts w:hint="default" w:ascii="Times New Roman" w:hAnsi="Times New Roman" w:eastAsia="宋体" w:cs="Times New Roman"/>
          <w:b w:val="0"/>
          <w:bCs w:val="0"/>
          <w:color w:val="000000" w:themeColor="text1"/>
          <w:spacing w:val="0"/>
          <w:w w:val="100"/>
          <w:position w:val="0"/>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pacing w:val="0"/>
          <w:w w:val="100"/>
          <w:position w:val="0"/>
          <w:sz w:val="24"/>
          <w14:textFill>
            <w14:solidFill>
              <w14:schemeClr w14:val="tx1"/>
            </w14:solidFill>
          </w14:textFill>
        </w:rPr>
        <w:t>-</w:t>
      </w:r>
      <w:r>
        <w:rPr>
          <w:rFonts w:hint="eastAsia" w:cs="Times New Roman"/>
          <w:b w:val="0"/>
          <w:bCs w:val="0"/>
          <w:color w:val="000000" w:themeColor="text1"/>
          <w:spacing w:val="0"/>
          <w:w w:val="100"/>
          <w:position w:val="0"/>
          <w:sz w:val="24"/>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pacing w:val="0"/>
          <w:w w:val="100"/>
          <w:position w:val="0"/>
          <w:sz w:val="24"/>
          <w14:textFill>
            <w14:solidFill>
              <w14:schemeClr w14:val="tx1"/>
            </w14:solidFill>
          </w14:textFill>
        </w:rPr>
        <w:t>。</w:t>
      </w:r>
    </w:p>
    <w:p w14:paraId="3067368A">
      <w:pPr>
        <w:keepNext w:val="0"/>
        <w:keepLines w:val="0"/>
        <w:pageBreakBefore w:val="0"/>
        <w:widowControl w:val="0"/>
        <w:kinsoku/>
        <w:wordWrap/>
        <w:overflowPunct/>
        <w:topLinePunct w:val="0"/>
        <w:bidi w:val="0"/>
        <w:adjustRightInd/>
        <w:snapToGrid/>
        <w:spacing w:line="480" w:lineRule="exact"/>
        <w:jc w:val="center"/>
        <w:textAlignment w:val="auto"/>
        <w:rPr>
          <w:rFonts w:hint="default" w:ascii="Times New Roman" w:hAnsi="Times New Roman" w:eastAsia="宋体" w:cs="Times New Roman"/>
          <w:b/>
          <w:color w:val="000000" w:themeColor="text1"/>
          <w:spacing w:val="0"/>
          <w:w w:val="100"/>
          <w:position w:val="0"/>
          <w:sz w:val="24"/>
          <w:szCs w:val="24"/>
          <w14:textFill>
            <w14:solidFill>
              <w14:schemeClr w14:val="tx1"/>
            </w14:solidFill>
          </w14:textFill>
        </w:rPr>
      </w:pPr>
      <w:bookmarkStart w:id="162" w:name="OLE_LINK256"/>
      <w:r>
        <w:rPr>
          <w:rFonts w:hint="default" w:ascii="Times New Roman" w:hAnsi="Times New Roman" w:eastAsia="宋体" w:cs="Times New Roman"/>
          <w:b/>
          <w:color w:val="000000" w:themeColor="text1"/>
          <w:spacing w:val="0"/>
          <w:w w:val="100"/>
          <w:position w:val="0"/>
          <w:sz w:val="24"/>
          <w:szCs w:val="24"/>
          <w14:textFill>
            <w14:solidFill>
              <w14:schemeClr w14:val="tx1"/>
            </w14:solidFill>
          </w14:textFill>
        </w:rPr>
        <w:t>表2.</w:t>
      </w:r>
      <w:r>
        <w:rPr>
          <w:rFonts w:hint="default" w:ascii="Times New Roman" w:hAnsi="Times New Roman" w:eastAsia="宋体" w:cs="Times New Roman"/>
          <w:b/>
          <w:color w:val="000000" w:themeColor="text1"/>
          <w:spacing w:val="0"/>
          <w:w w:val="100"/>
          <w:position w:val="0"/>
          <w:sz w:val="24"/>
          <w:szCs w:val="24"/>
          <w:lang w:val="en-US" w:eastAsia="zh-CN"/>
          <w14:textFill>
            <w14:solidFill>
              <w14:schemeClr w14:val="tx1"/>
            </w14:solidFill>
          </w14:textFill>
        </w:rPr>
        <w:t>4</w:t>
      </w:r>
      <w:r>
        <w:rPr>
          <w:rFonts w:hint="default" w:ascii="Times New Roman" w:hAnsi="Times New Roman" w:eastAsia="宋体" w:cs="Times New Roman"/>
          <w:b/>
          <w:color w:val="000000" w:themeColor="text1"/>
          <w:spacing w:val="0"/>
          <w:w w:val="100"/>
          <w:position w:val="0"/>
          <w:sz w:val="24"/>
          <w:szCs w:val="24"/>
          <w14:textFill>
            <w14:solidFill>
              <w14:schemeClr w14:val="tx1"/>
            </w14:solidFill>
          </w14:textFill>
        </w:rPr>
        <w:t>-</w:t>
      </w:r>
      <w:r>
        <w:rPr>
          <w:rFonts w:hint="eastAsia" w:cs="Times New Roman"/>
          <w:b/>
          <w:color w:val="000000" w:themeColor="text1"/>
          <w:spacing w:val="0"/>
          <w:w w:val="100"/>
          <w:position w:val="0"/>
          <w:sz w:val="24"/>
          <w:szCs w:val="24"/>
          <w:lang w:val="en-US" w:eastAsia="zh-CN"/>
          <w14:textFill>
            <w14:solidFill>
              <w14:schemeClr w14:val="tx1"/>
            </w14:solidFill>
          </w14:textFill>
        </w:rPr>
        <w:t>10</w:t>
      </w:r>
      <w:r>
        <w:rPr>
          <w:rFonts w:hint="default" w:ascii="Times New Roman" w:hAnsi="Times New Roman" w:eastAsia="宋体" w:cs="Times New Roman"/>
          <w:b/>
          <w:color w:val="000000" w:themeColor="text1"/>
          <w:spacing w:val="0"/>
          <w:w w:val="100"/>
          <w:position w:val="0"/>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w w:val="100"/>
          <w:position w:val="0"/>
          <w:sz w:val="24"/>
          <w:szCs w:val="24"/>
          <w14:textFill>
            <w14:solidFill>
              <w14:schemeClr w14:val="tx1"/>
            </w14:solidFill>
          </w14:textFill>
        </w:rPr>
        <w:t>项目危险固体废物鉴别标准</w:t>
      </w:r>
      <w:r>
        <w:rPr>
          <w:rFonts w:hint="default" w:ascii="Times New Roman" w:hAnsi="Times New Roman" w:eastAsia="宋体" w:cs="Times New Roman"/>
          <w:b/>
          <w:color w:val="000000" w:themeColor="text1"/>
          <w:spacing w:val="0"/>
          <w:w w:val="100"/>
          <w:position w:val="0"/>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w w:val="100"/>
          <w:position w:val="0"/>
          <w:sz w:val="24"/>
          <w:szCs w:val="24"/>
          <w14:textFill>
            <w14:solidFill>
              <w14:schemeClr w14:val="tx1"/>
            </w14:solidFill>
          </w14:textFill>
        </w:rPr>
        <w:t>单位：mg/L</w:t>
      </w:r>
    </w:p>
    <w:bookmarkEnd w:id="162"/>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86"/>
        <w:gridCol w:w="1771"/>
        <w:gridCol w:w="2937"/>
        <w:gridCol w:w="1828"/>
      </w:tblGrid>
      <w:tr w14:paraId="3CC00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noWrap w:val="0"/>
            <w:vAlign w:val="center"/>
          </w:tcPr>
          <w:p w14:paraId="4211C19E">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pPr>
            <w:bookmarkStart w:id="163" w:name="OLE_LINK258" w:colFirst="0" w:colLast="1"/>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GB5085.1-2007</w:t>
            </w:r>
          </w:p>
          <w:p w14:paraId="2AE2F045">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腐蚀性鉴别</w:t>
            </w:r>
          </w:p>
        </w:tc>
        <w:tc>
          <w:tcPr>
            <w:tcW w:w="3834" w:type="pct"/>
            <w:gridSpan w:val="3"/>
            <w:noWrap w:val="0"/>
            <w:vAlign w:val="center"/>
          </w:tcPr>
          <w:p w14:paraId="2E880B25">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按照GB/T15555.12-1995制备的浸出液</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pH≥12.5或pH≤2.0时</w:t>
            </w:r>
            <w:r>
              <w:rPr>
                <w:rFonts w:hint="default" w:ascii="Times New Roman" w:hAnsi="Times New Roman" w:eastAsia="宋体" w:cs="Times New Roman"/>
                <w:b w:val="0"/>
                <w:bCs w:val="0"/>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该废物是具有腐蚀性的危险物</w:t>
            </w:r>
          </w:p>
        </w:tc>
      </w:tr>
      <w:bookmarkEnd w:id="163"/>
      <w:tr w14:paraId="66AD6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restart"/>
            <w:noWrap w:val="0"/>
            <w:vAlign w:val="center"/>
          </w:tcPr>
          <w:p w14:paraId="72732295">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GB5085.3-2007浸出毒性鉴别标准</w:t>
            </w:r>
          </w:p>
        </w:tc>
        <w:tc>
          <w:tcPr>
            <w:tcW w:w="3834" w:type="pct"/>
            <w:gridSpan w:val="3"/>
            <w:noWrap w:val="0"/>
            <w:vAlign w:val="center"/>
          </w:tcPr>
          <w:p w14:paraId="3F022D9B">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浸出液中任何一种危险成分的浓度超过下列浓度值</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则该废物是具有浸出毒性的危险废物。</w:t>
            </w:r>
          </w:p>
        </w:tc>
      </w:tr>
      <w:tr w14:paraId="73136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21D0DA92">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5DBABDE9">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w:t>
            </w:r>
          </w:p>
        </w:tc>
        <w:tc>
          <w:tcPr>
            <w:tcW w:w="1723" w:type="pct"/>
            <w:noWrap w:val="0"/>
            <w:vAlign w:val="center"/>
          </w:tcPr>
          <w:p w14:paraId="3E24999C">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汞及其化合物（以总汞计）</w:t>
            </w:r>
          </w:p>
        </w:tc>
        <w:tc>
          <w:tcPr>
            <w:tcW w:w="1072" w:type="pct"/>
            <w:noWrap w:val="0"/>
            <w:vAlign w:val="center"/>
          </w:tcPr>
          <w:p w14:paraId="175368D7">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0.1</w:t>
            </w:r>
          </w:p>
        </w:tc>
      </w:tr>
      <w:tr w14:paraId="45AB7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219E67AE">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1C74E6D3">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2</w:t>
            </w:r>
          </w:p>
        </w:tc>
        <w:tc>
          <w:tcPr>
            <w:tcW w:w="1723" w:type="pct"/>
            <w:noWrap w:val="0"/>
            <w:vAlign w:val="center"/>
          </w:tcPr>
          <w:p w14:paraId="0BFCAAB4">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铅（以总铅计）</w:t>
            </w:r>
          </w:p>
        </w:tc>
        <w:tc>
          <w:tcPr>
            <w:tcW w:w="1072" w:type="pct"/>
            <w:noWrap w:val="0"/>
            <w:vAlign w:val="center"/>
          </w:tcPr>
          <w:p w14:paraId="4407EC98">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5</w:t>
            </w:r>
          </w:p>
        </w:tc>
      </w:tr>
      <w:tr w14:paraId="42C07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65926D03">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1AE1ECDF">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3</w:t>
            </w:r>
          </w:p>
        </w:tc>
        <w:tc>
          <w:tcPr>
            <w:tcW w:w="1723" w:type="pct"/>
            <w:noWrap w:val="0"/>
            <w:vAlign w:val="center"/>
          </w:tcPr>
          <w:p w14:paraId="165944AD">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镉（以总隔计）</w:t>
            </w:r>
          </w:p>
        </w:tc>
        <w:tc>
          <w:tcPr>
            <w:tcW w:w="1072" w:type="pct"/>
            <w:noWrap w:val="0"/>
            <w:vAlign w:val="center"/>
          </w:tcPr>
          <w:p w14:paraId="233314C5">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w:t>
            </w:r>
          </w:p>
        </w:tc>
      </w:tr>
      <w:tr w14:paraId="7F121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7B5F516A">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3DF03241">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4</w:t>
            </w:r>
          </w:p>
        </w:tc>
        <w:tc>
          <w:tcPr>
            <w:tcW w:w="1723" w:type="pct"/>
            <w:noWrap w:val="0"/>
            <w:vAlign w:val="center"/>
          </w:tcPr>
          <w:p w14:paraId="6DD2AF5B">
            <w:pPr>
              <w:keepNext w:val="0"/>
              <w:keepLines w:val="0"/>
              <w:pageBreakBefore w:val="0"/>
              <w:suppressLineNumbers w:val="0"/>
              <w:tabs>
                <w:tab w:val="center" w:pos="1413"/>
              </w:tabs>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总铬</w:t>
            </w:r>
          </w:p>
        </w:tc>
        <w:tc>
          <w:tcPr>
            <w:tcW w:w="1072" w:type="pct"/>
            <w:noWrap w:val="0"/>
            <w:vAlign w:val="center"/>
          </w:tcPr>
          <w:p w14:paraId="6C9A3F83">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15</w:t>
            </w:r>
          </w:p>
        </w:tc>
      </w:tr>
      <w:tr w14:paraId="46F1D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4ABB32E8">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7FFC4822">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5</w:t>
            </w:r>
          </w:p>
        </w:tc>
        <w:tc>
          <w:tcPr>
            <w:tcW w:w="1723" w:type="pct"/>
            <w:noWrap w:val="0"/>
            <w:vAlign w:val="center"/>
          </w:tcPr>
          <w:p w14:paraId="402E812A">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六价铬</w:t>
            </w:r>
          </w:p>
        </w:tc>
        <w:tc>
          <w:tcPr>
            <w:tcW w:w="1072" w:type="pct"/>
            <w:noWrap w:val="0"/>
            <w:vAlign w:val="center"/>
          </w:tcPr>
          <w:p w14:paraId="251E885B">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5</w:t>
            </w:r>
          </w:p>
        </w:tc>
      </w:tr>
      <w:tr w14:paraId="1EA6B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6290986F">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376A4C44">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6</w:t>
            </w:r>
          </w:p>
        </w:tc>
        <w:tc>
          <w:tcPr>
            <w:tcW w:w="1723" w:type="pct"/>
            <w:noWrap w:val="0"/>
            <w:vAlign w:val="center"/>
          </w:tcPr>
          <w:p w14:paraId="32F16AFC">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铜（以总铜计）</w:t>
            </w:r>
          </w:p>
        </w:tc>
        <w:tc>
          <w:tcPr>
            <w:tcW w:w="1072" w:type="pct"/>
            <w:noWrap w:val="0"/>
            <w:vAlign w:val="center"/>
          </w:tcPr>
          <w:p w14:paraId="24C73B3E">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100</w:t>
            </w:r>
          </w:p>
        </w:tc>
      </w:tr>
      <w:tr w14:paraId="2797B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316A35D2">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63CEF28A">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7</w:t>
            </w:r>
          </w:p>
        </w:tc>
        <w:tc>
          <w:tcPr>
            <w:tcW w:w="1723" w:type="pct"/>
            <w:noWrap w:val="0"/>
            <w:vAlign w:val="center"/>
          </w:tcPr>
          <w:p w14:paraId="3D5D08F6">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锌（以总锌计）</w:t>
            </w:r>
          </w:p>
        </w:tc>
        <w:tc>
          <w:tcPr>
            <w:tcW w:w="1072" w:type="pct"/>
            <w:noWrap w:val="0"/>
            <w:vAlign w:val="center"/>
          </w:tcPr>
          <w:p w14:paraId="077D9D79">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100</w:t>
            </w:r>
          </w:p>
        </w:tc>
      </w:tr>
      <w:tr w14:paraId="5D9B2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7B3E93D6">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607281DD">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8</w:t>
            </w:r>
          </w:p>
        </w:tc>
        <w:tc>
          <w:tcPr>
            <w:tcW w:w="1723" w:type="pct"/>
            <w:noWrap w:val="0"/>
            <w:vAlign w:val="center"/>
          </w:tcPr>
          <w:p w14:paraId="59856515">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镍（以总镍计）</w:t>
            </w:r>
          </w:p>
        </w:tc>
        <w:tc>
          <w:tcPr>
            <w:tcW w:w="1072" w:type="pct"/>
            <w:noWrap w:val="0"/>
            <w:vAlign w:val="center"/>
          </w:tcPr>
          <w:p w14:paraId="541BF854">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5</w:t>
            </w:r>
          </w:p>
        </w:tc>
      </w:tr>
      <w:tr w14:paraId="5BB17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3292E798">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38684461">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9</w:t>
            </w:r>
          </w:p>
        </w:tc>
        <w:tc>
          <w:tcPr>
            <w:tcW w:w="1723" w:type="pct"/>
            <w:noWrap w:val="0"/>
            <w:vAlign w:val="center"/>
          </w:tcPr>
          <w:p w14:paraId="3E1DC42F">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砷（以总砷计）</w:t>
            </w:r>
          </w:p>
        </w:tc>
        <w:tc>
          <w:tcPr>
            <w:tcW w:w="1072" w:type="pct"/>
            <w:noWrap w:val="0"/>
            <w:vAlign w:val="center"/>
          </w:tcPr>
          <w:p w14:paraId="1F3E6CD5">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5</w:t>
            </w:r>
          </w:p>
        </w:tc>
      </w:tr>
      <w:tr w14:paraId="07F8D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5B23AE95">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5006938F">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10</w:t>
            </w:r>
          </w:p>
        </w:tc>
        <w:tc>
          <w:tcPr>
            <w:tcW w:w="1723" w:type="pct"/>
            <w:noWrap w:val="0"/>
            <w:vAlign w:val="center"/>
          </w:tcPr>
          <w:p w14:paraId="38918E5A">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铍（以总铍计）</w:t>
            </w:r>
          </w:p>
        </w:tc>
        <w:tc>
          <w:tcPr>
            <w:tcW w:w="1072" w:type="pct"/>
            <w:noWrap w:val="0"/>
            <w:vAlign w:val="center"/>
          </w:tcPr>
          <w:p w14:paraId="5A5AB4D3">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0.02</w:t>
            </w:r>
          </w:p>
        </w:tc>
      </w:tr>
      <w:tr w14:paraId="7B30B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27281815">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6FA050D9">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11</w:t>
            </w:r>
          </w:p>
        </w:tc>
        <w:tc>
          <w:tcPr>
            <w:tcW w:w="1723" w:type="pct"/>
            <w:noWrap w:val="0"/>
            <w:vAlign w:val="center"/>
          </w:tcPr>
          <w:p w14:paraId="429DACA7">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钡（以总钡计）</w:t>
            </w:r>
          </w:p>
        </w:tc>
        <w:tc>
          <w:tcPr>
            <w:tcW w:w="1072" w:type="pct"/>
            <w:noWrap w:val="0"/>
            <w:vAlign w:val="center"/>
          </w:tcPr>
          <w:p w14:paraId="4AB2CD9A">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100</w:t>
            </w:r>
          </w:p>
        </w:tc>
      </w:tr>
      <w:tr w14:paraId="4DB44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3512F2AC">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039" w:type="pct"/>
            <w:noWrap w:val="0"/>
            <w:vAlign w:val="center"/>
          </w:tcPr>
          <w:p w14:paraId="13BADF27">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12</w:t>
            </w:r>
          </w:p>
        </w:tc>
        <w:tc>
          <w:tcPr>
            <w:tcW w:w="1723" w:type="pct"/>
            <w:noWrap w:val="0"/>
            <w:vAlign w:val="center"/>
          </w:tcPr>
          <w:p w14:paraId="6D274AAF">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总银</w:t>
            </w:r>
          </w:p>
        </w:tc>
        <w:tc>
          <w:tcPr>
            <w:tcW w:w="1072" w:type="pct"/>
            <w:noWrap w:val="0"/>
            <w:vAlign w:val="center"/>
          </w:tcPr>
          <w:p w14:paraId="5764B8C7">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5</w:t>
            </w:r>
          </w:p>
        </w:tc>
      </w:tr>
      <w:tr w14:paraId="3F1CA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vMerge w:val="continue"/>
            <w:noWrap w:val="0"/>
            <w:vAlign w:val="center"/>
          </w:tcPr>
          <w:p w14:paraId="050892A6">
            <w:pPr>
              <w:keepNext w:val="0"/>
              <w:keepLines w:val="0"/>
              <w:pageBreakBefore w:val="0"/>
              <w:suppressLineNumbers w:val="0"/>
              <w:bidi w:val="0"/>
              <w:adjustRightInd/>
              <w:snapToGrid/>
              <w:spacing w:before="0" w:beforeAutospacing="0" w:after="0" w:afterAutospacing="0" w:line="360" w:lineRule="exact"/>
              <w:ind w:left="0" w:right="0" w:firstLine="42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bookmarkStart w:id="164" w:name="OLE_LINK257" w:colFirst="1" w:colLast="2"/>
          </w:p>
        </w:tc>
        <w:tc>
          <w:tcPr>
            <w:tcW w:w="1039" w:type="pct"/>
            <w:noWrap w:val="0"/>
            <w:vAlign w:val="center"/>
          </w:tcPr>
          <w:p w14:paraId="5964EA86">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13</w:t>
            </w:r>
          </w:p>
        </w:tc>
        <w:tc>
          <w:tcPr>
            <w:tcW w:w="1723" w:type="pct"/>
            <w:noWrap w:val="0"/>
            <w:vAlign w:val="center"/>
          </w:tcPr>
          <w:p w14:paraId="538F5791">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硒（以总硒计）</w:t>
            </w:r>
          </w:p>
        </w:tc>
        <w:tc>
          <w:tcPr>
            <w:tcW w:w="1072" w:type="pct"/>
            <w:noWrap w:val="0"/>
            <w:vAlign w:val="center"/>
          </w:tcPr>
          <w:p w14:paraId="2144805A">
            <w:pPr>
              <w:keepNext w:val="0"/>
              <w:keepLines w:val="0"/>
              <w:pageBreakBefore w:val="0"/>
              <w:suppressLineNumbers w:val="0"/>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1</w:t>
            </w:r>
          </w:p>
        </w:tc>
      </w:tr>
      <w:bookmarkEnd w:id="164"/>
    </w:tbl>
    <w:p w14:paraId="5752744E">
      <w:pPr>
        <w:spacing w:line="480" w:lineRule="exact"/>
        <w:ind w:firstLine="480" w:firstLineChars="200"/>
        <w:rPr>
          <w:rFonts w:hint="eastAsia"/>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14:textFill>
            <w14:solidFill>
              <w14:schemeClr w14:val="tx1"/>
            </w14:solidFill>
          </w14:textFill>
        </w:rPr>
        <w:t>一般工业固体废物类别鉴别方法：按照GB5086规定方法进行浸出实验而获得的浸出液中</w:t>
      </w:r>
      <w:r>
        <w:rPr>
          <w:rFonts w:hint="default" w:ascii="Times New Roman" w:hAnsi="Times New Roman" w:eastAsia="宋体" w:cs="Times New Roman"/>
          <w:color w:val="000000" w:themeColor="text1"/>
          <w:spacing w:val="0"/>
          <w:w w:val="100"/>
          <w:position w:val="0"/>
          <w:sz w:val="24"/>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14:textFill>
            <w14:solidFill>
              <w14:schemeClr w14:val="tx1"/>
            </w14:solidFill>
          </w14:textFill>
        </w:rPr>
        <w:t>任何一种污染物的浓度均未超过《污水综合排放标准》（GB8978-1996）的最高允许排放浓度</w:t>
      </w:r>
      <w:r>
        <w:rPr>
          <w:rFonts w:hint="default" w:ascii="Times New Roman" w:hAnsi="Times New Roman" w:eastAsia="宋体" w:cs="Times New Roman"/>
          <w:color w:val="000000" w:themeColor="text1"/>
          <w:spacing w:val="0"/>
          <w:w w:val="100"/>
          <w:position w:val="0"/>
          <w:sz w:val="24"/>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14:textFill>
            <w14:solidFill>
              <w14:schemeClr w14:val="tx1"/>
            </w14:solidFill>
          </w14:textFill>
        </w:rPr>
        <w:t>且pH值在6～9范围之内的一般工业固体废物。</w:t>
      </w:r>
    </w:p>
    <w:p w14:paraId="4C4A2707">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机修</w:t>
      </w:r>
      <w:r>
        <w:rPr>
          <w:rFonts w:hint="eastAsia"/>
          <w:color w:val="000000" w:themeColor="text1"/>
          <w:sz w:val="24"/>
          <w:szCs w:val="28"/>
          <w14:textFill>
            <w14:solidFill>
              <w14:schemeClr w14:val="tx1"/>
            </w14:solidFill>
          </w14:textFill>
        </w:rPr>
        <w:t>废矿物油、</w:t>
      </w:r>
      <w:r>
        <w:rPr>
          <w:rFonts w:hint="eastAsia"/>
          <w:color w:val="000000" w:themeColor="text1"/>
          <w:sz w:val="24"/>
          <w:szCs w:val="28"/>
          <w:lang w:eastAsia="zh-CN"/>
          <w14:textFill>
            <w14:solidFill>
              <w14:schemeClr w14:val="tx1"/>
            </w14:solidFill>
          </w14:textFill>
        </w:rPr>
        <w:t>废油桶</w:t>
      </w:r>
      <w:r>
        <w:rPr>
          <w:color w:val="000000" w:themeColor="text1"/>
          <w:sz w:val="24"/>
          <w:szCs w:val="24"/>
          <w14:textFill>
            <w14:solidFill>
              <w14:schemeClr w14:val="tx1"/>
            </w14:solidFill>
          </w14:textFill>
        </w:rPr>
        <w:t>属于危险废物，执行《危险废物贮存污染控制标准》（GB18597-20</w:t>
      </w:r>
      <w:r>
        <w:rPr>
          <w:rFonts w:hint="eastAsia"/>
          <w:color w:val="000000" w:themeColor="text1"/>
          <w:sz w:val="24"/>
          <w:szCs w:val="24"/>
          <w:lang w:val="en-US" w:eastAsia="zh-CN"/>
          <w14:textFill>
            <w14:solidFill>
              <w14:schemeClr w14:val="tx1"/>
            </w14:solidFill>
          </w14:textFill>
        </w:rPr>
        <w:t>23）</w:t>
      </w:r>
      <w:r>
        <w:rPr>
          <w:color w:val="000000" w:themeColor="text1"/>
          <w:sz w:val="24"/>
          <w:szCs w:val="24"/>
          <w14:textFill>
            <w14:solidFill>
              <w14:schemeClr w14:val="tx1"/>
            </w14:solidFill>
          </w14:textFill>
        </w:rPr>
        <w:t>的有关规定。</w:t>
      </w:r>
    </w:p>
    <w:p w14:paraId="7DDFE2B7">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2.4</w:t>
      </w:r>
      <w:r>
        <w:rPr>
          <w:rFonts w:ascii="Times New Roman" w:hAnsi="Times New Roman"/>
          <w:bCs w:val="0"/>
          <w:color w:val="000000" w:themeColor="text1"/>
          <w:kern w:val="2"/>
          <w:szCs w:val="24"/>
          <w14:textFill>
            <w14:solidFill>
              <w14:schemeClr w14:val="tx1"/>
            </w14:solidFill>
          </w14:textFill>
        </w:rPr>
        <w:t>.3.5风险源识别标准</w:t>
      </w:r>
    </w:p>
    <w:p w14:paraId="3BBDDEF1">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本项目矿</w:t>
      </w:r>
      <w:r>
        <w:rPr>
          <w:rFonts w:hint="eastAsia"/>
          <w:color w:val="000000" w:themeColor="text1"/>
          <w:sz w:val="24"/>
          <w:szCs w:val="24"/>
          <w:lang w:eastAsia="zh-CN"/>
          <w14:textFill>
            <w14:solidFill>
              <w14:schemeClr w14:val="tx1"/>
            </w14:solidFill>
          </w14:textFill>
        </w:rPr>
        <w:t>区</w:t>
      </w:r>
      <w:r>
        <w:rPr>
          <w:rFonts w:hint="eastAsia"/>
          <w:color w:val="000000" w:themeColor="text1"/>
          <w:sz w:val="24"/>
          <w:szCs w:val="24"/>
          <w14:textFill>
            <w14:solidFill>
              <w14:schemeClr w14:val="tx1"/>
            </w14:solidFill>
          </w14:textFill>
        </w:rPr>
        <w:t>配套</w:t>
      </w:r>
      <w:r>
        <w:rPr>
          <w:rFonts w:hint="eastAsia"/>
          <w:color w:val="000000" w:themeColor="text1"/>
          <w:sz w:val="24"/>
          <w:szCs w:val="24"/>
          <w:lang w:eastAsia="zh-CN"/>
          <w14:textFill>
            <w14:solidFill>
              <w14:schemeClr w14:val="tx1"/>
            </w14:solidFill>
          </w14:textFill>
        </w:rPr>
        <w:t>建设油库、</w:t>
      </w:r>
      <w:r>
        <w:rPr>
          <w:rFonts w:hint="eastAsia"/>
          <w:color w:val="000000" w:themeColor="text1"/>
          <w:sz w:val="24"/>
          <w:szCs w:val="24"/>
          <w:lang w:val="en-US" w:eastAsia="zh-CN"/>
          <w14:textFill>
            <w14:solidFill>
              <w14:schemeClr w14:val="tx1"/>
            </w14:solidFill>
          </w14:textFill>
        </w:rPr>
        <w:t>爆破器材库</w:t>
      </w:r>
      <w:r>
        <w:rPr>
          <w:rFonts w:hint="eastAsia"/>
          <w:color w:val="000000" w:themeColor="text1"/>
          <w:sz w:val="24"/>
          <w:szCs w:val="24"/>
          <w:lang w:eastAsia="zh-CN"/>
          <w14:textFill>
            <w14:solidFill>
              <w14:schemeClr w14:val="tx1"/>
            </w14:solidFill>
          </w14:textFill>
        </w:rPr>
        <w:t>及危废贮存点。</w:t>
      </w:r>
      <w:r>
        <w:rPr>
          <w:rFonts w:hint="eastAsia"/>
          <w:color w:val="000000" w:themeColor="text1"/>
          <w:sz w:val="24"/>
          <w:szCs w:val="24"/>
          <w14:textFill>
            <w14:solidFill>
              <w14:schemeClr w14:val="tx1"/>
            </w14:solidFill>
          </w14:textFill>
        </w:rPr>
        <w:t>爆破器材库</w:t>
      </w:r>
      <w:r>
        <w:rPr>
          <w:color w:val="000000" w:themeColor="text1"/>
          <w:sz w:val="24"/>
          <w:szCs w:val="24"/>
          <w14:textFill>
            <w14:solidFill>
              <w14:schemeClr w14:val="tx1"/>
            </w14:solidFill>
          </w14:textFill>
        </w:rPr>
        <w:t>储存炸药、雷管等爆破材料，</w:t>
      </w:r>
      <w:r>
        <w:rPr>
          <w:color w:val="000000" w:themeColor="text1"/>
          <w:sz w:val="24"/>
          <w14:textFill>
            <w14:solidFill>
              <w14:schemeClr w14:val="tx1"/>
            </w14:solidFill>
          </w14:textFill>
        </w:rPr>
        <w:t>最大储存量为30t，危险物质以硝酸铵计</w:t>
      </w:r>
      <w:r>
        <w:rPr>
          <w:rFonts w:hint="eastAsia"/>
          <w:color w:val="000000" w:themeColor="text1"/>
          <w:sz w:val="24"/>
          <w:szCs w:val="24"/>
          <w:lang w:eastAsia="zh-CN"/>
          <w14:textFill>
            <w14:solidFill>
              <w14:schemeClr w14:val="tx1"/>
            </w14:solidFill>
          </w14:textFill>
        </w:rPr>
        <w:t>；油库柴油最大</w:t>
      </w:r>
      <w:r>
        <w:rPr>
          <w:color w:val="000000" w:themeColor="text1"/>
          <w:sz w:val="24"/>
          <w14:textFill>
            <w14:solidFill>
              <w14:schemeClr w14:val="tx1"/>
            </w14:solidFill>
          </w14:textFill>
        </w:rPr>
        <w:t>储存量为</w:t>
      </w:r>
      <w:r>
        <w:rPr>
          <w:rFonts w:hint="eastAsia"/>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t</w:t>
      </w:r>
      <w:r>
        <w:rPr>
          <w:rFonts w:hint="eastAsia"/>
          <w:color w:val="000000" w:themeColor="text1"/>
          <w:sz w:val="24"/>
          <w:lang w:eastAsia="zh-CN"/>
          <w14:textFill>
            <w14:solidFill>
              <w14:schemeClr w14:val="tx1"/>
            </w14:solidFill>
          </w14:textFill>
        </w:rPr>
        <w:t>，危废贮存点</w:t>
      </w:r>
      <w:r>
        <w:rPr>
          <w:rFonts w:hint="eastAsia"/>
          <w:color w:val="000000" w:themeColor="text1"/>
          <w:sz w:val="24"/>
          <w:szCs w:val="28"/>
          <w14:textFill>
            <w14:solidFill>
              <w14:schemeClr w14:val="tx1"/>
            </w14:solidFill>
          </w14:textFill>
        </w:rPr>
        <w:t>废矿物油</w:t>
      </w:r>
      <w:r>
        <w:rPr>
          <w:rFonts w:hint="eastAsia"/>
          <w:color w:val="000000" w:themeColor="text1"/>
          <w:sz w:val="24"/>
          <w:lang w:eastAsia="zh-CN"/>
          <w14:textFill>
            <w14:solidFill>
              <w14:schemeClr w14:val="tx1"/>
            </w14:solidFill>
          </w14:textFill>
        </w:rPr>
        <w:t>最大储存量为</w:t>
      </w:r>
      <w:r>
        <w:rPr>
          <w:rFonts w:hint="eastAsia"/>
          <w:color w:val="000000" w:themeColor="text1"/>
          <w:sz w:val="24"/>
          <w:lang w:val="en-US" w:eastAsia="zh-CN"/>
          <w14:textFill>
            <w14:solidFill>
              <w14:schemeClr w14:val="tx1"/>
            </w14:solidFill>
          </w14:textFill>
        </w:rPr>
        <w:t>1t</w:t>
      </w:r>
      <w:r>
        <w:rPr>
          <w:rFonts w:hint="eastAsia"/>
          <w:color w:val="000000" w:themeColor="text1"/>
          <w:sz w:val="24"/>
          <w:lang w:eastAsia="zh-CN"/>
          <w14:textFill>
            <w14:solidFill>
              <w14:schemeClr w14:val="tx1"/>
            </w14:solidFill>
          </w14:textFill>
        </w:rPr>
        <w:t>。</w:t>
      </w:r>
      <w:r>
        <w:rPr>
          <w:color w:val="000000" w:themeColor="text1"/>
          <w:sz w:val="24"/>
          <w:szCs w:val="24"/>
          <w14:textFill>
            <w14:solidFill>
              <w14:schemeClr w14:val="tx1"/>
            </w14:solidFill>
          </w14:textFill>
        </w:rPr>
        <w:t>因此涉及危险物质主要是</w:t>
      </w:r>
      <w:r>
        <w:rPr>
          <w:color w:val="000000" w:themeColor="text1"/>
          <w:sz w:val="24"/>
          <w14:textFill>
            <w14:solidFill>
              <w14:schemeClr w14:val="tx1"/>
            </w14:solidFill>
          </w14:textFill>
        </w:rPr>
        <w:t>炸药</w:t>
      </w:r>
      <w:r>
        <w:rPr>
          <w:rFonts w:hint="eastAsia"/>
          <w:color w:val="000000" w:themeColor="text1"/>
          <w:sz w:val="24"/>
          <w:lang w:eastAsia="zh-CN"/>
          <w14:textFill>
            <w14:solidFill>
              <w14:schemeClr w14:val="tx1"/>
            </w14:solidFill>
          </w14:textFill>
        </w:rPr>
        <w:t>（硝酸铵）</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柴油及</w:t>
      </w:r>
      <w:r>
        <w:rPr>
          <w:rFonts w:hint="eastAsia"/>
          <w:color w:val="000000" w:themeColor="text1"/>
          <w:sz w:val="24"/>
          <w:szCs w:val="28"/>
          <w14:textFill>
            <w14:solidFill>
              <w14:schemeClr w14:val="tx1"/>
            </w14:solidFill>
          </w14:textFill>
        </w:rPr>
        <w:t>废矿物油</w:t>
      </w:r>
      <w:r>
        <w:rPr>
          <w:color w:val="000000" w:themeColor="text1"/>
          <w:sz w:val="24"/>
          <w:szCs w:val="24"/>
          <w14:textFill>
            <w14:solidFill>
              <w14:schemeClr w14:val="tx1"/>
            </w14:solidFill>
          </w14:textFill>
        </w:rPr>
        <w:t>，本次评价根据《建设项目环境风险评价技术导则》（HJ169-2018），对本项目进行环境风险源潜势判定。</w:t>
      </w:r>
    </w:p>
    <w:p w14:paraId="6FED8214">
      <w:pPr>
        <w:pStyle w:val="3"/>
        <w:jc w:val="left"/>
        <w:rPr>
          <w:bCs/>
          <w:color w:val="000000" w:themeColor="text1"/>
          <w:kern w:val="2"/>
          <w:szCs w:val="32"/>
          <w14:textFill>
            <w14:solidFill>
              <w14:schemeClr w14:val="tx1"/>
            </w14:solidFill>
          </w14:textFill>
        </w:rPr>
      </w:pPr>
      <w:bookmarkStart w:id="165" w:name="_Toc13937"/>
      <w:bookmarkStart w:id="166" w:name="_Toc24262"/>
      <w:bookmarkStart w:id="167" w:name="_Toc26895"/>
      <w:bookmarkStart w:id="168" w:name="_Toc28413"/>
      <w:bookmarkStart w:id="169" w:name="_Toc30683"/>
      <w:bookmarkStart w:id="170" w:name="_Toc111767543"/>
      <w:bookmarkStart w:id="171" w:name="_Toc1534436780"/>
      <w:bookmarkStart w:id="172" w:name="_Toc30732"/>
      <w:r>
        <w:rPr>
          <w:bCs/>
          <w:color w:val="000000" w:themeColor="text1"/>
          <w:kern w:val="2"/>
          <w:szCs w:val="32"/>
          <w14:textFill>
            <w14:solidFill>
              <w14:schemeClr w14:val="tx1"/>
            </w14:solidFill>
          </w14:textFill>
        </w:rPr>
        <w:t>2.</w:t>
      </w:r>
      <w:r>
        <w:rPr>
          <w:rFonts w:hint="eastAsia"/>
          <w:bCs/>
          <w:color w:val="000000" w:themeColor="text1"/>
          <w:kern w:val="2"/>
          <w:szCs w:val="32"/>
          <w14:textFill>
            <w14:solidFill>
              <w14:schemeClr w14:val="tx1"/>
            </w14:solidFill>
          </w14:textFill>
        </w:rPr>
        <w:t>5</w:t>
      </w:r>
      <w:r>
        <w:rPr>
          <w:bCs/>
          <w:color w:val="000000" w:themeColor="text1"/>
          <w:kern w:val="2"/>
          <w:szCs w:val="32"/>
          <w14:textFill>
            <w14:solidFill>
              <w14:schemeClr w14:val="tx1"/>
            </w14:solidFill>
          </w14:textFill>
        </w:rPr>
        <w:t>评价等级和评价范围</w:t>
      </w:r>
      <w:bookmarkEnd w:id="165"/>
      <w:bookmarkEnd w:id="166"/>
      <w:bookmarkEnd w:id="167"/>
      <w:bookmarkEnd w:id="168"/>
      <w:bookmarkEnd w:id="169"/>
      <w:bookmarkEnd w:id="170"/>
      <w:bookmarkEnd w:id="171"/>
      <w:bookmarkEnd w:id="172"/>
    </w:p>
    <w:p w14:paraId="40E5820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结合本项目污染源特征分析和所处区域的自然环境状况，按照环境影响评价技术导则，确定各单元环境影响评价工作等级</w:t>
      </w:r>
      <w:r>
        <w:rPr>
          <w:rFonts w:hint="eastAsia"/>
          <w:color w:val="000000" w:themeColor="text1"/>
          <w:sz w:val="24"/>
          <w:szCs w:val="24"/>
          <w14:textFill>
            <w14:solidFill>
              <w14:schemeClr w14:val="tx1"/>
            </w14:solidFill>
          </w14:textFill>
        </w:rPr>
        <w:t>及评价范围</w:t>
      </w:r>
      <w:r>
        <w:rPr>
          <w:color w:val="000000" w:themeColor="text1"/>
          <w:sz w:val="24"/>
          <w:szCs w:val="24"/>
          <w14:textFill>
            <w14:solidFill>
              <w14:schemeClr w14:val="tx1"/>
            </w14:solidFill>
          </w14:textFill>
        </w:rPr>
        <w:t>如下：</w:t>
      </w:r>
    </w:p>
    <w:p w14:paraId="6882EDA1">
      <w:pPr>
        <w:pStyle w:val="4"/>
        <w:spacing w:before="60" w:after="60" w:line="480" w:lineRule="exact"/>
        <w:rPr>
          <w:color w:val="000000" w:themeColor="text1"/>
          <w:kern w:val="2"/>
          <w14:textFill>
            <w14:solidFill>
              <w14:schemeClr w14:val="tx1"/>
            </w14:solidFill>
          </w14:textFill>
        </w:rPr>
      </w:pPr>
      <w:bookmarkStart w:id="173" w:name="_Toc23922"/>
      <w:bookmarkStart w:id="174" w:name="_Toc26883"/>
      <w:bookmarkStart w:id="175" w:name="_Toc30127"/>
      <w:bookmarkStart w:id="176" w:name="_Toc12012"/>
      <w:bookmarkStart w:id="177" w:name="_Toc147844637"/>
      <w:bookmarkStart w:id="178" w:name="_Toc12358"/>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5</w:t>
      </w:r>
      <w:r>
        <w:rPr>
          <w:color w:val="000000" w:themeColor="text1"/>
          <w:kern w:val="2"/>
          <w14:textFill>
            <w14:solidFill>
              <w14:schemeClr w14:val="tx1"/>
            </w14:solidFill>
          </w14:textFill>
        </w:rPr>
        <w:t>.1环境空气评价等级和评价范围</w:t>
      </w:r>
      <w:bookmarkEnd w:id="173"/>
      <w:bookmarkEnd w:id="174"/>
      <w:bookmarkEnd w:id="175"/>
      <w:bookmarkEnd w:id="176"/>
      <w:bookmarkEnd w:id="177"/>
      <w:bookmarkEnd w:id="178"/>
    </w:p>
    <w:p w14:paraId="0AFC4462">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依据《环境影响评价技术导则 大气环境》（HJ2.2-2018）中大气环境影响评价工作等级划分原则的规定，计算污染物的最大地面浓度占标率Pi（第i个污染物），及第i个污染物的地面空气质量浓度达到标准值的10%时所对应的最远距离D</w:t>
      </w:r>
      <w:r>
        <w:rPr>
          <w:color w:val="000000" w:themeColor="text1"/>
          <w:sz w:val="24"/>
          <w:szCs w:val="24"/>
          <w:vertAlign w:val="subscript"/>
          <w14:textFill>
            <w14:solidFill>
              <w14:schemeClr w14:val="tx1"/>
            </w14:solidFill>
          </w14:textFill>
        </w:rPr>
        <w:t>10%</w:t>
      </w:r>
      <w:r>
        <w:rPr>
          <w:color w:val="000000" w:themeColor="text1"/>
          <w:sz w:val="24"/>
          <w:szCs w:val="24"/>
          <w14:textFill>
            <w14:solidFill>
              <w14:schemeClr w14:val="tx1"/>
            </w14:solidFill>
          </w14:textFill>
        </w:rPr>
        <w:t>。其中Pi定义为：</w:t>
      </w:r>
    </w:p>
    <w:p w14:paraId="51C05B52">
      <w:pPr>
        <w:jc w:val="center"/>
        <w:rPr>
          <w:color w:val="000000" w:themeColor="text1"/>
          <w:sz w:val="24"/>
          <w:szCs w:val="24"/>
          <w14:textFill>
            <w14:solidFill>
              <w14:schemeClr w14:val="tx1"/>
            </w14:solidFill>
          </w14:textFill>
        </w:rPr>
      </w:pPr>
      <w:r>
        <w:rPr>
          <w:color w:val="000000" w:themeColor="text1"/>
          <w:position w:val="-30"/>
          <w14:textFill>
            <w14:solidFill>
              <w14:schemeClr w14:val="tx1"/>
            </w14:solidFill>
          </w14:textFill>
        </w:rPr>
        <w:object>
          <v:shape id="_x0000_i1025" o:spt="75" type="#_x0000_t75" style="height:33.45pt;width:76.6pt;" o:ole="t" filled="f" o:preferrelative="t" stroked="f" coordsize="21600,21600">
            <v:path/>
            <v:fill on="f" focussize="0,0"/>
            <v:stroke on="f"/>
            <v:imagedata r:id="rId37" o:title=""/>
            <o:lock v:ext="edit" aspectratio="t"/>
            <w10:wrap type="none"/>
            <w10:anchorlock/>
          </v:shape>
          <o:OLEObject Type="Embed" ProgID="Equation.3" ShapeID="_x0000_i1025" DrawAspect="Content" ObjectID="_1468075725" r:id="rId36">
            <o:LockedField>false</o:LockedField>
          </o:OLEObject>
        </w:object>
      </w:r>
    </w:p>
    <w:p w14:paraId="3A302BAA">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式中：P</w:t>
      </w:r>
      <w:r>
        <w:rPr>
          <w:color w:val="000000" w:themeColor="text1"/>
          <w:sz w:val="24"/>
          <w:szCs w:val="24"/>
          <w:vertAlign w:val="subscript"/>
          <w14:textFill>
            <w14:solidFill>
              <w14:schemeClr w14:val="tx1"/>
            </w14:solidFill>
          </w14:textFill>
        </w:rPr>
        <w:t>i</w:t>
      </w:r>
      <w:r>
        <w:rPr>
          <w:color w:val="000000" w:themeColor="text1"/>
          <w:sz w:val="24"/>
          <w:szCs w:val="24"/>
          <w14:textFill>
            <w14:solidFill>
              <w14:schemeClr w14:val="tx1"/>
            </w14:solidFill>
          </w14:textFill>
        </w:rPr>
        <w:t>—第i个污染物的最大地面空气质量浓度占标率，%；</w:t>
      </w:r>
    </w:p>
    <w:p w14:paraId="4A8EFD88">
      <w:pPr>
        <w:spacing w:line="480" w:lineRule="exact"/>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w:t>
      </w:r>
      <w:r>
        <w:rPr>
          <w:color w:val="000000" w:themeColor="text1"/>
          <w:sz w:val="24"/>
          <w:szCs w:val="24"/>
          <w:vertAlign w:val="subscript"/>
          <w14:textFill>
            <w14:solidFill>
              <w14:schemeClr w14:val="tx1"/>
            </w14:solidFill>
          </w14:textFill>
        </w:rPr>
        <w:t>i</w:t>
      </w:r>
      <w:r>
        <w:rPr>
          <w:color w:val="000000" w:themeColor="text1"/>
          <w:sz w:val="24"/>
          <w:szCs w:val="24"/>
          <w14:textFill>
            <w14:solidFill>
              <w14:schemeClr w14:val="tx1"/>
            </w14:solidFill>
          </w14:textFill>
        </w:rPr>
        <w:t>—采用估算模型计算出的第i个污染物的最大1h地面空气质量浓度，μg/m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w:t>
      </w:r>
    </w:p>
    <w:p w14:paraId="39212B3D">
      <w:pPr>
        <w:spacing w:line="480" w:lineRule="exact"/>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w:t>
      </w:r>
      <w:r>
        <w:rPr>
          <w:color w:val="000000" w:themeColor="text1"/>
          <w:sz w:val="24"/>
          <w:szCs w:val="24"/>
          <w:vertAlign w:val="subscript"/>
          <w14:textFill>
            <w14:solidFill>
              <w14:schemeClr w14:val="tx1"/>
            </w14:solidFill>
          </w14:textFill>
        </w:rPr>
        <w:t>oi</w:t>
      </w:r>
      <w:r>
        <w:rPr>
          <w:color w:val="000000" w:themeColor="text1"/>
          <w:sz w:val="24"/>
          <w:szCs w:val="24"/>
          <w14:textFill>
            <w14:solidFill>
              <w14:schemeClr w14:val="tx1"/>
            </w14:solidFill>
          </w14:textFill>
        </w:rPr>
        <w:t>—第i个污染物的环境空气质量浓度标准，μg/m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w:t>
      </w:r>
    </w:p>
    <w:p w14:paraId="6A3B28D3">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评价工作等级按表2.</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-1的分级判据进行划分。</w:t>
      </w:r>
    </w:p>
    <w:p w14:paraId="63F796E5">
      <w:pPr>
        <w:pStyle w:val="183"/>
        <w:widowControl w:val="0"/>
        <w:spacing w:after="0" w:line="480" w:lineRule="exact"/>
        <w:ind w:firstLine="0" w:firstLineChars="0"/>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表2.</w:t>
      </w:r>
      <w:r>
        <w:rPr>
          <w:rFonts w:hint="eastAsia" w:ascii="Times New Roman" w:hAnsi="Times New Roman" w:eastAsia="宋体"/>
          <w:b/>
          <w:bCs/>
          <w:color w:val="000000" w:themeColor="text1"/>
          <w:sz w:val="24"/>
          <w:szCs w:val="24"/>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-1    评价工作等级划分表</w:t>
      </w:r>
    </w:p>
    <w:tbl>
      <w:tblPr>
        <w:tblStyle w:val="7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59"/>
        <w:gridCol w:w="4261"/>
      </w:tblGrid>
      <w:tr w14:paraId="74F55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99" w:type="pct"/>
            <w:noWrap w:val="0"/>
            <w:vAlign w:val="center"/>
          </w:tcPr>
          <w:p w14:paraId="1FFA2B6E">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评价工作等级</w:t>
            </w:r>
          </w:p>
        </w:tc>
        <w:tc>
          <w:tcPr>
            <w:tcW w:w="2500" w:type="pct"/>
            <w:noWrap w:val="0"/>
            <w:vAlign w:val="center"/>
          </w:tcPr>
          <w:p w14:paraId="11F86347">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评价工作分级判据</w:t>
            </w:r>
          </w:p>
        </w:tc>
      </w:tr>
      <w:tr w14:paraId="57001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99" w:type="pct"/>
            <w:noWrap w:val="0"/>
            <w:vAlign w:val="center"/>
          </w:tcPr>
          <w:p w14:paraId="438A7D52">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一级评价</w:t>
            </w:r>
          </w:p>
        </w:tc>
        <w:tc>
          <w:tcPr>
            <w:tcW w:w="2500" w:type="pct"/>
            <w:noWrap w:val="0"/>
            <w:vAlign w:val="center"/>
          </w:tcPr>
          <w:p w14:paraId="028EDB47">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P</w:t>
            </w:r>
            <w:r>
              <w:rPr>
                <w:rFonts w:ascii="Times New Roman" w:hAnsi="Times New Roman" w:eastAsia="宋体"/>
                <w:color w:val="000000" w:themeColor="text1"/>
                <w:sz w:val="21"/>
                <w:vertAlign w:val="subscript"/>
                <w14:textFill>
                  <w14:solidFill>
                    <w14:schemeClr w14:val="tx1"/>
                  </w14:solidFill>
                </w14:textFill>
              </w:rPr>
              <w:t>max</w:t>
            </w:r>
            <w:r>
              <w:rPr>
                <w:rFonts w:ascii="Times New Roman" w:hAnsi="Times New Roman" w:eastAsia="宋体"/>
                <w:color w:val="000000" w:themeColor="text1"/>
                <w:sz w:val="21"/>
                <w14:textFill>
                  <w14:solidFill>
                    <w14:schemeClr w14:val="tx1"/>
                  </w14:solidFill>
                </w14:textFill>
              </w:rPr>
              <w:t>≥10%</w:t>
            </w:r>
          </w:p>
        </w:tc>
      </w:tr>
      <w:tr w14:paraId="5D444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99" w:type="pct"/>
            <w:noWrap w:val="0"/>
            <w:vAlign w:val="center"/>
          </w:tcPr>
          <w:p w14:paraId="6730BEA7">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二级评价</w:t>
            </w:r>
          </w:p>
        </w:tc>
        <w:tc>
          <w:tcPr>
            <w:tcW w:w="2500" w:type="pct"/>
            <w:noWrap w:val="0"/>
            <w:vAlign w:val="center"/>
          </w:tcPr>
          <w:p w14:paraId="16D95414">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1%≤P</w:t>
            </w:r>
            <w:r>
              <w:rPr>
                <w:rFonts w:ascii="Times New Roman" w:hAnsi="Times New Roman" w:eastAsia="宋体"/>
                <w:color w:val="000000" w:themeColor="text1"/>
                <w:sz w:val="21"/>
                <w:vertAlign w:val="subscript"/>
                <w14:textFill>
                  <w14:solidFill>
                    <w14:schemeClr w14:val="tx1"/>
                  </w14:solidFill>
                </w14:textFill>
              </w:rPr>
              <w:t>max</w:t>
            </w:r>
            <w:r>
              <w:rPr>
                <w:rFonts w:ascii="Times New Roman" w:hAnsi="Times New Roman" w:eastAsia="宋体"/>
                <w:color w:val="000000" w:themeColor="text1"/>
                <w:sz w:val="21"/>
                <w14:textFill>
                  <w14:solidFill>
                    <w14:schemeClr w14:val="tx1"/>
                  </w14:solidFill>
                </w14:textFill>
              </w:rPr>
              <w:t>＜10%</w:t>
            </w:r>
          </w:p>
        </w:tc>
      </w:tr>
      <w:tr w14:paraId="55C2C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99" w:type="pct"/>
            <w:noWrap w:val="0"/>
            <w:vAlign w:val="center"/>
          </w:tcPr>
          <w:p w14:paraId="0C4CF76D">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三级评价</w:t>
            </w:r>
          </w:p>
        </w:tc>
        <w:tc>
          <w:tcPr>
            <w:tcW w:w="2500" w:type="pct"/>
            <w:noWrap w:val="0"/>
            <w:vAlign w:val="center"/>
          </w:tcPr>
          <w:p w14:paraId="02A5A3D7">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P</w:t>
            </w:r>
            <w:r>
              <w:rPr>
                <w:rFonts w:ascii="Times New Roman" w:hAnsi="Times New Roman" w:eastAsia="宋体"/>
                <w:color w:val="000000" w:themeColor="text1"/>
                <w:sz w:val="21"/>
                <w:vertAlign w:val="subscript"/>
                <w14:textFill>
                  <w14:solidFill>
                    <w14:schemeClr w14:val="tx1"/>
                  </w14:solidFill>
                </w14:textFill>
              </w:rPr>
              <w:t>max</w:t>
            </w:r>
            <w:r>
              <w:rPr>
                <w:rFonts w:ascii="Times New Roman" w:hAnsi="Times New Roman" w:eastAsia="宋体"/>
                <w:color w:val="000000" w:themeColor="text1"/>
                <w:sz w:val="21"/>
                <w14:textFill>
                  <w14:solidFill>
                    <w14:schemeClr w14:val="tx1"/>
                  </w14:solidFill>
                </w14:textFill>
              </w:rPr>
              <w:t>＜1%</w:t>
            </w:r>
          </w:p>
        </w:tc>
      </w:tr>
    </w:tbl>
    <w:p w14:paraId="667FD6EC">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选取本项目大气污染物</w:t>
      </w:r>
      <w:r>
        <w:rPr>
          <w:rFonts w:hint="eastAsia"/>
          <w:color w:val="000000" w:themeColor="text1"/>
          <w:sz w:val="24"/>
          <w14:textFill>
            <w14:solidFill>
              <w14:schemeClr w14:val="tx1"/>
            </w14:solidFill>
          </w14:textFill>
        </w:rPr>
        <w:t>颗粒物</w:t>
      </w:r>
      <w:r>
        <w:rPr>
          <w:color w:val="000000" w:themeColor="text1"/>
          <w:sz w:val="24"/>
          <w14:textFill>
            <w14:solidFill>
              <w14:schemeClr w14:val="tx1"/>
            </w14:solidFill>
          </w14:textFill>
        </w:rPr>
        <w:t>，利用AERSCREEN估算模式计算其最大地面浓度占标率，并最终确定评价工作等级。估算模型参数表见表2.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-2，2.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-3。主要污染源估算模型计算结果见表2.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-4。</w:t>
      </w:r>
    </w:p>
    <w:p w14:paraId="014DBEFA">
      <w:pPr>
        <w:pStyle w:val="183"/>
        <w:widowControl w:val="0"/>
        <w:spacing w:after="0" w:line="480" w:lineRule="exact"/>
        <w:ind w:firstLine="0" w:firstLineChars="0"/>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表2.</w:t>
      </w:r>
      <w:r>
        <w:rPr>
          <w:rFonts w:hint="eastAsia" w:ascii="Times New Roman" w:hAnsi="Times New Roman" w:eastAsia="宋体"/>
          <w:b/>
          <w:bCs/>
          <w:color w:val="000000" w:themeColor="text1"/>
          <w:sz w:val="24"/>
          <w:szCs w:val="24"/>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-2    估算模型参数表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60"/>
        <w:gridCol w:w="2686"/>
        <w:gridCol w:w="3173"/>
      </w:tblGrid>
      <w:tr w14:paraId="1D829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137" w:type="pct"/>
            <w:gridSpan w:val="2"/>
            <w:noWrap w:val="0"/>
            <w:vAlign w:val="center"/>
          </w:tcPr>
          <w:p w14:paraId="43BEC6D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参数</w:t>
            </w:r>
          </w:p>
        </w:tc>
        <w:tc>
          <w:tcPr>
            <w:tcW w:w="1862" w:type="pct"/>
            <w:noWrap w:val="0"/>
            <w:vAlign w:val="center"/>
          </w:tcPr>
          <w:p w14:paraId="30C93D2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取值</w:t>
            </w:r>
          </w:p>
        </w:tc>
      </w:tr>
      <w:tr w14:paraId="029BE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1" w:type="pct"/>
            <w:vMerge w:val="restart"/>
            <w:noWrap w:val="0"/>
            <w:vAlign w:val="center"/>
          </w:tcPr>
          <w:p w14:paraId="099F61A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城市/农村选项</w:t>
            </w:r>
          </w:p>
        </w:tc>
        <w:tc>
          <w:tcPr>
            <w:tcW w:w="1576" w:type="pct"/>
            <w:noWrap w:val="0"/>
            <w:vAlign w:val="center"/>
          </w:tcPr>
          <w:p w14:paraId="0AD1457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城市/农村</w:t>
            </w:r>
          </w:p>
        </w:tc>
        <w:tc>
          <w:tcPr>
            <w:tcW w:w="1862" w:type="pct"/>
            <w:noWrap w:val="0"/>
            <w:vAlign w:val="center"/>
          </w:tcPr>
          <w:p w14:paraId="28872E5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农村</w:t>
            </w:r>
          </w:p>
        </w:tc>
      </w:tr>
      <w:tr w14:paraId="7096F8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1" w:type="pct"/>
            <w:vMerge w:val="continue"/>
            <w:noWrap w:val="0"/>
            <w:vAlign w:val="center"/>
          </w:tcPr>
          <w:p w14:paraId="20C9D5E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576" w:type="pct"/>
            <w:noWrap w:val="0"/>
            <w:vAlign w:val="center"/>
          </w:tcPr>
          <w:p w14:paraId="1933057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人口数（城市选项时）</w:t>
            </w:r>
          </w:p>
        </w:tc>
        <w:tc>
          <w:tcPr>
            <w:tcW w:w="1862" w:type="pct"/>
            <w:noWrap w:val="0"/>
            <w:vAlign w:val="center"/>
          </w:tcPr>
          <w:p w14:paraId="0DB1907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r>
      <w:tr w14:paraId="4C020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37" w:type="pct"/>
            <w:gridSpan w:val="2"/>
            <w:noWrap w:val="0"/>
            <w:vAlign w:val="center"/>
          </w:tcPr>
          <w:p w14:paraId="5D70C7AB">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最高环境温度/℃</w:t>
            </w:r>
          </w:p>
        </w:tc>
        <w:tc>
          <w:tcPr>
            <w:tcW w:w="1862" w:type="pct"/>
            <w:noWrap w:val="0"/>
            <w:vAlign w:val="top"/>
          </w:tcPr>
          <w:p w14:paraId="431121E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43.2</w:t>
            </w:r>
          </w:p>
        </w:tc>
      </w:tr>
      <w:tr w14:paraId="5E49B2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37" w:type="pct"/>
            <w:gridSpan w:val="2"/>
            <w:noWrap w:val="0"/>
            <w:vAlign w:val="center"/>
          </w:tcPr>
          <w:p w14:paraId="6520EE7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最低环境温度/℃</w:t>
            </w:r>
          </w:p>
        </w:tc>
        <w:tc>
          <w:tcPr>
            <w:tcW w:w="1862" w:type="pct"/>
            <w:noWrap w:val="0"/>
            <w:vAlign w:val="top"/>
          </w:tcPr>
          <w:p w14:paraId="58F6ABBB">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-28.9</w:t>
            </w:r>
          </w:p>
        </w:tc>
      </w:tr>
      <w:tr w14:paraId="2A69B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37" w:type="pct"/>
            <w:gridSpan w:val="2"/>
            <w:noWrap w:val="0"/>
            <w:vAlign w:val="center"/>
          </w:tcPr>
          <w:p w14:paraId="20F7B85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土地利用类型</w:t>
            </w:r>
          </w:p>
        </w:tc>
        <w:tc>
          <w:tcPr>
            <w:tcW w:w="1862" w:type="pct"/>
            <w:noWrap w:val="0"/>
            <w:vAlign w:val="center"/>
          </w:tcPr>
          <w:p w14:paraId="06506C14">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沙漠化荒地</w:t>
            </w:r>
          </w:p>
        </w:tc>
      </w:tr>
      <w:tr w14:paraId="5B13A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37" w:type="pct"/>
            <w:gridSpan w:val="2"/>
            <w:noWrap w:val="0"/>
            <w:vAlign w:val="center"/>
          </w:tcPr>
          <w:p w14:paraId="294BFB9D">
            <w:pPr>
              <w:pStyle w:val="651"/>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区域湿度条件</w:t>
            </w:r>
          </w:p>
        </w:tc>
        <w:tc>
          <w:tcPr>
            <w:tcW w:w="1862" w:type="pct"/>
            <w:noWrap w:val="0"/>
            <w:vAlign w:val="center"/>
          </w:tcPr>
          <w:p w14:paraId="1EE97855">
            <w:pPr>
              <w:pStyle w:val="651"/>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干燥气候</w:t>
            </w:r>
          </w:p>
        </w:tc>
      </w:tr>
      <w:tr w14:paraId="5E879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1" w:type="pct"/>
            <w:vMerge w:val="restart"/>
            <w:noWrap w:val="0"/>
            <w:vAlign w:val="center"/>
          </w:tcPr>
          <w:p w14:paraId="140FA6D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是否考虑地形</w:t>
            </w:r>
          </w:p>
        </w:tc>
        <w:tc>
          <w:tcPr>
            <w:tcW w:w="1576" w:type="pct"/>
            <w:noWrap w:val="0"/>
            <w:vAlign w:val="center"/>
          </w:tcPr>
          <w:p w14:paraId="6F8FE7C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考虑地形</w:t>
            </w:r>
          </w:p>
        </w:tc>
        <w:tc>
          <w:tcPr>
            <w:tcW w:w="1862" w:type="pct"/>
            <w:noWrap w:val="0"/>
            <w:vAlign w:val="center"/>
          </w:tcPr>
          <w:p w14:paraId="3D83E74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是</w:t>
            </w:r>
          </w:p>
        </w:tc>
      </w:tr>
      <w:tr w14:paraId="31178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1" w:type="pct"/>
            <w:vMerge w:val="continue"/>
            <w:noWrap w:val="0"/>
            <w:vAlign w:val="center"/>
          </w:tcPr>
          <w:p w14:paraId="1E18C71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576" w:type="pct"/>
            <w:noWrap w:val="0"/>
            <w:vAlign w:val="center"/>
          </w:tcPr>
          <w:p w14:paraId="349CC83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地形数据分辨率/m</w:t>
            </w:r>
          </w:p>
        </w:tc>
        <w:tc>
          <w:tcPr>
            <w:tcW w:w="1862" w:type="pct"/>
            <w:noWrap w:val="0"/>
            <w:vAlign w:val="center"/>
          </w:tcPr>
          <w:p w14:paraId="26C7FA0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90</w:t>
            </w:r>
          </w:p>
        </w:tc>
      </w:tr>
      <w:tr w14:paraId="41E44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1" w:type="pct"/>
            <w:vMerge w:val="restart"/>
            <w:noWrap w:val="0"/>
            <w:vAlign w:val="center"/>
          </w:tcPr>
          <w:p w14:paraId="79172D3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是否考虑岸线熏烟</w:t>
            </w:r>
          </w:p>
        </w:tc>
        <w:tc>
          <w:tcPr>
            <w:tcW w:w="1576" w:type="pct"/>
            <w:noWrap w:val="0"/>
            <w:vAlign w:val="center"/>
          </w:tcPr>
          <w:p w14:paraId="77BC5AA2">
            <w:pPr>
              <w:pStyle w:val="651"/>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考虑岸线熏烟</w:t>
            </w:r>
          </w:p>
        </w:tc>
        <w:tc>
          <w:tcPr>
            <w:tcW w:w="1862" w:type="pct"/>
            <w:noWrap w:val="0"/>
            <w:vAlign w:val="center"/>
          </w:tcPr>
          <w:p w14:paraId="13156C09">
            <w:pPr>
              <w:pStyle w:val="651"/>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sym w:font="Wingdings 2" w:char="00A3"/>
            </w:r>
            <w:r>
              <w:rPr>
                <w:rFonts w:hint="default" w:ascii="Times New Roman" w:hAnsi="Times New Roman" w:cs="Times New Roman"/>
                <w:color w:val="000000" w:themeColor="text1"/>
                <w:kern w:val="0"/>
                <w14:textFill>
                  <w14:solidFill>
                    <w14:schemeClr w14:val="tx1"/>
                  </w14:solidFill>
                </w14:textFill>
              </w:rPr>
              <w:t xml:space="preserve">是  </w:t>
            </w:r>
            <w:r>
              <w:rPr>
                <w:rFonts w:hint="eastAsia" w:ascii="Times New Roman" w:hAnsi="Times New Roman" w:cs="Times New Roman"/>
                <w:color w:val="000000" w:themeColor="text1"/>
                <w:kern w:val="0"/>
                <w:lang w:eastAsia="zh-CN"/>
                <w14:textFill>
                  <w14:solidFill>
                    <w14:schemeClr w14:val="tx1"/>
                  </w14:solidFill>
                </w14:textFill>
              </w:rPr>
              <w:sym w:font="Wingdings 2" w:char="0052"/>
            </w:r>
            <w:r>
              <w:rPr>
                <w:rFonts w:hint="default" w:ascii="Times New Roman" w:hAnsi="Times New Roman" w:cs="Times New Roman"/>
                <w:color w:val="000000" w:themeColor="text1"/>
                <w:kern w:val="0"/>
                <w14:textFill>
                  <w14:solidFill>
                    <w14:schemeClr w14:val="tx1"/>
                  </w14:solidFill>
                </w14:textFill>
              </w:rPr>
              <w:t>否</w:t>
            </w:r>
          </w:p>
        </w:tc>
      </w:tr>
      <w:tr w14:paraId="50FF9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1" w:type="pct"/>
            <w:vMerge w:val="continue"/>
            <w:noWrap w:val="0"/>
            <w:vAlign w:val="center"/>
          </w:tcPr>
          <w:p w14:paraId="14B8006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576" w:type="pct"/>
            <w:noWrap w:val="0"/>
            <w:vAlign w:val="center"/>
          </w:tcPr>
          <w:p w14:paraId="32E739E4">
            <w:pPr>
              <w:pStyle w:val="651"/>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岸线距离/km</w:t>
            </w:r>
          </w:p>
        </w:tc>
        <w:tc>
          <w:tcPr>
            <w:tcW w:w="1862" w:type="pct"/>
            <w:noWrap w:val="0"/>
            <w:vAlign w:val="center"/>
          </w:tcPr>
          <w:p w14:paraId="43D7BD58">
            <w:pPr>
              <w:pStyle w:val="651"/>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w:t>
            </w:r>
          </w:p>
        </w:tc>
      </w:tr>
      <w:tr w14:paraId="1B6D3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1" w:type="pct"/>
            <w:vMerge w:val="continue"/>
            <w:noWrap w:val="0"/>
            <w:vAlign w:val="center"/>
          </w:tcPr>
          <w:p w14:paraId="3F08BC5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576" w:type="pct"/>
            <w:noWrap w:val="0"/>
            <w:vAlign w:val="center"/>
          </w:tcPr>
          <w:p w14:paraId="1DAC15DA">
            <w:pPr>
              <w:pStyle w:val="651"/>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岸线方向/°</w:t>
            </w:r>
          </w:p>
        </w:tc>
        <w:tc>
          <w:tcPr>
            <w:tcW w:w="1862" w:type="pct"/>
            <w:noWrap w:val="0"/>
            <w:vAlign w:val="center"/>
          </w:tcPr>
          <w:p w14:paraId="3AC2FCAF">
            <w:pPr>
              <w:pStyle w:val="651"/>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w:t>
            </w:r>
          </w:p>
        </w:tc>
      </w:tr>
    </w:tbl>
    <w:p w14:paraId="3D094250">
      <w:pPr>
        <w:pStyle w:val="183"/>
        <w:widowControl w:val="0"/>
        <w:spacing w:after="0" w:line="480" w:lineRule="exact"/>
        <w:ind w:firstLine="0" w:firstLineChars="0"/>
        <w:rPr>
          <w:rFonts w:ascii="Times New Roman" w:hAnsi="Times New Roman" w:eastAsia="宋体"/>
          <w:b/>
          <w:bCs/>
          <w:color w:val="000000" w:themeColor="text1"/>
          <w:sz w:val="24"/>
          <w:szCs w:val="24"/>
          <w14:textFill>
            <w14:solidFill>
              <w14:schemeClr w14:val="tx1"/>
            </w14:solidFill>
          </w14:textFill>
        </w:rPr>
      </w:pPr>
    </w:p>
    <w:p w14:paraId="49C9351E">
      <w:pPr>
        <w:pStyle w:val="183"/>
        <w:widowControl w:val="0"/>
        <w:spacing w:after="0" w:line="480" w:lineRule="exact"/>
        <w:ind w:firstLine="0" w:firstLineChars="0"/>
        <w:rPr>
          <w:rFonts w:hint="eastAsia"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表2.</w:t>
      </w:r>
      <w:r>
        <w:rPr>
          <w:rFonts w:hint="eastAsia" w:ascii="Times New Roman" w:hAnsi="Times New Roman" w:eastAsia="宋体"/>
          <w:b/>
          <w:bCs/>
          <w:color w:val="000000" w:themeColor="text1"/>
          <w:sz w:val="24"/>
          <w:szCs w:val="24"/>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-3    估算模式主要计算参数一览表</w:t>
      </w:r>
    </w:p>
    <w:tbl>
      <w:tblPr>
        <w:tblStyle w:val="79"/>
        <w:tblW w:w="512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1067"/>
        <w:gridCol w:w="1067"/>
        <w:gridCol w:w="1067"/>
        <w:gridCol w:w="1070"/>
        <w:gridCol w:w="1970"/>
      </w:tblGrid>
      <w:tr w14:paraId="2A761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44" w:type="pct"/>
            <w:vMerge w:val="restart"/>
            <w:noWrap w:val="0"/>
            <w:tcMar>
              <w:left w:w="0" w:type="dxa"/>
              <w:right w:w="0" w:type="dxa"/>
            </w:tcMar>
            <w:vAlign w:val="center"/>
          </w:tcPr>
          <w:p w14:paraId="192EFF4B">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污染源名称</w:t>
            </w:r>
          </w:p>
        </w:tc>
        <w:tc>
          <w:tcPr>
            <w:tcW w:w="625" w:type="pct"/>
            <w:vMerge w:val="restart"/>
            <w:noWrap w:val="0"/>
            <w:tcMar>
              <w:left w:w="0" w:type="dxa"/>
              <w:right w:w="0" w:type="dxa"/>
            </w:tcMar>
            <w:vAlign w:val="center"/>
          </w:tcPr>
          <w:p w14:paraId="235C163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污染源</w:t>
            </w:r>
          </w:p>
          <w:p w14:paraId="28BFF72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类型</w:t>
            </w:r>
          </w:p>
        </w:tc>
        <w:tc>
          <w:tcPr>
            <w:tcW w:w="625" w:type="pct"/>
            <w:vMerge w:val="restart"/>
            <w:noWrap w:val="0"/>
            <w:tcMar>
              <w:left w:w="0" w:type="dxa"/>
              <w:right w:w="0" w:type="dxa"/>
            </w:tcMar>
            <w:vAlign w:val="center"/>
          </w:tcPr>
          <w:p w14:paraId="743B24A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评价标准</w:t>
            </w:r>
          </w:p>
          <w:p w14:paraId="66D9FBA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625" w:type="pct"/>
            <w:vMerge w:val="restart"/>
            <w:noWrap w:val="0"/>
            <w:tcMar>
              <w:left w:w="0" w:type="dxa"/>
              <w:right w:w="0" w:type="dxa"/>
            </w:tcMar>
            <w:vAlign w:val="center"/>
          </w:tcPr>
          <w:p w14:paraId="78F8449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排放速率（</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626" w:type="pct"/>
            <w:vMerge w:val="restart"/>
            <w:noWrap w:val="0"/>
            <w:tcMar>
              <w:left w:w="0" w:type="dxa"/>
              <w:right w:w="0" w:type="dxa"/>
            </w:tcMar>
            <w:vAlign w:val="center"/>
          </w:tcPr>
          <w:p w14:paraId="3F48BFF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源的释放</w:t>
            </w:r>
          </w:p>
          <w:p w14:paraId="34B0A66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高度（m）</w:t>
            </w:r>
          </w:p>
        </w:tc>
        <w:tc>
          <w:tcPr>
            <w:tcW w:w="1153" w:type="pct"/>
            <w:noWrap w:val="0"/>
            <w:tcMar>
              <w:left w:w="0" w:type="dxa"/>
              <w:right w:w="0" w:type="dxa"/>
            </w:tcMar>
            <w:vAlign w:val="center"/>
          </w:tcPr>
          <w:p w14:paraId="65A8E1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不规则面源</w:t>
            </w:r>
          </w:p>
        </w:tc>
      </w:tr>
      <w:tr w14:paraId="215E0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44" w:type="pct"/>
            <w:vMerge w:val="continue"/>
            <w:noWrap w:val="0"/>
            <w:tcMar>
              <w:left w:w="0" w:type="dxa"/>
              <w:right w:w="0" w:type="dxa"/>
            </w:tcMar>
            <w:vAlign w:val="center"/>
          </w:tcPr>
          <w:p w14:paraId="41B0E8B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625" w:type="pct"/>
            <w:vMerge w:val="continue"/>
            <w:noWrap w:val="0"/>
            <w:tcMar>
              <w:left w:w="0" w:type="dxa"/>
              <w:right w:w="0" w:type="dxa"/>
            </w:tcMar>
            <w:vAlign w:val="center"/>
          </w:tcPr>
          <w:p w14:paraId="30E5B48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625" w:type="pct"/>
            <w:vMerge w:val="continue"/>
            <w:noWrap w:val="0"/>
            <w:tcMar>
              <w:left w:w="0" w:type="dxa"/>
              <w:right w:w="0" w:type="dxa"/>
            </w:tcMar>
            <w:vAlign w:val="center"/>
          </w:tcPr>
          <w:p w14:paraId="47A304B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625" w:type="pct"/>
            <w:vMerge w:val="continue"/>
            <w:noWrap w:val="0"/>
            <w:tcMar>
              <w:left w:w="0" w:type="dxa"/>
              <w:right w:w="0" w:type="dxa"/>
            </w:tcMar>
            <w:vAlign w:val="center"/>
          </w:tcPr>
          <w:p w14:paraId="1E8B542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626" w:type="pct"/>
            <w:vMerge w:val="continue"/>
            <w:noWrap w:val="0"/>
            <w:tcMar>
              <w:left w:w="0" w:type="dxa"/>
              <w:right w:w="0" w:type="dxa"/>
            </w:tcMar>
            <w:vAlign w:val="center"/>
          </w:tcPr>
          <w:p w14:paraId="5A88BD8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olor w:val="000000" w:themeColor="text1"/>
                <w:sz w:val="21"/>
                <w:szCs w:val="21"/>
                <w14:textFill>
                  <w14:solidFill>
                    <w14:schemeClr w14:val="tx1"/>
                  </w14:solidFill>
                </w14:textFill>
              </w:rPr>
            </w:pPr>
          </w:p>
        </w:tc>
        <w:tc>
          <w:tcPr>
            <w:tcW w:w="1153" w:type="pct"/>
            <w:noWrap w:val="0"/>
            <w:tcMar>
              <w:left w:w="0" w:type="dxa"/>
              <w:right w:w="0" w:type="dxa"/>
            </w:tcMar>
            <w:vAlign w:val="center"/>
          </w:tcPr>
          <w:p w14:paraId="46BCBA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占地面积</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hm</w:t>
            </w:r>
            <w:r>
              <w:rPr>
                <w:rFonts w:hint="eastAsia"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r>
      <w:tr w14:paraId="121EB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44" w:type="pct"/>
            <w:noWrap w:val="0"/>
            <w:tcMar>
              <w:left w:w="0" w:type="dxa"/>
              <w:right w:w="0" w:type="dxa"/>
            </w:tcMar>
            <w:vAlign w:val="center"/>
          </w:tcPr>
          <w:p w14:paraId="2095582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1号</w:t>
            </w:r>
            <w:r>
              <w:rPr>
                <w:rFonts w:hint="default" w:ascii="Times New Roman" w:hAnsi="Times New Roman" w:eastAsia="宋体" w:cs="Times New Roman"/>
                <w:color w:val="000000" w:themeColor="text1"/>
                <w:sz w:val="21"/>
                <w:szCs w:val="21"/>
                <w14:textFill>
                  <w14:solidFill>
                    <w14:schemeClr w14:val="tx1"/>
                  </w14:solidFill>
                </w14:textFill>
              </w:rPr>
              <w:t>废石堆场</w:t>
            </w:r>
          </w:p>
        </w:tc>
        <w:tc>
          <w:tcPr>
            <w:tcW w:w="625" w:type="pct"/>
            <w:noWrap w:val="0"/>
            <w:tcMar>
              <w:left w:w="0" w:type="dxa"/>
              <w:right w:w="0" w:type="dxa"/>
            </w:tcMar>
            <w:vAlign w:val="center"/>
          </w:tcPr>
          <w:p w14:paraId="0F70D3C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面源</w:t>
            </w:r>
          </w:p>
        </w:tc>
        <w:tc>
          <w:tcPr>
            <w:tcW w:w="625" w:type="pct"/>
            <w:noWrap w:val="0"/>
            <w:tcMar>
              <w:left w:w="0" w:type="dxa"/>
              <w:right w:w="0" w:type="dxa"/>
            </w:tcMar>
            <w:vAlign w:val="center"/>
          </w:tcPr>
          <w:p w14:paraId="13EE2FD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0.9</w:t>
            </w:r>
          </w:p>
        </w:tc>
        <w:tc>
          <w:tcPr>
            <w:tcW w:w="625" w:type="pct"/>
            <w:noWrap w:val="0"/>
            <w:tcMar>
              <w:left w:w="0" w:type="dxa"/>
              <w:right w:w="0" w:type="dxa"/>
            </w:tcMar>
            <w:vAlign w:val="center"/>
          </w:tcPr>
          <w:p w14:paraId="232E226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0.61</w:t>
            </w:r>
          </w:p>
        </w:tc>
        <w:tc>
          <w:tcPr>
            <w:tcW w:w="626" w:type="pct"/>
            <w:noWrap w:val="0"/>
            <w:tcMar>
              <w:left w:w="0" w:type="dxa"/>
              <w:right w:w="0" w:type="dxa"/>
            </w:tcMar>
            <w:vAlign w:val="center"/>
          </w:tcPr>
          <w:p w14:paraId="1F46C1D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153" w:type="pct"/>
            <w:noWrap w:val="0"/>
            <w:tcMar>
              <w:left w:w="0" w:type="dxa"/>
              <w:right w:w="0" w:type="dxa"/>
            </w:tcMar>
            <w:vAlign w:val="center"/>
          </w:tcPr>
          <w:p w14:paraId="69683F8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3.12</w:t>
            </w:r>
          </w:p>
        </w:tc>
      </w:tr>
      <w:tr w14:paraId="29237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44" w:type="pct"/>
            <w:noWrap w:val="0"/>
            <w:tcMar>
              <w:left w:w="0" w:type="dxa"/>
              <w:right w:w="0" w:type="dxa"/>
            </w:tcMar>
            <w:vAlign w:val="center"/>
          </w:tcPr>
          <w:p w14:paraId="167CEB7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2号</w:t>
            </w:r>
            <w:r>
              <w:rPr>
                <w:rFonts w:hint="default" w:ascii="Times New Roman" w:hAnsi="Times New Roman" w:eastAsia="宋体" w:cs="Times New Roman"/>
                <w:color w:val="000000" w:themeColor="text1"/>
                <w:sz w:val="21"/>
                <w:szCs w:val="21"/>
                <w14:textFill>
                  <w14:solidFill>
                    <w14:schemeClr w14:val="tx1"/>
                  </w14:solidFill>
                </w14:textFill>
              </w:rPr>
              <w:t>废石堆场</w:t>
            </w:r>
          </w:p>
        </w:tc>
        <w:tc>
          <w:tcPr>
            <w:tcW w:w="625" w:type="pct"/>
            <w:shd w:val="clear" w:color="auto" w:fill="auto"/>
            <w:noWrap w:val="0"/>
            <w:tcMar>
              <w:left w:w="0" w:type="dxa"/>
              <w:right w:w="0" w:type="dxa"/>
            </w:tcMar>
            <w:vAlign w:val="center"/>
          </w:tcPr>
          <w:p w14:paraId="6FCE583A">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面源</w:t>
            </w:r>
          </w:p>
        </w:tc>
        <w:tc>
          <w:tcPr>
            <w:tcW w:w="625" w:type="pct"/>
            <w:shd w:val="clear" w:color="auto" w:fill="auto"/>
            <w:noWrap w:val="0"/>
            <w:tcMar>
              <w:left w:w="0" w:type="dxa"/>
              <w:right w:w="0" w:type="dxa"/>
            </w:tcMar>
            <w:vAlign w:val="center"/>
          </w:tcPr>
          <w:p w14:paraId="7444B554">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0.9</w:t>
            </w:r>
          </w:p>
        </w:tc>
        <w:tc>
          <w:tcPr>
            <w:tcW w:w="625" w:type="pct"/>
            <w:shd w:val="clear" w:color="auto" w:fill="auto"/>
            <w:noWrap w:val="0"/>
            <w:tcMar>
              <w:left w:w="0" w:type="dxa"/>
              <w:right w:w="0" w:type="dxa"/>
            </w:tcMar>
            <w:vAlign w:val="center"/>
          </w:tcPr>
          <w:p w14:paraId="0AE14711">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0.61</w:t>
            </w:r>
          </w:p>
        </w:tc>
        <w:tc>
          <w:tcPr>
            <w:tcW w:w="626" w:type="pct"/>
            <w:shd w:val="clear" w:color="auto" w:fill="auto"/>
            <w:noWrap w:val="0"/>
            <w:tcMar>
              <w:left w:w="0" w:type="dxa"/>
              <w:right w:w="0" w:type="dxa"/>
            </w:tcMar>
            <w:vAlign w:val="center"/>
          </w:tcPr>
          <w:p w14:paraId="071402E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153" w:type="pct"/>
            <w:noWrap w:val="0"/>
            <w:tcMar>
              <w:left w:w="0" w:type="dxa"/>
              <w:right w:w="0" w:type="dxa"/>
            </w:tcMar>
            <w:vAlign w:val="center"/>
          </w:tcPr>
          <w:p w14:paraId="632F255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2.24</w:t>
            </w:r>
          </w:p>
        </w:tc>
      </w:tr>
    </w:tbl>
    <w:p w14:paraId="23BDC589">
      <w:pPr>
        <w:pStyle w:val="334"/>
        <w:spacing w:line="480" w:lineRule="exact"/>
        <w:ind w:firstLine="482"/>
        <w:rPr>
          <w:rFonts w:ascii="Times New Roman" w:eastAsia="宋体"/>
          <w:color w:val="000000" w:themeColor="text1"/>
          <w14:textFill>
            <w14:solidFill>
              <w14:schemeClr w14:val="tx1"/>
            </w14:solidFill>
          </w14:textFill>
        </w:rPr>
      </w:pPr>
      <w:r>
        <w:rPr>
          <w:rFonts w:ascii="Times New Roman" w:eastAsia="宋体"/>
          <w:color w:val="000000" w:themeColor="text1"/>
          <w14:textFill>
            <w14:solidFill>
              <w14:schemeClr w14:val="tx1"/>
            </w14:solidFill>
          </w14:textFill>
        </w:rPr>
        <w:t>表2.</w:t>
      </w:r>
      <w:r>
        <w:rPr>
          <w:rFonts w:hint="eastAsia" w:ascii="Times New Roman" w:eastAsia="宋体"/>
          <w:color w:val="000000" w:themeColor="text1"/>
          <w14:textFill>
            <w14:solidFill>
              <w14:schemeClr w14:val="tx1"/>
            </w14:solidFill>
          </w14:textFill>
        </w:rPr>
        <w:t>5</w:t>
      </w:r>
      <w:r>
        <w:rPr>
          <w:rFonts w:ascii="Times New Roman" w:eastAsia="宋体"/>
          <w:color w:val="000000" w:themeColor="text1"/>
          <w14:textFill>
            <w14:solidFill>
              <w14:schemeClr w14:val="tx1"/>
            </w14:solidFill>
          </w14:textFill>
        </w:rPr>
        <w:t>-4    大气污染物预测结果</w:t>
      </w:r>
    </w:p>
    <w:tbl>
      <w:tblPr>
        <w:tblStyle w:val="79"/>
        <w:tblW w:w="511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483"/>
        <w:gridCol w:w="1200"/>
        <w:gridCol w:w="2335"/>
        <w:gridCol w:w="1501"/>
        <w:gridCol w:w="2027"/>
      </w:tblGrid>
      <w:tr w14:paraId="74140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5000" w:type="pct"/>
            <w:gridSpan w:val="5"/>
            <w:noWrap w:val="0"/>
            <w:vAlign w:val="center"/>
          </w:tcPr>
          <w:p w14:paraId="5B32F39C">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无组织废气</w:t>
            </w:r>
          </w:p>
        </w:tc>
      </w:tr>
      <w:tr w14:paraId="2637F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868" w:type="pct"/>
            <w:tcBorders>
              <w:right w:val="single" w:color="auto" w:sz="4" w:space="0"/>
            </w:tcBorders>
            <w:noWrap w:val="0"/>
            <w:vAlign w:val="center"/>
          </w:tcPr>
          <w:p w14:paraId="32A843E4">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702" w:type="pct"/>
            <w:tcBorders>
              <w:left w:val="single" w:color="auto" w:sz="4" w:space="0"/>
            </w:tcBorders>
            <w:noWrap w:val="0"/>
            <w:vAlign w:val="center"/>
          </w:tcPr>
          <w:p w14:paraId="46081EAD">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1366" w:type="pct"/>
            <w:shd w:val="clear" w:color="auto" w:fill="auto"/>
            <w:noWrap w:val="0"/>
            <w:vAlign w:val="center"/>
          </w:tcPr>
          <w:p w14:paraId="072DDBA0">
            <w:pPr>
              <w:pStyle w:val="40"/>
              <w:keepNext w:val="0"/>
              <w:keepLines w:val="0"/>
              <w:suppressLineNumbers w:val="0"/>
              <w:snapToGrid w:val="0"/>
              <w:spacing w:before="0" w:beforeAutospacing="0" w:after="0" w:afterAutospacing="0" w:line="360" w:lineRule="exact"/>
              <w:ind w:left="0" w:leftChars="0" w:right="0" w:rightChars="0"/>
              <w:contextualSpacing/>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最大浓度值（mg/m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878" w:type="pct"/>
            <w:shd w:val="clear" w:color="auto" w:fill="auto"/>
            <w:noWrap w:val="0"/>
            <w:vAlign w:val="center"/>
          </w:tcPr>
          <w:p w14:paraId="7E7055F4">
            <w:pPr>
              <w:pStyle w:val="40"/>
              <w:keepNext w:val="0"/>
              <w:keepLines w:val="0"/>
              <w:suppressLineNumbers w:val="0"/>
              <w:snapToGrid w:val="0"/>
              <w:spacing w:before="0" w:beforeAutospacing="0" w:after="0" w:afterAutospacing="0" w:line="360" w:lineRule="exact"/>
              <w:ind w:left="0" w:leftChars="0" w:right="0" w:rightChars="0"/>
              <w:contextualSpacing/>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占标率（%）</w:t>
            </w:r>
          </w:p>
        </w:tc>
        <w:tc>
          <w:tcPr>
            <w:tcW w:w="1184" w:type="pct"/>
            <w:shd w:val="clear" w:color="auto" w:fill="auto"/>
            <w:noWrap w:val="0"/>
            <w:vAlign w:val="center"/>
          </w:tcPr>
          <w:p w14:paraId="71308827">
            <w:pPr>
              <w:pStyle w:val="40"/>
              <w:keepNext w:val="0"/>
              <w:keepLines w:val="0"/>
              <w:suppressLineNumbers w:val="0"/>
              <w:snapToGrid w:val="0"/>
              <w:spacing w:before="0" w:beforeAutospacing="0" w:after="0" w:afterAutospacing="0" w:line="360" w:lineRule="exact"/>
              <w:ind w:left="0" w:leftChars="0" w:right="0" w:rightChars="0"/>
              <w:contextualSpacing/>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出现距离（m）</w:t>
            </w:r>
          </w:p>
        </w:tc>
      </w:tr>
      <w:tr w14:paraId="79AB5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868" w:type="pct"/>
            <w:tcBorders>
              <w:right w:val="single" w:color="auto" w:sz="4" w:space="0"/>
            </w:tcBorders>
            <w:noWrap w:val="0"/>
            <w:vAlign w:val="center"/>
          </w:tcPr>
          <w:p w14:paraId="1C08F8D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1号</w:t>
            </w:r>
            <w:r>
              <w:rPr>
                <w:rFonts w:hint="default" w:ascii="Times New Roman" w:hAnsi="Times New Roman" w:eastAsia="宋体" w:cs="Times New Roman"/>
                <w:color w:val="000000" w:themeColor="text1"/>
                <w:sz w:val="21"/>
                <w:szCs w:val="21"/>
                <w14:textFill>
                  <w14:solidFill>
                    <w14:schemeClr w14:val="tx1"/>
                  </w14:solidFill>
                </w14:textFill>
              </w:rPr>
              <w:t>废石堆场</w:t>
            </w:r>
          </w:p>
        </w:tc>
        <w:tc>
          <w:tcPr>
            <w:tcW w:w="702" w:type="pct"/>
            <w:tcBorders>
              <w:left w:val="single" w:color="auto" w:sz="4" w:space="0"/>
            </w:tcBorders>
            <w:noWrap w:val="0"/>
            <w:vAlign w:val="center"/>
          </w:tcPr>
          <w:p w14:paraId="0788793B">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TSP</w:t>
            </w:r>
          </w:p>
        </w:tc>
        <w:tc>
          <w:tcPr>
            <w:tcW w:w="1366" w:type="pct"/>
            <w:noWrap w:val="0"/>
            <w:vAlign w:val="center"/>
          </w:tcPr>
          <w:p w14:paraId="39A401F7">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0.0091</w:t>
            </w:r>
          </w:p>
        </w:tc>
        <w:tc>
          <w:tcPr>
            <w:tcW w:w="878" w:type="pct"/>
            <w:tcBorders>
              <w:right w:val="single" w:color="auto" w:sz="4" w:space="0"/>
            </w:tcBorders>
            <w:noWrap w:val="0"/>
            <w:vAlign w:val="center"/>
          </w:tcPr>
          <w:p w14:paraId="3606C92A">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1.01</w:t>
            </w:r>
          </w:p>
        </w:tc>
        <w:tc>
          <w:tcPr>
            <w:tcW w:w="1184" w:type="pct"/>
            <w:tcBorders>
              <w:left w:val="single" w:color="auto" w:sz="4" w:space="0"/>
            </w:tcBorders>
            <w:noWrap w:val="0"/>
            <w:vAlign w:val="center"/>
          </w:tcPr>
          <w:p w14:paraId="36E97DE6">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131</w:t>
            </w:r>
          </w:p>
        </w:tc>
      </w:tr>
      <w:tr w14:paraId="54ED5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868" w:type="pct"/>
            <w:tcBorders>
              <w:right w:val="single" w:color="auto" w:sz="4" w:space="0"/>
            </w:tcBorders>
            <w:noWrap w:val="0"/>
            <w:vAlign w:val="center"/>
          </w:tcPr>
          <w:p w14:paraId="10E37A1A">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2号</w:t>
            </w:r>
            <w:r>
              <w:rPr>
                <w:rFonts w:hint="default" w:ascii="Times New Roman" w:hAnsi="Times New Roman" w:eastAsia="宋体" w:cs="Times New Roman"/>
                <w:color w:val="000000" w:themeColor="text1"/>
                <w:sz w:val="21"/>
                <w:szCs w:val="21"/>
                <w14:textFill>
                  <w14:solidFill>
                    <w14:schemeClr w14:val="tx1"/>
                  </w14:solidFill>
                </w14:textFill>
              </w:rPr>
              <w:t>废石堆场</w:t>
            </w:r>
          </w:p>
        </w:tc>
        <w:tc>
          <w:tcPr>
            <w:tcW w:w="702" w:type="pct"/>
            <w:tcBorders>
              <w:left w:val="single" w:color="auto" w:sz="4" w:space="0"/>
            </w:tcBorders>
            <w:noWrap w:val="0"/>
            <w:vAlign w:val="center"/>
          </w:tcPr>
          <w:p w14:paraId="502418AE">
            <w:pPr>
              <w:pStyle w:val="40"/>
              <w:keepNext w:val="0"/>
              <w:keepLines w:val="0"/>
              <w:suppressLineNumbers w:val="0"/>
              <w:snapToGrid w:val="0"/>
              <w:spacing w:before="0" w:beforeAutospacing="0" w:after="0" w:afterAutospacing="0" w:line="360" w:lineRule="exact"/>
              <w:ind w:left="0" w:right="0"/>
              <w:contextualSpacing/>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TSP</w:t>
            </w:r>
          </w:p>
        </w:tc>
        <w:tc>
          <w:tcPr>
            <w:tcW w:w="1366" w:type="pct"/>
            <w:noWrap w:val="0"/>
            <w:vAlign w:val="center"/>
          </w:tcPr>
          <w:p w14:paraId="1B3C485A">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0.0106</w:t>
            </w:r>
          </w:p>
        </w:tc>
        <w:tc>
          <w:tcPr>
            <w:tcW w:w="878" w:type="pct"/>
            <w:tcBorders>
              <w:right w:val="single" w:color="auto" w:sz="4" w:space="0"/>
            </w:tcBorders>
            <w:noWrap w:val="0"/>
            <w:vAlign w:val="center"/>
          </w:tcPr>
          <w:p w14:paraId="1AB62913">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1.18</w:t>
            </w:r>
          </w:p>
        </w:tc>
        <w:tc>
          <w:tcPr>
            <w:tcW w:w="1184" w:type="pct"/>
            <w:tcBorders>
              <w:left w:val="single" w:color="auto" w:sz="4" w:space="0"/>
            </w:tcBorders>
            <w:noWrap w:val="0"/>
            <w:vAlign w:val="center"/>
          </w:tcPr>
          <w:p w14:paraId="375A8E32">
            <w:pPr>
              <w:pStyle w:val="40"/>
              <w:keepNext w:val="0"/>
              <w:keepLines w:val="0"/>
              <w:suppressLineNumbers w:val="0"/>
              <w:snapToGrid w:val="0"/>
              <w:spacing w:before="0" w:beforeAutospacing="0" w:after="0" w:afterAutospacing="0" w:line="360" w:lineRule="exact"/>
              <w:ind w:left="0" w:right="0"/>
              <w:contextualSpacing/>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109</w:t>
            </w:r>
          </w:p>
        </w:tc>
      </w:tr>
    </w:tbl>
    <w:p w14:paraId="146C9CAC">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根据估算，本项目</w:t>
      </w:r>
      <w:r>
        <w:rPr>
          <w:rFonts w:hint="eastAsia"/>
          <w:color w:val="000000" w:themeColor="text1"/>
          <w:sz w:val="24"/>
          <w:highlight w:val="none"/>
          <w14:textFill>
            <w14:solidFill>
              <w14:schemeClr w14:val="tx1"/>
            </w14:solidFill>
          </w14:textFill>
        </w:rPr>
        <w:t>1号废石堆场</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号废石堆场颗粒物</w:t>
      </w:r>
      <w:r>
        <w:rPr>
          <w:color w:val="000000" w:themeColor="text1"/>
          <w:sz w:val="24"/>
          <w:highlight w:val="none"/>
          <w14:textFill>
            <w14:solidFill>
              <w14:schemeClr w14:val="tx1"/>
            </w14:solidFill>
          </w14:textFill>
        </w:rPr>
        <w:t>最大占标率为：</w:t>
      </w:r>
      <w:r>
        <w:rPr>
          <w:rFonts w:hint="eastAsia"/>
          <w:color w:val="000000" w:themeColor="text1"/>
          <w:sz w:val="24"/>
          <w:highlight w:val="none"/>
          <w:lang w:val="en-US" w:eastAsia="zh-CN"/>
          <w14:textFill>
            <w14:solidFill>
              <w14:schemeClr w14:val="tx1"/>
            </w14:solidFill>
          </w14:textFill>
        </w:rPr>
        <w:t>1.18</w:t>
      </w:r>
      <w:r>
        <w:rPr>
          <w:color w:val="000000" w:themeColor="text1"/>
          <w:sz w:val="24"/>
          <w:highlight w:val="none"/>
          <w14:textFill>
            <w14:solidFill>
              <w14:schemeClr w14:val="tx1"/>
            </w14:solidFill>
          </w14:textFill>
        </w:rPr>
        <w:t>%，最大占标率1%＜Pmax＜10%，</w:t>
      </w:r>
      <w:r>
        <w:rPr>
          <w:rFonts w:hint="eastAsia"/>
          <w:color w:val="000000" w:themeColor="text1"/>
          <w:sz w:val="24"/>
          <w:highlight w:val="none"/>
          <w:lang w:val="en-US" w:eastAsia="zh-CN"/>
          <w14:textFill>
            <w14:solidFill>
              <w14:schemeClr w14:val="tx1"/>
            </w14:solidFill>
          </w14:textFill>
        </w:rPr>
        <w:t>由此</w:t>
      </w:r>
      <w:r>
        <w:rPr>
          <w:color w:val="000000" w:themeColor="text1"/>
          <w:sz w:val="24"/>
          <w:highlight w:val="none"/>
          <w14:textFill>
            <w14:solidFill>
              <w14:schemeClr w14:val="tx1"/>
            </w14:solidFill>
          </w14:textFill>
        </w:rPr>
        <w:t>确定大气环境评价等级为二级。</w:t>
      </w:r>
    </w:p>
    <w:p w14:paraId="0A046BF3">
      <w:pPr>
        <w:spacing w:line="480" w:lineRule="exact"/>
        <w:ind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根据《环境影响评价技术导则 大气环境》（HJ2.2-2018）的规定和表的估算结果，同时考虑项目建设性质，确定本次环境空气评价范围为边长5km的矩形范围内。</w:t>
      </w:r>
    </w:p>
    <w:p w14:paraId="3A7D00C9">
      <w:pPr>
        <w:pStyle w:val="4"/>
        <w:spacing w:before="60" w:after="60" w:line="480" w:lineRule="exact"/>
        <w:rPr>
          <w:color w:val="000000" w:themeColor="text1"/>
          <w:kern w:val="2"/>
          <w14:textFill>
            <w14:solidFill>
              <w14:schemeClr w14:val="tx1"/>
            </w14:solidFill>
          </w14:textFill>
        </w:rPr>
      </w:pPr>
      <w:bookmarkStart w:id="179" w:name="_Toc21153"/>
      <w:bookmarkStart w:id="180" w:name="_Toc12002"/>
      <w:bookmarkStart w:id="181" w:name="_Toc186234480"/>
      <w:bookmarkStart w:id="182" w:name="_Toc4610"/>
      <w:bookmarkStart w:id="183" w:name="_Toc12501"/>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5</w:t>
      </w:r>
      <w:r>
        <w:rPr>
          <w:color w:val="000000" w:themeColor="text1"/>
          <w:kern w:val="2"/>
          <w14:textFill>
            <w14:solidFill>
              <w14:schemeClr w14:val="tx1"/>
            </w14:solidFill>
          </w14:textFill>
        </w:rPr>
        <w:t>.2水环境评价等级和评价范围</w:t>
      </w:r>
      <w:bookmarkEnd w:id="179"/>
      <w:bookmarkEnd w:id="180"/>
      <w:bookmarkEnd w:id="181"/>
      <w:bookmarkEnd w:id="182"/>
      <w:bookmarkEnd w:id="183"/>
    </w:p>
    <w:p w14:paraId="6EFD5705">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5</w:t>
      </w:r>
      <w:r>
        <w:rPr>
          <w:rFonts w:ascii="Times New Roman" w:hAnsi="Times New Roman"/>
          <w:bCs w:val="0"/>
          <w:color w:val="000000" w:themeColor="text1"/>
          <w:kern w:val="2"/>
          <w:szCs w:val="24"/>
          <w14:textFill>
            <w14:solidFill>
              <w14:schemeClr w14:val="tx1"/>
            </w14:solidFill>
          </w14:textFill>
        </w:rPr>
        <w:t>.2.1地表水评价等级和范围</w:t>
      </w:r>
    </w:p>
    <w:p w14:paraId="1D1EC79B">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本项目运营期矿井涌水经混凝沉淀处理后，满足《铁矿采选工业污染物排放标准》（GB28661-2012）新建企业水污染物排放浓度限值以及《城市污水再生利用 城市杂用水水质》（GB/T18920-2020）中的城市绿化、道路清扫、消防、建筑施工限值后，一部分用于采矿生产用水和矿山绿化浇灌、工业场地及道路降尘等，其余泵送至选厂生产新水水池供生产使用，不外排；生活污水经地埋式一体化污水处理设备处理后满足</w:t>
      </w:r>
      <w:r>
        <w:rPr>
          <w:rFonts w:ascii="Times New Roman" w:hAnsi="Times New Roman" w:eastAsiaTheme="minorEastAsia"/>
          <w:color w:val="000000" w:themeColor="text1"/>
          <w:sz w:val="24"/>
          <w:szCs w:val="24"/>
          <w14:textFill>
            <w14:solidFill>
              <w14:schemeClr w14:val="tx1"/>
            </w14:solidFill>
          </w14:textFill>
        </w:rPr>
        <w:t>《农村生活污水处理排放标准》（DB65 4275-2019）中A级标准</w:t>
      </w:r>
      <w:r>
        <w:rPr>
          <w:rFonts w:hint="eastAsia"/>
          <w:color w:val="000000" w:themeColor="text1"/>
          <w:sz w:val="24"/>
          <w:szCs w:val="24"/>
          <w14:textFill>
            <w14:solidFill>
              <w14:schemeClr w14:val="tx1"/>
            </w14:solidFill>
          </w14:textFill>
        </w:rPr>
        <w:t>后，</w:t>
      </w:r>
      <w:r>
        <w:rPr>
          <w:rFonts w:hint="eastAsia"/>
          <w:color w:val="000000" w:themeColor="text1"/>
          <w:sz w:val="24"/>
          <w:szCs w:val="28"/>
          <w14:textFill>
            <w14:solidFill>
              <w14:schemeClr w14:val="tx1"/>
            </w14:solidFill>
          </w14:textFill>
        </w:rPr>
        <w:t>灌溉期</w:t>
      </w:r>
      <w:r>
        <w:rPr>
          <w:rFonts w:hint="eastAsia"/>
          <w:color w:val="000000" w:themeColor="text1"/>
          <w:sz w:val="24"/>
          <w:szCs w:val="24"/>
          <w14:textFill>
            <w14:solidFill>
              <w14:schemeClr w14:val="tx1"/>
            </w14:solidFill>
          </w14:textFill>
        </w:rPr>
        <w:t>全部用于矿区绿化，非灌溉期输送至选厂生产使用，不外排。</w:t>
      </w:r>
    </w:p>
    <w:p w14:paraId="04806B66">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根据《环境影响评价技术导则 地表水环境》（HJ2.3-2018）中水污染影响型建设项目评价等级判定表，见表2.</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-5，判定本项目排放方式为间接排放，地表水评价等级为三级B。</w:t>
      </w:r>
      <w:r>
        <w:rPr>
          <w:rFonts w:hint="eastAsia"/>
          <w:color w:val="000000" w:themeColor="text1"/>
          <w:sz w:val="24"/>
          <w:szCs w:val="24"/>
          <w14:textFill>
            <w14:solidFill>
              <w14:schemeClr w14:val="tx1"/>
            </w14:solidFill>
          </w14:textFill>
        </w:rPr>
        <w:t>评价范围为地埋式一体化污水处理设备环境可行性分析。</w:t>
      </w:r>
    </w:p>
    <w:p w14:paraId="678D55F5">
      <w:pPr>
        <w:spacing w:line="480" w:lineRule="exact"/>
        <w:ind w:firstLine="480" w:firstLineChars="200"/>
        <w:rPr>
          <w:rFonts w:hint="eastAsia"/>
          <w:color w:val="000000" w:themeColor="text1"/>
          <w:sz w:val="24"/>
          <w:szCs w:val="24"/>
          <w14:textFill>
            <w14:solidFill>
              <w14:schemeClr w14:val="tx1"/>
            </w14:solidFill>
          </w14:textFill>
        </w:rPr>
      </w:pPr>
    </w:p>
    <w:p w14:paraId="51F90936">
      <w:pPr>
        <w:spacing w:line="480" w:lineRule="exact"/>
        <w:ind w:firstLine="480" w:firstLineChars="200"/>
        <w:rPr>
          <w:rFonts w:hint="eastAsia"/>
          <w:color w:val="000000" w:themeColor="text1"/>
          <w:sz w:val="24"/>
          <w:szCs w:val="24"/>
          <w14:textFill>
            <w14:solidFill>
              <w14:schemeClr w14:val="tx1"/>
            </w14:solidFill>
          </w14:textFill>
        </w:rPr>
      </w:pPr>
    </w:p>
    <w:p w14:paraId="1A79391E">
      <w:pPr>
        <w:pStyle w:val="334"/>
        <w:spacing w:line="480" w:lineRule="exact"/>
        <w:ind w:firstLine="0" w:firstLineChars="0"/>
        <w:rPr>
          <w:rFonts w:ascii="Times New Roman" w:eastAsia="宋体"/>
          <w:color w:val="000000" w:themeColor="text1"/>
          <w14:textFill>
            <w14:solidFill>
              <w14:schemeClr w14:val="tx1"/>
            </w14:solidFill>
          </w14:textFill>
        </w:rPr>
      </w:pPr>
      <w:r>
        <w:rPr>
          <w:rFonts w:ascii="Times New Roman" w:eastAsia="宋体"/>
          <w:color w:val="000000" w:themeColor="text1"/>
          <w14:textFill>
            <w14:solidFill>
              <w14:schemeClr w14:val="tx1"/>
            </w14:solidFill>
          </w14:textFill>
        </w:rPr>
        <w:t>表2.</w:t>
      </w:r>
      <w:r>
        <w:rPr>
          <w:rFonts w:hint="eastAsia" w:ascii="Times New Roman" w:eastAsia="宋体"/>
          <w:color w:val="000000" w:themeColor="text1"/>
          <w14:textFill>
            <w14:solidFill>
              <w14:schemeClr w14:val="tx1"/>
            </w14:solidFill>
          </w14:textFill>
        </w:rPr>
        <w:t>5</w:t>
      </w:r>
      <w:r>
        <w:rPr>
          <w:rFonts w:ascii="Times New Roman" w:eastAsia="宋体"/>
          <w:color w:val="000000" w:themeColor="text1"/>
          <w14:textFill>
            <w14:solidFill>
              <w14:schemeClr w14:val="tx1"/>
            </w14:solidFill>
          </w14:textFill>
        </w:rPr>
        <w:t>-5    水污染影响型建设项目评价等级判定</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40"/>
        <w:gridCol w:w="2348"/>
        <w:gridCol w:w="4231"/>
      </w:tblGrid>
      <w:tr w14:paraId="358CF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pct"/>
            <w:vMerge w:val="restart"/>
            <w:noWrap w:val="0"/>
            <w:vAlign w:val="center"/>
          </w:tcPr>
          <w:p w14:paraId="52FE3F54">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评价等级</w:t>
            </w:r>
          </w:p>
        </w:tc>
        <w:tc>
          <w:tcPr>
            <w:tcW w:w="3860" w:type="pct"/>
            <w:gridSpan w:val="2"/>
            <w:noWrap w:val="0"/>
            <w:vAlign w:val="center"/>
          </w:tcPr>
          <w:p w14:paraId="68DDC4D1">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判定依据</w:t>
            </w:r>
          </w:p>
        </w:tc>
      </w:tr>
      <w:tr w14:paraId="34B6F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pct"/>
            <w:vMerge w:val="continue"/>
            <w:noWrap w:val="0"/>
            <w:vAlign w:val="center"/>
          </w:tcPr>
          <w:p w14:paraId="0509617D">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p>
        </w:tc>
        <w:tc>
          <w:tcPr>
            <w:tcW w:w="1378" w:type="pct"/>
            <w:noWrap w:val="0"/>
            <w:vAlign w:val="center"/>
          </w:tcPr>
          <w:p w14:paraId="0567262D">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排放方式</w:t>
            </w:r>
          </w:p>
        </w:tc>
        <w:tc>
          <w:tcPr>
            <w:tcW w:w="2482" w:type="pct"/>
            <w:noWrap w:val="0"/>
            <w:vAlign w:val="center"/>
          </w:tcPr>
          <w:p w14:paraId="381BC28A">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废水排放量Q/（m</w:t>
            </w:r>
            <w:r>
              <w:rPr>
                <w:rFonts w:ascii="Times New Roman" w:hAnsi="Times New Roman" w:eastAsia="宋体"/>
                <w:b/>
                <w:bCs/>
                <w:color w:val="000000" w:themeColor="text1"/>
                <w:sz w:val="21"/>
                <w:vertAlign w:val="superscript"/>
                <w14:textFill>
                  <w14:solidFill>
                    <w14:schemeClr w14:val="tx1"/>
                  </w14:solidFill>
                </w14:textFill>
              </w:rPr>
              <w:t>3</w:t>
            </w:r>
            <w:r>
              <w:rPr>
                <w:rFonts w:ascii="Times New Roman" w:hAnsi="Times New Roman" w:eastAsia="宋体"/>
                <w:b/>
                <w:bCs/>
                <w:color w:val="000000" w:themeColor="text1"/>
                <w:sz w:val="21"/>
                <w14:textFill>
                  <w14:solidFill>
                    <w14:schemeClr w14:val="tx1"/>
                  </w14:solidFill>
                </w14:textFill>
              </w:rPr>
              <w:t>/d）</w:t>
            </w:r>
          </w:p>
          <w:p w14:paraId="65628B4F">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水污染物当量数W/（无量纲）</w:t>
            </w:r>
          </w:p>
        </w:tc>
      </w:tr>
      <w:tr w14:paraId="69F69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pct"/>
            <w:noWrap w:val="0"/>
            <w:vAlign w:val="center"/>
          </w:tcPr>
          <w:p w14:paraId="2D9C3859">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一级</w:t>
            </w:r>
          </w:p>
        </w:tc>
        <w:tc>
          <w:tcPr>
            <w:tcW w:w="1378" w:type="pct"/>
            <w:noWrap w:val="0"/>
            <w:vAlign w:val="center"/>
          </w:tcPr>
          <w:p w14:paraId="08E652BC">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直接排放</w:t>
            </w:r>
          </w:p>
        </w:tc>
        <w:tc>
          <w:tcPr>
            <w:tcW w:w="2482" w:type="pct"/>
            <w:noWrap w:val="0"/>
            <w:vAlign w:val="center"/>
          </w:tcPr>
          <w:p w14:paraId="096A0D83">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Q≥20000或W≥600000</w:t>
            </w:r>
          </w:p>
        </w:tc>
      </w:tr>
      <w:tr w14:paraId="53E34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pct"/>
            <w:noWrap w:val="0"/>
            <w:vAlign w:val="center"/>
          </w:tcPr>
          <w:p w14:paraId="21C673B1">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二级</w:t>
            </w:r>
          </w:p>
        </w:tc>
        <w:tc>
          <w:tcPr>
            <w:tcW w:w="1378" w:type="pct"/>
            <w:noWrap w:val="0"/>
            <w:vAlign w:val="center"/>
          </w:tcPr>
          <w:p w14:paraId="6207EBB7">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直接排放</w:t>
            </w:r>
          </w:p>
        </w:tc>
        <w:tc>
          <w:tcPr>
            <w:tcW w:w="2482" w:type="pct"/>
            <w:noWrap w:val="0"/>
            <w:vAlign w:val="center"/>
          </w:tcPr>
          <w:p w14:paraId="43EB19F3">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其他</w:t>
            </w:r>
          </w:p>
        </w:tc>
      </w:tr>
      <w:tr w14:paraId="650C6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pct"/>
            <w:noWrap w:val="0"/>
            <w:vAlign w:val="center"/>
          </w:tcPr>
          <w:p w14:paraId="3ADB6885">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三级A</w:t>
            </w:r>
          </w:p>
        </w:tc>
        <w:tc>
          <w:tcPr>
            <w:tcW w:w="1378" w:type="pct"/>
            <w:noWrap w:val="0"/>
            <w:vAlign w:val="center"/>
          </w:tcPr>
          <w:p w14:paraId="58D9D9B5">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直接排放</w:t>
            </w:r>
          </w:p>
        </w:tc>
        <w:tc>
          <w:tcPr>
            <w:tcW w:w="2482" w:type="pct"/>
            <w:noWrap w:val="0"/>
            <w:vAlign w:val="center"/>
          </w:tcPr>
          <w:p w14:paraId="43759821">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Q＜200或W＜6000</w:t>
            </w:r>
          </w:p>
        </w:tc>
      </w:tr>
      <w:tr w14:paraId="66499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pct"/>
            <w:shd w:val="clear" w:color="auto" w:fill="D7D7D7"/>
            <w:noWrap w:val="0"/>
            <w:vAlign w:val="center"/>
          </w:tcPr>
          <w:p w14:paraId="7F96B3FB">
            <w:pPr>
              <w:pStyle w:val="183"/>
              <w:spacing w:after="0"/>
              <w:ind w:firstLine="0" w:firstLineChars="0"/>
              <w:rPr>
                <w:rFonts w:ascii="Times New Roman" w:hAnsi="Times New Roman" w:eastAsia="宋体"/>
                <w:color w:val="000000" w:themeColor="text1"/>
                <w:sz w:val="21"/>
                <w:highlight w:val="none"/>
                <w:shd w:val="clear" w:color="auto" w:fill="auto"/>
                <w14:textFill>
                  <w14:solidFill>
                    <w14:schemeClr w14:val="tx1"/>
                  </w14:solidFill>
                </w14:textFill>
              </w:rPr>
            </w:pPr>
            <w:r>
              <w:rPr>
                <w:rFonts w:ascii="Times New Roman" w:hAnsi="Times New Roman" w:eastAsia="宋体"/>
                <w:color w:val="000000" w:themeColor="text1"/>
                <w:sz w:val="21"/>
                <w:highlight w:val="none"/>
                <w:shd w:val="clear" w:color="auto" w:fill="auto"/>
                <w14:textFill>
                  <w14:solidFill>
                    <w14:schemeClr w14:val="tx1"/>
                  </w14:solidFill>
                </w14:textFill>
              </w:rPr>
              <w:t>三级B</w:t>
            </w:r>
          </w:p>
        </w:tc>
        <w:tc>
          <w:tcPr>
            <w:tcW w:w="1378" w:type="pct"/>
            <w:shd w:val="clear" w:color="auto" w:fill="D7D7D7"/>
            <w:noWrap w:val="0"/>
            <w:vAlign w:val="center"/>
          </w:tcPr>
          <w:p w14:paraId="314EA789">
            <w:pPr>
              <w:pStyle w:val="183"/>
              <w:spacing w:after="0"/>
              <w:ind w:firstLine="0" w:firstLineChars="0"/>
              <w:rPr>
                <w:rFonts w:ascii="Times New Roman" w:hAnsi="Times New Roman" w:eastAsia="宋体"/>
                <w:color w:val="000000" w:themeColor="text1"/>
                <w:sz w:val="21"/>
                <w:highlight w:val="none"/>
                <w:shd w:val="clear" w:color="auto" w:fill="auto"/>
                <w14:textFill>
                  <w14:solidFill>
                    <w14:schemeClr w14:val="tx1"/>
                  </w14:solidFill>
                </w14:textFill>
              </w:rPr>
            </w:pPr>
            <w:r>
              <w:rPr>
                <w:rFonts w:ascii="Times New Roman" w:hAnsi="Times New Roman" w:eastAsia="宋体"/>
                <w:color w:val="000000" w:themeColor="text1"/>
                <w:sz w:val="21"/>
                <w:highlight w:val="none"/>
                <w:shd w:val="clear" w:color="auto" w:fill="auto"/>
                <w14:textFill>
                  <w14:solidFill>
                    <w14:schemeClr w14:val="tx1"/>
                  </w14:solidFill>
                </w14:textFill>
              </w:rPr>
              <w:t>间接排放</w:t>
            </w:r>
          </w:p>
        </w:tc>
        <w:tc>
          <w:tcPr>
            <w:tcW w:w="2482" w:type="pct"/>
            <w:shd w:val="clear" w:color="auto" w:fill="D7D7D7"/>
            <w:noWrap w:val="0"/>
            <w:vAlign w:val="center"/>
          </w:tcPr>
          <w:p w14:paraId="3C0FAA67">
            <w:pPr>
              <w:pStyle w:val="183"/>
              <w:spacing w:after="0"/>
              <w:ind w:firstLine="0" w:firstLineChars="0"/>
              <w:rPr>
                <w:rFonts w:ascii="Times New Roman" w:hAnsi="Times New Roman" w:eastAsia="宋体"/>
                <w:color w:val="000000" w:themeColor="text1"/>
                <w:sz w:val="21"/>
                <w:highlight w:val="none"/>
                <w:shd w:val="clear" w:color="auto" w:fill="auto"/>
                <w14:textFill>
                  <w14:solidFill>
                    <w14:schemeClr w14:val="tx1"/>
                  </w14:solidFill>
                </w14:textFill>
              </w:rPr>
            </w:pPr>
            <w:r>
              <w:rPr>
                <w:rFonts w:ascii="Times New Roman" w:hAnsi="Times New Roman" w:eastAsia="宋体"/>
                <w:color w:val="000000" w:themeColor="text1"/>
                <w:sz w:val="21"/>
                <w:highlight w:val="none"/>
                <w:shd w:val="clear" w:color="auto" w:fill="auto"/>
                <w14:textFill>
                  <w14:solidFill>
                    <w14:schemeClr w14:val="tx1"/>
                  </w14:solidFill>
                </w14:textFill>
              </w:rPr>
              <w:t>—</w:t>
            </w:r>
          </w:p>
        </w:tc>
      </w:tr>
      <w:tr w14:paraId="48373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14:paraId="2C221AC1">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487436EC">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6259F5C8">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注3：厂区存在堆积物（露天堆放的原料、燃料、废渣等以及垃圾堆放场）、降尘污染的，应将初期雨污水纳入废水排放量，相应的主要污染物纳入水污染当量计算。</w:t>
            </w:r>
          </w:p>
          <w:p w14:paraId="3D8AC18E">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注4：建设项目直接排放第一类污染物的，其评价等级为一级；建设项目直接排放的污染物为受纳水体超标因子的，评价等级不低于二级。</w:t>
            </w:r>
          </w:p>
          <w:p w14:paraId="5A3EAAD9">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注5：直接排放受纳水体影响范围涉及饮用水水源保护区、饮用水取水口、重点保护与珍稀水生生物的栖息地、重要水生生物的自然产卵场等保护目标时，评价等级不低于二级。</w:t>
            </w:r>
          </w:p>
          <w:p w14:paraId="5F1F74AC">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注6：建设项目向河流、湖库排放温排水引起受纳水体水温变化超过水环境质量标准要求，且评价范围有水温敏感目标时，评价等级为一级。</w:t>
            </w:r>
          </w:p>
          <w:p w14:paraId="4B987A15">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注7：建设项目利用海水作为调节温度介质，排水量≥500万m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/d，评价等级为一级；排水量&lt;500万m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/d，评价等级为二级。</w:t>
            </w:r>
          </w:p>
          <w:p w14:paraId="54D286C7">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注8：仅涉及清净下水排放的，如其排放水质满足受纳水体水环境质量标准要求的，评价等级为三级A。</w:t>
            </w:r>
          </w:p>
          <w:p w14:paraId="78046F39">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注9：依托现有排放口，且对外环境未新增排放污染物的直接排放建设项目，评价等级参照间接排放，定为三级B。</w:t>
            </w:r>
          </w:p>
          <w:p w14:paraId="5535A7F2">
            <w:pPr>
              <w:pStyle w:val="183"/>
              <w:spacing w:after="0"/>
              <w:ind w:firstLine="0" w:firstLineChars="0"/>
              <w:jc w:val="left"/>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注10：建设项目生产工艺中有废水产生，但作为回水利用，不排放到外环境的，按三级B评价。</w:t>
            </w:r>
          </w:p>
        </w:tc>
      </w:tr>
    </w:tbl>
    <w:p w14:paraId="5CF1E51A">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5</w:t>
      </w:r>
      <w:r>
        <w:rPr>
          <w:rFonts w:ascii="Times New Roman" w:hAnsi="Times New Roman"/>
          <w:bCs w:val="0"/>
          <w:color w:val="000000" w:themeColor="text1"/>
          <w:kern w:val="2"/>
          <w:szCs w:val="24"/>
          <w14:textFill>
            <w14:solidFill>
              <w14:schemeClr w14:val="tx1"/>
            </w14:solidFill>
          </w14:textFill>
        </w:rPr>
        <w:t>.2.2地下水评价等级和范围</w:t>
      </w:r>
    </w:p>
    <w:p w14:paraId="34592E37">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根据《环境影响评价技术导则 地下水环境》（HJ610-2016）中附录A地下水环境影响评价行业分类表（表2.</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-6），本项目属</w:t>
      </w:r>
      <w:r>
        <w:rPr>
          <w:rFonts w:hint="eastAsia"/>
          <w:color w:val="000000" w:themeColor="text1"/>
          <w:sz w:val="24"/>
          <w:szCs w:val="24"/>
          <w:lang w:val="en-US" w:eastAsia="zh-CN"/>
          <w14:textFill>
            <w14:solidFill>
              <w14:schemeClr w14:val="tx1"/>
            </w14:solidFill>
          </w14:textFill>
        </w:rPr>
        <w:t>于</w:t>
      </w:r>
      <w:r>
        <w:rPr>
          <w:rFonts w:hint="eastAsia"/>
          <w:color w:val="000000" w:themeColor="text1"/>
          <w:sz w:val="24"/>
          <w:szCs w:val="24"/>
          <w14:textFill>
            <w14:solidFill>
              <w14:schemeClr w14:val="tx1"/>
            </w14:solidFill>
          </w14:textFill>
        </w:rPr>
        <w:t>黑色</w:t>
      </w:r>
      <w:r>
        <w:rPr>
          <w:color w:val="000000" w:themeColor="text1"/>
          <w:sz w:val="24"/>
          <w:szCs w:val="24"/>
          <w14:textFill>
            <w14:solidFill>
              <w14:schemeClr w14:val="tx1"/>
            </w14:solidFill>
          </w14:textFill>
        </w:rPr>
        <w:t>金属采选项目</w:t>
      </w:r>
      <w:r>
        <w:rPr>
          <w:rFonts w:hint="eastAsia"/>
          <w:color w:val="000000" w:themeColor="text1"/>
          <w:sz w:val="24"/>
          <w:szCs w:val="24"/>
          <w14:textFill>
            <w14:solidFill>
              <w14:schemeClr w14:val="tx1"/>
            </w14:solidFill>
          </w14:textFill>
        </w:rPr>
        <w:t>，不含选厂、尾矿库，本项目废石堆场地下水环境影响评价项目类别</w:t>
      </w:r>
      <w:r>
        <w:rPr>
          <w:color w:val="000000" w:themeColor="text1"/>
          <w:sz w:val="24"/>
          <w:szCs w:val="24"/>
          <w14:textFill>
            <w14:solidFill>
              <w14:schemeClr w14:val="tx1"/>
            </w14:solidFill>
          </w14:textFill>
        </w:rPr>
        <w:t>为I类，其余为I</w:t>
      </w:r>
      <w:r>
        <w:rPr>
          <w:rFonts w:hint="eastAsia"/>
          <w:color w:val="000000" w:themeColor="text1"/>
          <w:sz w:val="24"/>
          <w:szCs w:val="24"/>
          <w14:textFill>
            <w14:solidFill>
              <w14:schemeClr w14:val="tx1"/>
            </w14:solidFill>
          </w14:textFill>
        </w:rPr>
        <w:t>V</w:t>
      </w:r>
      <w:r>
        <w:rPr>
          <w:color w:val="000000" w:themeColor="text1"/>
          <w:sz w:val="24"/>
          <w:szCs w:val="24"/>
          <w14:textFill>
            <w14:solidFill>
              <w14:schemeClr w14:val="tx1"/>
            </w14:solidFill>
          </w14:textFill>
        </w:rPr>
        <w:t>类。</w:t>
      </w:r>
    </w:p>
    <w:p w14:paraId="6C9663E5">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根据调查，项目周边无集中式饮用水水源地及其保护区、准保护区，也无除集中式饮用水源以外的国家或地方政府设定的地下水环境相关的其他保护区</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周边也无分散式饮用水水源地</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无其他特殊地下水资源保护区以外的分布区等其他环境敏感区。因此，本项目地下水环境敏感程度为不敏感。</w:t>
      </w:r>
    </w:p>
    <w:p w14:paraId="2ED77EB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依据《环境影响评价技术导则 地下水环境》（HJ610-2016）中的地下水环境敏感程度分级表及建设项目评价工作等级分级表（表2.</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、表2.5-</w:t>
      </w:r>
      <w:r>
        <w:rPr>
          <w:rFonts w:hint="eastAsia"/>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），确定本项目</w:t>
      </w:r>
      <w:r>
        <w:rPr>
          <w:rFonts w:hint="eastAsia"/>
          <w:color w:val="000000" w:themeColor="text1"/>
          <w:sz w:val="24"/>
          <w:szCs w:val="24"/>
          <w14:textFill>
            <w14:solidFill>
              <w14:schemeClr w14:val="tx1"/>
            </w14:solidFill>
          </w14:textFill>
        </w:rPr>
        <w:t>废石堆场</w:t>
      </w:r>
      <w:r>
        <w:rPr>
          <w:color w:val="000000" w:themeColor="text1"/>
          <w:sz w:val="24"/>
          <w:szCs w:val="24"/>
          <w14:textFill>
            <w14:solidFill>
              <w14:schemeClr w14:val="tx1"/>
            </w14:solidFill>
          </w14:textFill>
        </w:rPr>
        <w:t>地下水评价等级为二级，其余地下水评价等级为三级。</w:t>
      </w:r>
    </w:p>
    <w:p w14:paraId="103B05FA">
      <w:pPr>
        <w:spacing w:line="480" w:lineRule="exact"/>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w:t>
      </w:r>
      <w:r>
        <w:rPr>
          <w:rFonts w:hint="eastAsia"/>
          <w:b/>
          <w:bCs/>
          <w:color w:val="000000" w:themeColor="text1"/>
          <w:sz w:val="24"/>
          <w:szCs w:val="24"/>
          <w14:textFill>
            <w14:solidFill>
              <w14:schemeClr w14:val="tx1"/>
            </w14:solidFill>
          </w14:textFill>
        </w:rPr>
        <w:t>5</w:t>
      </w:r>
      <w:r>
        <w:rPr>
          <w:b/>
          <w:bCs/>
          <w:color w:val="000000" w:themeColor="text1"/>
          <w:sz w:val="24"/>
          <w:szCs w:val="24"/>
          <w14:textFill>
            <w14:solidFill>
              <w14:schemeClr w14:val="tx1"/>
            </w14:solidFill>
          </w14:textFill>
        </w:rPr>
        <w:t>-6    地下水环境影响评价行业分类表</w:t>
      </w:r>
    </w:p>
    <w:tbl>
      <w:tblPr>
        <w:tblStyle w:val="7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4"/>
        <w:gridCol w:w="953"/>
        <w:gridCol w:w="1109"/>
        <w:gridCol w:w="1749"/>
        <w:gridCol w:w="1324"/>
      </w:tblGrid>
      <w:tr w14:paraId="02CF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986" w:type="pct"/>
            <w:vMerge w:val="restart"/>
            <w:tcBorders>
              <w:top w:val="single" w:color="auto" w:sz="12" w:space="0"/>
              <w:left w:val="single" w:color="auto" w:sz="12" w:space="0"/>
              <w:tl2br w:val="single" w:color="auto" w:sz="4" w:space="0"/>
            </w:tcBorders>
            <w:noWrap w:val="0"/>
            <w:vAlign w:val="center"/>
          </w:tcPr>
          <w:p w14:paraId="5B6B4AE4">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                      行业类别</w:t>
            </w:r>
          </w:p>
          <w:p w14:paraId="47E31E3A">
            <w:pPr>
              <w:keepNext w:val="0"/>
              <w:keepLines w:val="0"/>
              <w:suppressLineNumbers w:val="0"/>
              <w:spacing w:before="0" w:beforeAutospacing="0" w:after="0" w:afterAutospacing="0"/>
              <w:ind w:left="0" w:right="0"/>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环评类别</w:t>
            </w:r>
          </w:p>
        </w:tc>
        <w:tc>
          <w:tcPr>
            <w:tcW w:w="559" w:type="pct"/>
            <w:vMerge w:val="restart"/>
            <w:tcBorders>
              <w:top w:val="single" w:color="auto" w:sz="12" w:space="0"/>
            </w:tcBorders>
            <w:noWrap w:val="0"/>
            <w:vAlign w:val="center"/>
          </w:tcPr>
          <w:p w14:paraId="53CB4011">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报告书</w:t>
            </w:r>
          </w:p>
        </w:tc>
        <w:tc>
          <w:tcPr>
            <w:tcW w:w="650" w:type="pct"/>
            <w:vMerge w:val="restart"/>
            <w:tcBorders>
              <w:top w:val="single" w:color="auto" w:sz="12" w:space="0"/>
            </w:tcBorders>
            <w:noWrap w:val="0"/>
            <w:vAlign w:val="center"/>
          </w:tcPr>
          <w:p w14:paraId="071B6B0D">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报告表</w:t>
            </w:r>
          </w:p>
        </w:tc>
        <w:tc>
          <w:tcPr>
            <w:tcW w:w="1803" w:type="pct"/>
            <w:gridSpan w:val="2"/>
            <w:tcBorders>
              <w:top w:val="single" w:color="auto" w:sz="12" w:space="0"/>
              <w:right w:val="single" w:color="auto" w:sz="12" w:space="0"/>
            </w:tcBorders>
            <w:noWrap w:val="0"/>
            <w:vAlign w:val="center"/>
          </w:tcPr>
          <w:p w14:paraId="40F58C4F">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地下水环境影响评价项目类别</w:t>
            </w:r>
          </w:p>
        </w:tc>
      </w:tr>
      <w:tr w14:paraId="56DF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986" w:type="pct"/>
            <w:vMerge w:val="continue"/>
            <w:tcBorders>
              <w:left w:val="single" w:color="auto" w:sz="12" w:space="0"/>
              <w:tl2br w:val="single" w:color="auto" w:sz="4" w:space="0"/>
            </w:tcBorders>
            <w:noWrap w:val="0"/>
            <w:vAlign w:val="center"/>
          </w:tcPr>
          <w:p w14:paraId="71F2C5F7">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p>
        </w:tc>
        <w:tc>
          <w:tcPr>
            <w:tcW w:w="559" w:type="pct"/>
            <w:vMerge w:val="continue"/>
            <w:noWrap w:val="0"/>
            <w:vAlign w:val="center"/>
          </w:tcPr>
          <w:p w14:paraId="5D96A569">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p>
        </w:tc>
        <w:tc>
          <w:tcPr>
            <w:tcW w:w="650" w:type="pct"/>
            <w:vMerge w:val="continue"/>
            <w:noWrap w:val="0"/>
            <w:vAlign w:val="center"/>
          </w:tcPr>
          <w:p w14:paraId="5F657D48">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p>
        </w:tc>
        <w:tc>
          <w:tcPr>
            <w:tcW w:w="1026" w:type="pct"/>
            <w:noWrap w:val="0"/>
            <w:vAlign w:val="center"/>
          </w:tcPr>
          <w:p w14:paraId="3AF848DE">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报告书</w:t>
            </w:r>
          </w:p>
        </w:tc>
        <w:tc>
          <w:tcPr>
            <w:tcW w:w="777" w:type="pct"/>
            <w:tcBorders>
              <w:right w:val="single" w:color="auto" w:sz="12" w:space="0"/>
            </w:tcBorders>
            <w:noWrap w:val="0"/>
            <w:vAlign w:val="center"/>
          </w:tcPr>
          <w:p w14:paraId="1E25F780">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报告表</w:t>
            </w:r>
          </w:p>
        </w:tc>
      </w:tr>
      <w:tr w14:paraId="2B86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6" w:type="pct"/>
            <w:tcBorders>
              <w:left w:val="single" w:color="auto" w:sz="12" w:space="0"/>
            </w:tcBorders>
            <w:noWrap w:val="0"/>
            <w:vAlign w:val="center"/>
          </w:tcPr>
          <w:p w14:paraId="2F24705A">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G黑</w:t>
            </w:r>
            <w:r>
              <w:rPr>
                <w:rFonts w:hint="default" w:ascii="Times New Roman" w:hAnsi="Times New Roman" w:cs="Times New Roman"/>
                <w:bCs/>
                <w:color w:val="000000" w:themeColor="text1"/>
                <w:szCs w:val="21"/>
                <w14:textFill>
                  <w14:solidFill>
                    <w14:schemeClr w14:val="tx1"/>
                  </w14:solidFill>
                </w14:textFill>
              </w:rPr>
              <w:t>色金属</w:t>
            </w:r>
          </w:p>
        </w:tc>
        <w:tc>
          <w:tcPr>
            <w:tcW w:w="3013" w:type="pct"/>
            <w:gridSpan w:val="4"/>
            <w:tcBorders>
              <w:right w:val="single" w:color="auto" w:sz="12" w:space="0"/>
            </w:tcBorders>
            <w:noWrap w:val="0"/>
            <w:vAlign w:val="center"/>
          </w:tcPr>
          <w:p w14:paraId="0C9678B7">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w:t>
            </w:r>
          </w:p>
        </w:tc>
      </w:tr>
      <w:tr w14:paraId="13AC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6" w:type="pct"/>
            <w:tcBorders>
              <w:left w:val="single" w:color="auto" w:sz="12" w:space="0"/>
              <w:bottom w:val="single" w:color="auto" w:sz="12" w:space="0"/>
            </w:tcBorders>
            <w:noWrap w:val="0"/>
            <w:vAlign w:val="center"/>
          </w:tcPr>
          <w:p w14:paraId="02565772">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42</w:t>
            </w:r>
            <w:r>
              <w:rPr>
                <w:rFonts w:hint="default" w:ascii="Times New Roman" w:hAnsi="Times New Roman" w:cs="Times New Roman"/>
                <w:bCs/>
                <w:color w:val="000000" w:themeColor="text1"/>
                <w:szCs w:val="21"/>
                <w14:textFill>
                  <w14:solidFill>
                    <w14:schemeClr w14:val="tx1"/>
                  </w14:solidFill>
                </w14:textFill>
              </w:rPr>
              <w:t>、采选（含单独尾矿库）</w:t>
            </w:r>
          </w:p>
        </w:tc>
        <w:tc>
          <w:tcPr>
            <w:tcW w:w="558" w:type="pct"/>
            <w:tcBorders>
              <w:bottom w:val="single" w:color="auto" w:sz="12" w:space="0"/>
            </w:tcBorders>
            <w:noWrap w:val="0"/>
            <w:vAlign w:val="center"/>
          </w:tcPr>
          <w:p w14:paraId="3808F020">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全部</w:t>
            </w:r>
          </w:p>
        </w:tc>
        <w:tc>
          <w:tcPr>
            <w:tcW w:w="651" w:type="pct"/>
            <w:tcBorders>
              <w:bottom w:val="single" w:color="auto" w:sz="12" w:space="0"/>
            </w:tcBorders>
            <w:noWrap w:val="0"/>
            <w:vAlign w:val="center"/>
          </w:tcPr>
          <w:p w14:paraId="6BE747C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w:t>
            </w:r>
          </w:p>
        </w:tc>
        <w:tc>
          <w:tcPr>
            <w:tcW w:w="1026" w:type="pct"/>
            <w:tcBorders>
              <w:bottom w:val="single" w:color="auto" w:sz="12" w:space="0"/>
            </w:tcBorders>
            <w:noWrap w:val="0"/>
            <w:vAlign w:val="center"/>
          </w:tcPr>
          <w:p w14:paraId="20F184C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废石堆场</w:t>
            </w:r>
            <w:r>
              <w:rPr>
                <w:rFonts w:hint="default" w:ascii="Times New Roman" w:hAnsi="Times New Roman" w:cs="Times New Roman"/>
                <w:bCs/>
                <w:color w:val="000000" w:themeColor="text1"/>
                <w:szCs w:val="21"/>
                <w14:textFill>
                  <w14:solidFill>
                    <w14:schemeClr w14:val="tx1"/>
                  </w14:solidFill>
                </w14:textFill>
              </w:rPr>
              <w:t>、尾矿库I类，选矿厂II类，其余I</w:t>
            </w:r>
            <w:r>
              <w:rPr>
                <w:rFonts w:hint="eastAsia" w:ascii="Times New Roman" w:hAnsi="Times New Roman" w:cs="Times New Roman"/>
                <w:bCs/>
                <w:color w:val="000000" w:themeColor="text1"/>
                <w:szCs w:val="21"/>
                <w14:textFill>
                  <w14:solidFill>
                    <w14:schemeClr w14:val="tx1"/>
                  </w14:solidFill>
                </w14:textFill>
              </w:rPr>
              <w:t>V</w:t>
            </w:r>
            <w:r>
              <w:rPr>
                <w:rFonts w:hint="default" w:ascii="Times New Roman" w:hAnsi="Times New Roman" w:cs="Times New Roman"/>
                <w:bCs/>
                <w:color w:val="000000" w:themeColor="text1"/>
                <w:szCs w:val="21"/>
                <w14:textFill>
                  <w14:solidFill>
                    <w14:schemeClr w14:val="tx1"/>
                  </w14:solidFill>
                </w14:textFill>
              </w:rPr>
              <w:t>类</w:t>
            </w:r>
          </w:p>
        </w:tc>
        <w:tc>
          <w:tcPr>
            <w:tcW w:w="777" w:type="pct"/>
            <w:tcBorders>
              <w:bottom w:val="single" w:color="auto" w:sz="12" w:space="0"/>
              <w:right w:val="single" w:color="auto" w:sz="12" w:space="0"/>
            </w:tcBorders>
            <w:noWrap w:val="0"/>
            <w:vAlign w:val="center"/>
          </w:tcPr>
          <w:p w14:paraId="025C9318">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w:t>
            </w:r>
          </w:p>
        </w:tc>
      </w:tr>
    </w:tbl>
    <w:p w14:paraId="71F8C819">
      <w:pPr>
        <w:spacing w:line="480" w:lineRule="exact"/>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表2.5-7    地下水环境敏感程度分级</w:t>
      </w:r>
    </w:p>
    <w:tbl>
      <w:tblPr>
        <w:tblStyle w:val="7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561"/>
      </w:tblGrid>
      <w:tr w14:paraId="1652F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63" w:type="pct"/>
            <w:noWrap w:val="0"/>
            <w:vAlign w:val="center"/>
          </w:tcPr>
          <w:p w14:paraId="6EADC488">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分级</w:t>
            </w:r>
          </w:p>
        </w:tc>
        <w:tc>
          <w:tcPr>
            <w:tcW w:w="4436" w:type="pct"/>
            <w:noWrap w:val="0"/>
            <w:vAlign w:val="center"/>
          </w:tcPr>
          <w:p w14:paraId="5E86391C">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项目场地的地下水环境敏感特征</w:t>
            </w:r>
          </w:p>
        </w:tc>
      </w:tr>
      <w:tr w14:paraId="632AF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152AF9DE">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敏感</w:t>
            </w:r>
          </w:p>
        </w:tc>
        <w:tc>
          <w:tcPr>
            <w:tcW w:w="4436" w:type="pct"/>
            <w:noWrap w:val="0"/>
            <w:vAlign w:val="center"/>
          </w:tcPr>
          <w:p w14:paraId="3BB232BF">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14:paraId="621E9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612817B7">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较敏感</w:t>
            </w:r>
          </w:p>
        </w:tc>
        <w:tc>
          <w:tcPr>
            <w:tcW w:w="4436" w:type="pct"/>
            <w:noWrap w:val="0"/>
            <w:vAlign w:val="center"/>
          </w:tcPr>
          <w:p w14:paraId="4A198A72">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矿泉水、温泉等）保护区以外的分布区等其它未列入上述敏感分级的环境敏感区。</w:t>
            </w:r>
          </w:p>
        </w:tc>
      </w:tr>
      <w:tr w14:paraId="55BA7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noWrap w:val="0"/>
            <w:vAlign w:val="center"/>
          </w:tcPr>
          <w:p w14:paraId="6D449B37">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不敏感</w:t>
            </w:r>
          </w:p>
        </w:tc>
        <w:tc>
          <w:tcPr>
            <w:tcW w:w="4436" w:type="pct"/>
            <w:noWrap w:val="0"/>
            <w:vAlign w:val="center"/>
          </w:tcPr>
          <w:p w14:paraId="663CECFB">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上述地区之外的其它地区。</w:t>
            </w:r>
          </w:p>
        </w:tc>
      </w:tr>
      <w:tr w14:paraId="6FBA1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
            <w:noWrap w:val="0"/>
            <w:vAlign w:val="center"/>
          </w:tcPr>
          <w:p w14:paraId="15E5368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环境敏感区</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是指《建设项目环境影响评价分类管理名录》中所界定的涉及地下水的</w:t>
            </w:r>
          </w:p>
          <w:p w14:paraId="1099D2A7">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环境敏感区。</w:t>
            </w:r>
          </w:p>
        </w:tc>
      </w:tr>
    </w:tbl>
    <w:p w14:paraId="36023C03">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表2.</w:t>
      </w:r>
      <w:r>
        <w:rPr>
          <w:rFonts w:hint="eastAsia" w:ascii="Times New Roman" w:hAnsi="Times New Roman" w:eastAsia="宋体"/>
          <w:b/>
          <w:bCs/>
          <w:snapToGrid w:val="0"/>
          <w:color w:val="000000" w:themeColor="text1"/>
          <w:sz w:val="24"/>
          <w:szCs w:val="24"/>
          <w14:textFill>
            <w14:solidFill>
              <w14:schemeClr w14:val="tx1"/>
            </w14:solidFill>
          </w14:textFill>
        </w:rPr>
        <w:t>5</w:t>
      </w:r>
      <w:r>
        <w:rPr>
          <w:rFonts w:ascii="Times New Roman" w:hAnsi="Times New Roman" w:eastAsia="宋体"/>
          <w:b/>
          <w:bCs/>
          <w:snapToGrid w:val="0"/>
          <w:color w:val="000000" w:themeColor="text1"/>
          <w:sz w:val="24"/>
          <w:szCs w:val="24"/>
          <w14:textFill>
            <w14:solidFill>
              <w14:schemeClr w14:val="tx1"/>
            </w14:solidFill>
          </w14:textFill>
        </w:rPr>
        <w:t>-8    评价区地下水环境影响评价工作等级划分</w:t>
      </w:r>
    </w:p>
    <w:tbl>
      <w:tblPr>
        <w:tblStyle w:val="7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2120"/>
        <w:gridCol w:w="2120"/>
        <w:gridCol w:w="1881"/>
      </w:tblGrid>
      <w:tr w14:paraId="6F1F3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407" w:type="pct"/>
            <w:tcBorders>
              <w:tl2br w:val="single" w:color="auto" w:sz="4" w:space="0"/>
            </w:tcBorders>
            <w:noWrap w:val="0"/>
            <w:vAlign w:val="center"/>
          </w:tcPr>
          <w:p w14:paraId="2DF29DCE">
            <w:pPr>
              <w:keepNext/>
              <w:keepLines/>
              <w:widowControl/>
              <w:suppressLineNumbers w:val="0"/>
              <w:wordWrap w:val="0"/>
              <w:overflowPunct w:val="0"/>
              <w:spacing w:before="0" w:beforeAutospacing="0" w:after="0" w:afterAutospacing="0" w:line="360" w:lineRule="exact"/>
              <w:ind w:left="0" w:right="0"/>
              <w:jc w:val="right"/>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项目类别</w:t>
            </w:r>
          </w:p>
          <w:p w14:paraId="76D9147B">
            <w:pPr>
              <w:keepNext/>
              <w:keepLines/>
              <w:widowControl/>
              <w:suppressLineNumbers w:val="0"/>
              <w:wordWrap w:val="0"/>
              <w:overflowPunct w:val="0"/>
              <w:spacing w:before="0" w:beforeAutospacing="0" w:after="0" w:afterAutospacing="0" w:line="360" w:lineRule="exact"/>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环境敏感程度</w:t>
            </w:r>
          </w:p>
        </w:tc>
        <w:tc>
          <w:tcPr>
            <w:tcW w:w="1244" w:type="pct"/>
            <w:noWrap w:val="0"/>
            <w:vAlign w:val="center"/>
          </w:tcPr>
          <w:p w14:paraId="633DAA02">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I类项目</w:t>
            </w:r>
          </w:p>
        </w:tc>
        <w:tc>
          <w:tcPr>
            <w:tcW w:w="1244" w:type="pct"/>
            <w:noWrap w:val="0"/>
            <w:vAlign w:val="center"/>
          </w:tcPr>
          <w:p w14:paraId="538F5064">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II类项目</w:t>
            </w:r>
          </w:p>
        </w:tc>
        <w:tc>
          <w:tcPr>
            <w:tcW w:w="1104" w:type="pct"/>
            <w:noWrap w:val="0"/>
            <w:vAlign w:val="center"/>
          </w:tcPr>
          <w:p w14:paraId="3A3BBCEE">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III类项目</w:t>
            </w:r>
          </w:p>
        </w:tc>
      </w:tr>
      <w:tr w14:paraId="17E62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7" w:type="pct"/>
            <w:noWrap w:val="0"/>
            <w:vAlign w:val="center"/>
          </w:tcPr>
          <w:p w14:paraId="14A6A02D">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敏感</w:t>
            </w:r>
          </w:p>
        </w:tc>
        <w:tc>
          <w:tcPr>
            <w:tcW w:w="1244" w:type="pct"/>
            <w:noWrap w:val="0"/>
            <w:vAlign w:val="center"/>
          </w:tcPr>
          <w:p w14:paraId="00ACFEB7">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w:t>
            </w:r>
          </w:p>
        </w:tc>
        <w:tc>
          <w:tcPr>
            <w:tcW w:w="1244" w:type="pct"/>
            <w:noWrap w:val="0"/>
            <w:vAlign w:val="center"/>
          </w:tcPr>
          <w:p w14:paraId="0C7358A5">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w:t>
            </w:r>
          </w:p>
        </w:tc>
        <w:tc>
          <w:tcPr>
            <w:tcW w:w="1104" w:type="pct"/>
            <w:noWrap w:val="0"/>
            <w:vAlign w:val="center"/>
          </w:tcPr>
          <w:p w14:paraId="151C8118">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w:t>
            </w:r>
          </w:p>
        </w:tc>
      </w:tr>
      <w:tr w14:paraId="5472C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7" w:type="pct"/>
            <w:noWrap w:val="0"/>
            <w:vAlign w:val="center"/>
          </w:tcPr>
          <w:p w14:paraId="5EEA640F">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较敏感</w:t>
            </w:r>
          </w:p>
        </w:tc>
        <w:tc>
          <w:tcPr>
            <w:tcW w:w="1244" w:type="pct"/>
            <w:noWrap w:val="0"/>
            <w:vAlign w:val="center"/>
          </w:tcPr>
          <w:p w14:paraId="67938CBC">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w:t>
            </w:r>
          </w:p>
        </w:tc>
        <w:tc>
          <w:tcPr>
            <w:tcW w:w="1244" w:type="pct"/>
            <w:noWrap w:val="0"/>
            <w:vAlign w:val="center"/>
          </w:tcPr>
          <w:p w14:paraId="7F799837">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w:t>
            </w:r>
          </w:p>
        </w:tc>
        <w:tc>
          <w:tcPr>
            <w:tcW w:w="1104" w:type="pct"/>
            <w:noWrap w:val="0"/>
            <w:vAlign w:val="center"/>
          </w:tcPr>
          <w:p w14:paraId="3FBD4D5B">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w:t>
            </w:r>
          </w:p>
        </w:tc>
      </w:tr>
      <w:tr w14:paraId="5F019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7" w:type="pct"/>
            <w:noWrap w:val="0"/>
            <w:vAlign w:val="center"/>
          </w:tcPr>
          <w:p w14:paraId="3ECA603E">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不敏感</w:t>
            </w:r>
          </w:p>
        </w:tc>
        <w:tc>
          <w:tcPr>
            <w:tcW w:w="1244" w:type="pct"/>
            <w:noWrap w:val="0"/>
            <w:vAlign w:val="center"/>
          </w:tcPr>
          <w:p w14:paraId="35550B86">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w:t>
            </w:r>
          </w:p>
        </w:tc>
        <w:tc>
          <w:tcPr>
            <w:tcW w:w="1244" w:type="pct"/>
            <w:noWrap w:val="0"/>
            <w:vAlign w:val="center"/>
          </w:tcPr>
          <w:p w14:paraId="1C50AFFE">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w:t>
            </w:r>
          </w:p>
        </w:tc>
        <w:tc>
          <w:tcPr>
            <w:tcW w:w="1104" w:type="pct"/>
            <w:noWrap w:val="0"/>
            <w:vAlign w:val="center"/>
          </w:tcPr>
          <w:p w14:paraId="3E3C6724">
            <w:pPr>
              <w:keepNext/>
              <w:keepLines/>
              <w:widowControl/>
              <w:suppressLineNumbers w:val="0"/>
              <w:wordWrap w:val="0"/>
              <w:overflowPunct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w:t>
            </w:r>
          </w:p>
        </w:tc>
      </w:tr>
    </w:tbl>
    <w:p w14:paraId="6786F494">
      <w:pPr>
        <w:spacing w:line="480" w:lineRule="exact"/>
        <w:ind w:firstLine="480" w:firstLineChars="20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矿区内大面积被第四系全新统冲洪积层</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Q</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vertAlign w:val="superscript"/>
          <w14:textFill>
            <w14:solidFill>
              <w14:schemeClr w14:val="tx1"/>
            </w14:solidFill>
          </w14:textFill>
        </w:rPr>
        <w:t>aal</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覆盖，出露的地层为下寒武统双鹰山组。根据地下水赋存条件和水力特征，将矿区内地下水划分为两个含水层组，分别为第四系松散岩类透水不含水层、变质岩类裂隙弱富水弱含水层。下寒武统双鹰山组第二岩性段为相对的隔水边界。</w:t>
      </w:r>
      <w:r>
        <w:rPr>
          <w:color w:val="000000" w:themeColor="text1"/>
          <w:sz w:val="24"/>
          <w:szCs w:val="24"/>
          <w14:textFill>
            <w14:solidFill>
              <w14:schemeClr w14:val="tx1"/>
            </w14:solidFill>
          </w14:textFill>
        </w:rPr>
        <w:t>依据《环境影响评价技术导则 地下水环境》（HJ610-2016）</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本</w:t>
      </w:r>
      <w:r>
        <w:rPr>
          <w:rFonts w:hint="eastAsia"/>
          <w:color w:val="000000" w:themeColor="text1"/>
          <w:sz w:val="24"/>
          <w:szCs w:val="24"/>
          <w14:textFill>
            <w14:solidFill>
              <w14:schemeClr w14:val="tx1"/>
            </w14:solidFill>
          </w14:textFill>
        </w:rPr>
        <w:t>次评价采用自定义法，结合区域水文地质情况，以所处水文地质单元边界为评价范围，</w:t>
      </w:r>
      <w:r>
        <w:rPr>
          <w:rFonts w:hint="eastAsia"/>
          <w:color w:val="000000" w:themeColor="text1"/>
          <w:sz w:val="24"/>
          <w:szCs w:val="24"/>
          <w:highlight w:val="none"/>
          <w14:textFill>
            <w14:solidFill>
              <w14:schemeClr w14:val="tx1"/>
            </w14:solidFill>
          </w14:textFill>
        </w:rPr>
        <w:t>具体评价范围：</w:t>
      </w:r>
      <w:r>
        <w:rPr>
          <w:rFonts w:hint="eastAsia"/>
          <w:color w:val="000000" w:themeColor="text1"/>
          <w:sz w:val="24"/>
          <w:szCs w:val="24"/>
          <w:highlight w:val="none"/>
          <w:lang w:val="en-US" w:eastAsia="zh-CN"/>
          <w14:textFill>
            <w14:solidFill>
              <w14:schemeClr w14:val="tx1"/>
            </w14:solidFill>
          </w14:textFill>
        </w:rPr>
        <w:t>以矿区为中心，向矿界</w:t>
      </w:r>
      <w:r>
        <w:rPr>
          <w:rFonts w:hint="eastAsia"/>
          <w:color w:val="000000" w:themeColor="text1"/>
          <w:sz w:val="24"/>
          <w:szCs w:val="24"/>
          <w:highlight w:val="none"/>
          <w14:textFill>
            <w14:solidFill>
              <w14:schemeClr w14:val="tx1"/>
            </w14:solidFill>
          </w14:textFill>
        </w:rPr>
        <w:t>北侧</w:t>
      </w:r>
      <w:r>
        <w:rPr>
          <w:rFonts w:hint="eastAsia"/>
          <w:color w:val="000000" w:themeColor="text1"/>
          <w:sz w:val="24"/>
          <w:szCs w:val="24"/>
          <w:highlight w:val="none"/>
          <w:lang w:val="en-US" w:eastAsia="zh-CN"/>
          <w14:textFill>
            <w14:solidFill>
              <w14:schemeClr w14:val="tx1"/>
            </w14:solidFill>
          </w14:textFill>
        </w:rPr>
        <w:t>外延</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km、</w:t>
      </w:r>
      <w:r>
        <w:rPr>
          <w:rFonts w:hint="eastAsia"/>
          <w:color w:val="000000" w:themeColor="text1"/>
          <w:sz w:val="24"/>
          <w:szCs w:val="24"/>
          <w:highlight w:val="none"/>
          <w:lang w:eastAsia="zh-CN"/>
          <w14:textFill>
            <w14:solidFill>
              <w14:schemeClr w14:val="tx1"/>
            </w14:solidFill>
          </w14:textFill>
        </w:rPr>
        <w:t>东</w:t>
      </w:r>
      <w:r>
        <w:rPr>
          <w:rFonts w:hint="eastAsia"/>
          <w:color w:val="000000" w:themeColor="text1"/>
          <w:sz w:val="24"/>
          <w:szCs w:val="24"/>
          <w:highlight w:val="none"/>
          <w14:textFill>
            <w14:solidFill>
              <w14:schemeClr w14:val="tx1"/>
            </w14:solidFill>
          </w14:textFill>
        </w:rPr>
        <w:t>侧</w:t>
      </w:r>
      <w:r>
        <w:rPr>
          <w:rFonts w:hint="eastAsia"/>
          <w:color w:val="000000" w:themeColor="text1"/>
          <w:sz w:val="24"/>
          <w:szCs w:val="24"/>
          <w:highlight w:val="none"/>
          <w:lang w:val="en-US" w:eastAsia="zh-CN"/>
          <w14:textFill>
            <w14:solidFill>
              <w14:schemeClr w14:val="tx1"/>
            </w14:solidFill>
          </w14:textFill>
        </w:rPr>
        <w:t>外延</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km、</w:t>
      </w:r>
      <w:r>
        <w:rPr>
          <w:rFonts w:hint="eastAsia"/>
          <w:color w:val="000000" w:themeColor="text1"/>
          <w:sz w:val="24"/>
          <w:szCs w:val="24"/>
          <w:highlight w:val="none"/>
          <w:lang w:val="en-US" w:eastAsia="zh-CN"/>
          <w14:textFill>
            <w14:solidFill>
              <w14:schemeClr w14:val="tx1"/>
            </w14:solidFill>
          </w14:textFill>
        </w:rPr>
        <w:t>西侧外延2</w:t>
      </w:r>
      <w:r>
        <w:rPr>
          <w:rFonts w:hint="eastAsia"/>
          <w:color w:val="000000" w:themeColor="text1"/>
          <w:sz w:val="24"/>
          <w:szCs w:val="24"/>
          <w:highlight w:val="none"/>
          <w14:textFill>
            <w14:solidFill>
              <w14:schemeClr w14:val="tx1"/>
            </w14:solidFill>
          </w14:textFill>
        </w:rPr>
        <w:t>km</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南侧外延1</w:t>
      </w:r>
      <w:r>
        <w:rPr>
          <w:rFonts w:hint="eastAsia"/>
          <w:color w:val="000000" w:themeColor="text1"/>
          <w:sz w:val="24"/>
          <w:szCs w:val="24"/>
          <w:highlight w:val="none"/>
          <w14:textFill>
            <w14:solidFill>
              <w14:schemeClr w14:val="tx1"/>
            </w14:solidFill>
          </w14:textFill>
        </w:rPr>
        <w:t>km</w:t>
      </w:r>
      <w:r>
        <w:rPr>
          <w:rFonts w:hint="eastAsia"/>
          <w:color w:val="000000" w:themeColor="text1"/>
          <w:sz w:val="24"/>
          <w:szCs w:val="24"/>
          <w:highlight w:val="none"/>
          <w:lang w:val="en-US" w:eastAsia="zh-CN"/>
          <w14:textFill>
            <w14:solidFill>
              <w14:schemeClr w14:val="tx1"/>
            </w14:solidFill>
          </w14:textFill>
        </w:rPr>
        <w:t>形成的矩形区域，评价范围约13.34</w:t>
      </w:r>
      <w:r>
        <w:rPr>
          <w:rFonts w:hint="eastAsia"/>
          <w:color w:val="000000" w:themeColor="text1"/>
          <w:sz w:val="24"/>
          <w:szCs w:val="24"/>
          <w:highlight w:val="none"/>
          <w14:textFill>
            <w14:solidFill>
              <w14:schemeClr w14:val="tx1"/>
            </w14:solidFill>
          </w14:textFill>
        </w:rPr>
        <w:t>km</w:t>
      </w:r>
      <w:r>
        <w:rPr>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p>
    <w:p w14:paraId="32B0851B">
      <w:pPr>
        <w:pStyle w:val="4"/>
        <w:spacing w:before="60" w:after="60" w:line="480" w:lineRule="exact"/>
        <w:rPr>
          <w:color w:val="000000" w:themeColor="text1"/>
          <w:kern w:val="2"/>
          <w14:textFill>
            <w14:solidFill>
              <w14:schemeClr w14:val="tx1"/>
            </w14:solidFill>
          </w14:textFill>
        </w:rPr>
      </w:pPr>
      <w:bookmarkStart w:id="184" w:name="_Toc22774"/>
      <w:bookmarkStart w:id="185" w:name="_Toc1159231681"/>
      <w:bookmarkStart w:id="186" w:name="_Toc5349"/>
      <w:bookmarkStart w:id="187" w:name="_Toc813"/>
      <w:bookmarkStart w:id="188" w:name="_Toc26826"/>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5</w:t>
      </w:r>
      <w:r>
        <w:rPr>
          <w:color w:val="000000" w:themeColor="text1"/>
          <w:kern w:val="2"/>
          <w14:textFill>
            <w14:solidFill>
              <w14:schemeClr w14:val="tx1"/>
            </w14:solidFill>
          </w14:textFill>
        </w:rPr>
        <w:t>.3声环境评价等级和评价范围</w:t>
      </w:r>
      <w:bookmarkEnd w:id="184"/>
      <w:bookmarkEnd w:id="185"/>
      <w:bookmarkEnd w:id="186"/>
      <w:bookmarkEnd w:id="187"/>
      <w:bookmarkEnd w:id="188"/>
    </w:p>
    <w:p w14:paraId="02B10945">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根据《环境影响评价技术导则 声环境》（HJ2.4-20</w:t>
      </w:r>
      <w:r>
        <w:rPr>
          <w:color w:val="000000" w:themeColor="text1"/>
          <w:sz w:val="24"/>
          <w:szCs w:val="24"/>
          <w14:textFill>
            <w14:solidFill>
              <w14:schemeClr w14:val="tx1"/>
            </w14:solidFill>
          </w14:textFill>
        </w:rPr>
        <w:t>21</w:t>
      </w:r>
      <w:r>
        <w:rPr>
          <w:rFonts w:hint="eastAsia"/>
          <w:color w:val="000000" w:themeColor="text1"/>
          <w:sz w:val="24"/>
          <w:szCs w:val="24"/>
          <w14:textFill>
            <w14:solidFill>
              <w14:schemeClr w14:val="tx1"/>
            </w14:solidFill>
          </w14:textFill>
        </w:rPr>
        <w:t>）规定，建设项目所处的声环境功能区为GB3096规定的1类、2类地区，或者建设项目建设前后评价范围内敏感目标噪声级增高量达3～5dB（A），或受噪声影响人口数量增加较多时，按二级评价。项目区位于《声环境质量标准》（GB3096</w:t>
      </w:r>
      <w:r>
        <w:rPr>
          <w:rFonts w:hint="eastAsia"/>
          <w:color w:val="000000" w:themeColor="text1"/>
          <w:sz w:val="24"/>
          <w:szCs w:val="24"/>
          <w:lang w:val="en-US" w:eastAsia="zh-CN"/>
          <w14:textFill>
            <w14:solidFill>
              <w14:schemeClr w14:val="tx1"/>
            </w14:solidFill>
          </w14:textFill>
        </w:rPr>
        <w:t>-2008</w:t>
      </w:r>
      <w:r>
        <w:rPr>
          <w:rFonts w:hint="eastAsia"/>
          <w:color w:val="000000" w:themeColor="text1"/>
          <w:sz w:val="24"/>
          <w:szCs w:val="24"/>
          <w14:textFill>
            <w14:solidFill>
              <w14:schemeClr w14:val="tx1"/>
            </w14:solidFill>
          </w14:textFill>
        </w:rPr>
        <w:t>）中2类功能区，周围</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km范围内无居民区等声环境敏感目标，受影响人数变化不大。根据《环境影响评价技术导则 声环境》（HJ2.4-20</w:t>
      </w:r>
      <w:r>
        <w:rPr>
          <w:color w:val="000000" w:themeColor="text1"/>
          <w:sz w:val="24"/>
          <w:szCs w:val="24"/>
          <w14:textFill>
            <w14:solidFill>
              <w14:schemeClr w14:val="tx1"/>
            </w14:solidFill>
          </w14:textFill>
        </w:rPr>
        <w:t>21</w:t>
      </w:r>
      <w:r>
        <w:rPr>
          <w:rFonts w:hint="eastAsia"/>
          <w:color w:val="000000" w:themeColor="text1"/>
          <w:sz w:val="24"/>
          <w:szCs w:val="24"/>
          <w14:textFill>
            <w14:solidFill>
              <w14:schemeClr w14:val="tx1"/>
            </w14:solidFill>
          </w14:textFill>
        </w:rPr>
        <w:t>）中的评价等级确定原则，声环境评价等级为二级。</w:t>
      </w:r>
    </w:p>
    <w:p w14:paraId="1D4426FE">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声环境评价范围为矿</w:t>
      </w:r>
      <w:r>
        <w:rPr>
          <w:rFonts w:hint="eastAsia"/>
          <w:color w:val="000000" w:themeColor="text1"/>
          <w:sz w:val="24"/>
          <w:szCs w:val="24"/>
          <w:lang w:eastAsia="zh-CN"/>
          <w14:textFill>
            <w14:solidFill>
              <w14:schemeClr w14:val="tx1"/>
            </w14:solidFill>
          </w14:textFill>
        </w:rPr>
        <w:t>区</w:t>
      </w:r>
      <w:r>
        <w:rPr>
          <w:rFonts w:hint="eastAsia"/>
          <w:color w:val="000000" w:themeColor="text1"/>
          <w:sz w:val="24"/>
          <w:szCs w:val="24"/>
          <w14:textFill>
            <w14:solidFill>
              <w14:schemeClr w14:val="tx1"/>
            </w14:solidFill>
          </w14:textFill>
        </w:rPr>
        <w:t>边界外1m。</w:t>
      </w:r>
    </w:p>
    <w:p w14:paraId="0D1FDD88">
      <w:pPr>
        <w:pStyle w:val="4"/>
        <w:spacing w:before="60" w:after="60" w:line="480" w:lineRule="exact"/>
        <w:rPr>
          <w:color w:val="000000" w:themeColor="text1"/>
          <w:kern w:val="2"/>
          <w:highlight w:val="none"/>
          <w14:textFill>
            <w14:solidFill>
              <w14:schemeClr w14:val="tx1"/>
            </w14:solidFill>
          </w14:textFill>
        </w:rPr>
      </w:pPr>
      <w:bookmarkStart w:id="189" w:name="_Toc1235216983"/>
      <w:bookmarkStart w:id="190" w:name="_Toc10349"/>
      <w:bookmarkStart w:id="191" w:name="_Toc27236"/>
      <w:bookmarkStart w:id="192" w:name="_Toc10433"/>
      <w:bookmarkStart w:id="193" w:name="_Toc31586"/>
      <w:r>
        <w:rPr>
          <w:color w:val="000000" w:themeColor="text1"/>
          <w:kern w:val="2"/>
          <w:highlight w:val="none"/>
          <w14:textFill>
            <w14:solidFill>
              <w14:schemeClr w14:val="tx1"/>
            </w14:solidFill>
          </w14:textFill>
        </w:rPr>
        <w:t>2.</w:t>
      </w:r>
      <w:r>
        <w:rPr>
          <w:rFonts w:hint="eastAsia"/>
          <w:color w:val="000000" w:themeColor="text1"/>
          <w:kern w:val="2"/>
          <w:highlight w:val="none"/>
          <w14:textFill>
            <w14:solidFill>
              <w14:schemeClr w14:val="tx1"/>
            </w14:solidFill>
          </w14:textFill>
        </w:rPr>
        <w:t>5</w:t>
      </w:r>
      <w:r>
        <w:rPr>
          <w:color w:val="000000" w:themeColor="text1"/>
          <w:kern w:val="2"/>
          <w:highlight w:val="none"/>
          <w14:textFill>
            <w14:solidFill>
              <w14:schemeClr w14:val="tx1"/>
            </w14:solidFill>
          </w14:textFill>
        </w:rPr>
        <w:t>.4土壤环境评价等级和评价范围</w:t>
      </w:r>
      <w:bookmarkEnd w:id="189"/>
      <w:bookmarkEnd w:id="190"/>
      <w:bookmarkEnd w:id="191"/>
      <w:bookmarkEnd w:id="192"/>
      <w:bookmarkEnd w:id="193"/>
    </w:p>
    <w:p w14:paraId="11AC52E6">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（1）项目类别</w:t>
      </w:r>
    </w:p>
    <w:p w14:paraId="0D2D0E31">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本项目</w:t>
      </w:r>
      <w:r>
        <w:rPr>
          <w:rFonts w:hint="eastAsia"/>
          <w:color w:val="000000" w:themeColor="text1"/>
          <w:sz w:val="24"/>
          <w:szCs w:val="24"/>
          <w14:textFill>
            <w14:solidFill>
              <w14:schemeClr w14:val="tx1"/>
            </w14:solidFill>
          </w14:textFill>
        </w:rPr>
        <w:t>属于《环境影响评价技术导则 土壤环境（试行）》（HJ964-2018）附录A土壤环境影响评价项目类别表中的</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采矿业</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中</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金属矿、石油、页岩油开采</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类，确定</w:t>
      </w:r>
      <w:r>
        <w:rPr>
          <w:rFonts w:hint="eastAsia"/>
          <w:color w:val="000000" w:themeColor="text1"/>
          <w:sz w:val="24"/>
          <w:szCs w:val="24"/>
          <w:lang w:eastAsia="zh-CN"/>
          <w14:textFill>
            <w14:solidFill>
              <w14:schemeClr w14:val="tx1"/>
            </w14:solidFill>
          </w14:textFill>
        </w:rPr>
        <w:t>本项目</w:t>
      </w:r>
      <w:r>
        <w:rPr>
          <w:rFonts w:hint="eastAsia"/>
          <w:color w:val="000000" w:themeColor="text1"/>
          <w:sz w:val="24"/>
          <w:szCs w:val="24"/>
          <w14:textFill>
            <w14:solidFill>
              <w14:schemeClr w14:val="tx1"/>
            </w14:solidFill>
          </w14:textFill>
        </w:rPr>
        <w:t>区域土壤环境影响评价项目类别为I类</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见表2.5-9</w:t>
      </w:r>
      <w:r>
        <w:rPr>
          <w:rFonts w:hint="eastAsia"/>
          <w:color w:val="000000" w:themeColor="text1"/>
          <w:sz w:val="24"/>
          <w:szCs w:val="24"/>
          <w14:textFill>
            <w14:solidFill>
              <w14:schemeClr w14:val="tx1"/>
            </w14:solidFill>
          </w14:textFill>
        </w:rPr>
        <w:t>。</w:t>
      </w:r>
    </w:p>
    <w:p w14:paraId="52656FCE">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表2.</w:t>
      </w:r>
      <w:r>
        <w:rPr>
          <w:rFonts w:hint="eastAsia" w:ascii="Times New Roman" w:hAnsi="Times New Roman" w:eastAsia="宋体"/>
          <w:b/>
          <w:bCs/>
          <w:snapToGrid w:val="0"/>
          <w:color w:val="000000" w:themeColor="text1"/>
          <w:sz w:val="24"/>
          <w:szCs w:val="24"/>
          <w14:textFill>
            <w14:solidFill>
              <w14:schemeClr w14:val="tx1"/>
            </w14:solidFill>
          </w14:textFill>
        </w:rPr>
        <w:t>5</w:t>
      </w:r>
      <w:r>
        <w:rPr>
          <w:rFonts w:ascii="Times New Roman" w:hAnsi="Times New Roman" w:eastAsia="宋体"/>
          <w:b/>
          <w:bCs/>
          <w:snapToGrid w:val="0"/>
          <w:color w:val="000000" w:themeColor="text1"/>
          <w:sz w:val="24"/>
          <w:szCs w:val="24"/>
          <w14:textFill>
            <w14:solidFill>
              <w14:schemeClr w14:val="tx1"/>
            </w14:solidFill>
          </w14:textFill>
        </w:rPr>
        <w:t>-9    土壤环境影响评价项目类别</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735"/>
        <w:gridCol w:w="5172"/>
        <w:gridCol w:w="724"/>
      </w:tblGrid>
      <w:tr w14:paraId="5D546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Merge w:val="restart"/>
            <w:noWrap w:val="0"/>
            <w:vAlign w:val="center"/>
          </w:tcPr>
          <w:p w14:paraId="29FD6803">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行业</w:t>
            </w:r>
          </w:p>
          <w:p w14:paraId="7854B5B2">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类别</w:t>
            </w:r>
          </w:p>
        </w:tc>
        <w:tc>
          <w:tcPr>
            <w:tcW w:w="4478" w:type="pct"/>
            <w:gridSpan w:val="3"/>
            <w:noWrap w:val="0"/>
            <w:vAlign w:val="center"/>
          </w:tcPr>
          <w:p w14:paraId="1755BE40">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项目类别</w:t>
            </w:r>
          </w:p>
        </w:tc>
      </w:tr>
      <w:tr w14:paraId="7C7B3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21" w:type="pct"/>
            <w:vMerge w:val="continue"/>
            <w:noWrap w:val="0"/>
            <w:vAlign w:val="center"/>
          </w:tcPr>
          <w:p w14:paraId="32EE10C6">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p>
        </w:tc>
        <w:tc>
          <w:tcPr>
            <w:tcW w:w="1018" w:type="pct"/>
            <w:noWrap w:val="0"/>
            <w:vAlign w:val="center"/>
          </w:tcPr>
          <w:p w14:paraId="7AC5008C">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I类</w:t>
            </w:r>
          </w:p>
        </w:tc>
        <w:tc>
          <w:tcPr>
            <w:tcW w:w="3035" w:type="pct"/>
            <w:noWrap w:val="0"/>
            <w:vAlign w:val="center"/>
          </w:tcPr>
          <w:p w14:paraId="630BF9F3">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II类</w:t>
            </w:r>
          </w:p>
        </w:tc>
        <w:tc>
          <w:tcPr>
            <w:tcW w:w="424" w:type="pct"/>
            <w:noWrap w:val="0"/>
            <w:vAlign w:val="center"/>
          </w:tcPr>
          <w:p w14:paraId="55CF3698">
            <w:pPr>
              <w:pStyle w:val="183"/>
              <w:widowControl w:val="0"/>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III类</w:t>
            </w:r>
          </w:p>
        </w:tc>
      </w:tr>
      <w:tr w14:paraId="4EA8C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noWrap w:val="0"/>
            <w:vAlign w:val="center"/>
          </w:tcPr>
          <w:p w14:paraId="75B5FC17">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采矿业</w:t>
            </w:r>
          </w:p>
        </w:tc>
        <w:tc>
          <w:tcPr>
            <w:tcW w:w="1018" w:type="pct"/>
            <w:noWrap w:val="0"/>
            <w:vAlign w:val="center"/>
          </w:tcPr>
          <w:p w14:paraId="223300FE">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金属矿、石油、页岩油开采</w:t>
            </w:r>
          </w:p>
        </w:tc>
        <w:tc>
          <w:tcPr>
            <w:tcW w:w="3035" w:type="pct"/>
            <w:noWrap w:val="0"/>
            <w:vAlign w:val="center"/>
          </w:tcPr>
          <w:p w14:paraId="3DA75CCE">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化学矿采选；石棉矿采选；煤矿采选、天然气开采、页岩气开采、砂岩气开采、煤气层开采（含净化、液化）</w:t>
            </w:r>
          </w:p>
        </w:tc>
        <w:tc>
          <w:tcPr>
            <w:tcW w:w="424" w:type="pct"/>
            <w:noWrap w:val="0"/>
            <w:vAlign w:val="center"/>
          </w:tcPr>
          <w:p w14:paraId="08A84CC0">
            <w:pPr>
              <w:pStyle w:val="183"/>
              <w:widowControl w:val="0"/>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其他</w:t>
            </w:r>
          </w:p>
        </w:tc>
      </w:tr>
    </w:tbl>
    <w:p w14:paraId="0ED00203">
      <w:pPr>
        <w:spacing w:line="480" w:lineRule="exact"/>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生态影响型</w:t>
      </w:r>
    </w:p>
    <w:p w14:paraId="59511661">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w:t>
      </w:r>
      <w:r>
        <w:rPr>
          <w:rFonts w:hint="eastAsia"/>
          <w:color w:val="000000" w:themeColor="text1"/>
          <w:sz w:val="24"/>
          <w:szCs w:val="24"/>
          <w:lang w:eastAsia="zh-CN"/>
          <w14:textFill>
            <w14:solidFill>
              <w14:schemeClr w14:val="tx1"/>
            </w14:solidFill>
          </w14:textFill>
        </w:rPr>
        <w:t>项目采矿区</w:t>
      </w:r>
      <w:r>
        <w:rPr>
          <w:rFonts w:hint="eastAsia"/>
          <w:color w:val="000000" w:themeColor="text1"/>
          <w:sz w:val="24"/>
          <w:szCs w:val="24"/>
          <w14:textFill>
            <w14:solidFill>
              <w14:schemeClr w14:val="tx1"/>
            </w14:solidFill>
          </w14:textFill>
        </w:rPr>
        <w:t>属于生态影响型，根据《环境影响评价技术导则 土壤环境（试行）》（HJ964-2018）中土壤环境生态影响型敏感程度分级规定和本</w:t>
      </w:r>
      <w:r>
        <w:rPr>
          <w:rFonts w:hint="eastAsia"/>
          <w:color w:val="000000" w:themeColor="text1"/>
          <w:sz w:val="24"/>
          <w:szCs w:val="24"/>
          <w:lang w:eastAsia="zh-CN"/>
          <w14:textFill>
            <w14:solidFill>
              <w14:schemeClr w14:val="tx1"/>
            </w14:solidFill>
          </w14:textFill>
        </w:rPr>
        <w:t>项目</w:t>
      </w:r>
      <w:r>
        <w:rPr>
          <w:rFonts w:hint="eastAsia"/>
          <w:color w:val="000000" w:themeColor="text1"/>
          <w:sz w:val="24"/>
          <w:szCs w:val="24"/>
          <w14:textFill>
            <w14:solidFill>
              <w14:schemeClr w14:val="tx1"/>
            </w14:solidFill>
          </w14:textFill>
        </w:rPr>
        <w:t>所在区域的地质资料，确定本</w:t>
      </w:r>
      <w:r>
        <w:rPr>
          <w:rFonts w:hint="eastAsia"/>
          <w:color w:val="000000" w:themeColor="text1"/>
          <w:sz w:val="24"/>
          <w:szCs w:val="24"/>
          <w:lang w:eastAsia="zh-CN"/>
          <w14:textFill>
            <w14:solidFill>
              <w14:schemeClr w14:val="tx1"/>
            </w14:solidFill>
          </w14:textFill>
        </w:rPr>
        <w:t>项目</w:t>
      </w:r>
      <w:r>
        <w:rPr>
          <w:rFonts w:hint="eastAsia"/>
          <w:color w:val="000000" w:themeColor="text1"/>
          <w:sz w:val="24"/>
          <w:szCs w:val="24"/>
          <w14:textFill>
            <w14:solidFill>
              <w14:schemeClr w14:val="tx1"/>
            </w14:solidFill>
          </w14:textFill>
        </w:rPr>
        <w:t>所在区域的土壤环境敏感程度。</w:t>
      </w:r>
    </w:p>
    <w:p w14:paraId="0F9E2925">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根据项目区土壤盐化、酸化、碱化的实际情况判定，矿区地势平缓开阔，所在地干燥度＞2.5，常年地下水位远大于1</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m，土壤含盐量为</w:t>
      </w:r>
      <w:r>
        <w:rPr>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g</w:t>
      </w:r>
      <w:r>
        <w:rPr>
          <w:color w:val="000000" w:themeColor="text1"/>
          <w:sz w:val="24"/>
          <w:szCs w:val="24"/>
          <w14:textFill>
            <w14:solidFill>
              <w14:schemeClr w14:val="tx1"/>
            </w14:solidFill>
          </w14:textFill>
        </w:rPr>
        <w:t>/kg</w:t>
      </w:r>
      <w:r>
        <w:rPr>
          <w:rFonts w:hint="eastAsia"/>
          <w:color w:val="000000" w:themeColor="text1"/>
          <w:sz w:val="24"/>
          <w:szCs w:val="24"/>
          <w14:textFill>
            <w14:solidFill>
              <w14:schemeClr w14:val="tx1"/>
            </w14:solidFill>
          </w14:textFill>
        </w:rPr>
        <w:t>，盐化程度不敏感；土壤中的pH为</w:t>
      </w:r>
      <w:r>
        <w:rPr>
          <w:color w:val="000000" w:themeColor="text1"/>
          <w:sz w:val="24"/>
          <w:szCs w:val="24"/>
          <w14:textFill>
            <w14:solidFill>
              <w14:schemeClr w14:val="tx1"/>
            </w14:solidFill>
          </w14:textFill>
        </w:rPr>
        <w:t>8.1</w:t>
      </w:r>
      <w:r>
        <w:rPr>
          <w:rFonts w:hint="eastAsia"/>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；综上判断，土壤环境敏感程度划分为较敏感。依据《环境影响评价技术导则 土壤环境》（HJ964-2018）中的土壤环境敏感程度分级表、建设项目评价工作等级分级表（表2.5-10、表2.5-11），确定本项目土壤</w:t>
      </w:r>
      <w:r>
        <w:rPr>
          <w:rFonts w:hint="eastAsia"/>
          <w:color w:val="000000" w:themeColor="text1"/>
          <w:sz w:val="24"/>
          <w:szCs w:val="24"/>
          <w:lang w:eastAsia="zh-CN"/>
          <w14:textFill>
            <w14:solidFill>
              <w14:schemeClr w14:val="tx1"/>
            </w14:solidFill>
          </w14:textFill>
        </w:rPr>
        <w:t>生态影响型</w:t>
      </w:r>
      <w:r>
        <w:rPr>
          <w:rFonts w:hint="eastAsia"/>
          <w:color w:val="000000" w:themeColor="text1"/>
          <w:sz w:val="24"/>
          <w:szCs w:val="24"/>
          <w14:textFill>
            <w14:solidFill>
              <w14:schemeClr w14:val="tx1"/>
            </w14:solidFill>
          </w14:textFill>
        </w:rPr>
        <w:t>评价工作等级为二级。评价范围为矿区及矿区边界外2km的范围内。</w:t>
      </w:r>
    </w:p>
    <w:p w14:paraId="725BAC31">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表2.</w:t>
      </w:r>
      <w:r>
        <w:rPr>
          <w:rFonts w:hint="eastAsia" w:ascii="Times New Roman" w:hAnsi="Times New Roman" w:eastAsia="宋体"/>
          <w:b/>
          <w:bCs/>
          <w:snapToGrid w:val="0"/>
          <w:color w:val="000000" w:themeColor="text1"/>
          <w:sz w:val="24"/>
          <w:szCs w:val="24"/>
          <w14:textFill>
            <w14:solidFill>
              <w14:schemeClr w14:val="tx1"/>
            </w14:solidFill>
          </w14:textFill>
        </w:rPr>
        <w:t>5</w:t>
      </w:r>
      <w:r>
        <w:rPr>
          <w:rFonts w:ascii="Times New Roman" w:hAnsi="Times New Roman" w:eastAsia="宋体"/>
          <w:b/>
          <w:bCs/>
          <w:snapToGrid w:val="0"/>
          <w:color w:val="000000" w:themeColor="text1"/>
          <w:sz w:val="24"/>
          <w:szCs w:val="24"/>
          <w14:textFill>
            <w14:solidFill>
              <w14:schemeClr w14:val="tx1"/>
            </w14:solidFill>
          </w14:textFill>
        </w:rPr>
        <w:t>-</w:t>
      </w:r>
      <w:r>
        <w:rPr>
          <w:rFonts w:hint="eastAsia" w:ascii="Times New Roman" w:hAnsi="Times New Roman" w:eastAsia="宋体"/>
          <w:b/>
          <w:bCs/>
          <w:snapToGrid w:val="0"/>
          <w:color w:val="000000" w:themeColor="text1"/>
          <w:sz w:val="24"/>
          <w:szCs w:val="24"/>
          <w14:textFill>
            <w14:solidFill>
              <w14:schemeClr w14:val="tx1"/>
            </w14:solidFill>
          </w14:textFill>
        </w:rPr>
        <w:t>10</w:t>
      </w:r>
      <w:r>
        <w:rPr>
          <w:rFonts w:ascii="Times New Roman" w:hAnsi="Times New Roman" w:eastAsia="宋体"/>
          <w:b/>
          <w:bCs/>
          <w:snapToGrid w:val="0"/>
          <w:color w:val="000000" w:themeColor="text1"/>
          <w:sz w:val="24"/>
          <w:szCs w:val="24"/>
          <w14:textFill>
            <w14:solidFill>
              <w14:schemeClr w14:val="tx1"/>
            </w14:solidFill>
          </w14:textFill>
        </w:rPr>
        <w:t xml:space="preserve">    生态影响型敏感程度分级表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4726"/>
        <w:gridCol w:w="1334"/>
        <w:gridCol w:w="1352"/>
      </w:tblGrid>
      <w:tr w14:paraId="36A05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0" w:type="pct"/>
            <w:vMerge w:val="restart"/>
            <w:noWrap w:val="0"/>
            <w:vAlign w:val="center"/>
          </w:tcPr>
          <w:p w14:paraId="3378CB76">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敏感程度</w:t>
            </w:r>
          </w:p>
        </w:tc>
        <w:tc>
          <w:tcPr>
            <w:tcW w:w="4350" w:type="pct"/>
            <w:gridSpan w:val="3"/>
            <w:noWrap w:val="0"/>
            <w:vAlign w:val="center"/>
          </w:tcPr>
          <w:p w14:paraId="5B5DE53D">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判别依据</w:t>
            </w:r>
          </w:p>
        </w:tc>
      </w:tr>
      <w:tr w14:paraId="1D4EE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0" w:type="pct"/>
            <w:vMerge w:val="continue"/>
            <w:noWrap w:val="0"/>
            <w:vAlign w:val="center"/>
          </w:tcPr>
          <w:p w14:paraId="5FAD296A">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b/>
                <w:bCs/>
                <w:color w:val="000000" w:themeColor="text1"/>
                <w:sz w:val="21"/>
                <w14:textFill>
                  <w14:solidFill>
                    <w14:schemeClr w14:val="tx1"/>
                  </w14:solidFill>
                </w14:textFill>
              </w:rPr>
            </w:pPr>
          </w:p>
        </w:tc>
        <w:tc>
          <w:tcPr>
            <w:tcW w:w="2774" w:type="pct"/>
            <w:noWrap w:val="0"/>
            <w:vAlign w:val="center"/>
          </w:tcPr>
          <w:p w14:paraId="065D66A4">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盐化</w:t>
            </w:r>
          </w:p>
        </w:tc>
        <w:tc>
          <w:tcPr>
            <w:tcW w:w="783" w:type="pct"/>
            <w:noWrap w:val="0"/>
            <w:vAlign w:val="center"/>
          </w:tcPr>
          <w:p w14:paraId="498FFFF1">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酸化</w:t>
            </w:r>
          </w:p>
        </w:tc>
        <w:tc>
          <w:tcPr>
            <w:tcW w:w="793" w:type="pct"/>
            <w:noWrap w:val="0"/>
            <w:vAlign w:val="center"/>
          </w:tcPr>
          <w:p w14:paraId="13F1E3B7">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碱化</w:t>
            </w:r>
          </w:p>
        </w:tc>
      </w:tr>
      <w:tr w14:paraId="02CF1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noWrap w:val="0"/>
            <w:vAlign w:val="center"/>
          </w:tcPr>
          <w:p w14:paraId="364D1449">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敏感</w:t>
            </w:r>
          </w:p>
        </w:tc>
        <w:tc>
          <w:tcPr>
            <w:tcW w:w="2774" w:type="pct"/>
            <w:noWrap w:val="0"/>
            <w:vAlign w:val="center"/>
          </w:tcPr>
          <w:p w14:paraId="740E60C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建设项目所在地干燥度＞2.5且常年地下水位平均埋深＜1.5m的地势平坦区域；或土壤含盐量＞4g/kg的区域</w:t>
            </w:r>
          </w:p>
        </w:tc>
        <w:tc>
          <w:tcPr>
            <w:tcW w:w="783" w:type="pct"/>
            <w:noWrap w:val="0"/>
            <w:vAlign w:val="center"/>
          </w:tcPr>
          <w:p w14:paraId="21C937CF">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pH</w:t>
            </w:r>
            <w:r>
              <w:rPr>
                <w:rFonts w:ascii="Times New Roman" w:hAnsi="Times New Roman" w:eastAsia="宋体"/>
                <w:color w:val="000000" w:themeColor="text1"/>
                <w:sz w:val="21"/>
                <w14:textFill>
                  <w14:solidFill>
                    <w14:schemeClr w14:val="tx1"/>
                  </w14:solidFill>
                </w14:textFill>
              </w:rPr>
              <w:t>≤4.5</w:t>
            </w:r>
          </w:p>
        </w:tc>
        <w:tc>
          <w:tcPr>
            <w:tcW w:w="793" w:type="pct"/>
            <w:noWrap w:val="0"/>
            <w:vAlign w:val="center"/>
          </w:tcPr>
          <w:p w14:paraId="621F9A3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pH</w:t>
            </w:r>
            <w:r>
              <w:rPr>
                <w:rFonts w:ascii="Times New Roman" w:hAnsi="Times New Roman" w:eastAsia="宋体"/>
                <w:color w:val="000000" w:themeColor="text1"/>
                <w:sz w:val="21"/>
                <w14:textFill>
                  <w14:solidFill>
                    <w14:schemeClr w14:val="tx1"/>
                  </w14:solidFill>
                </w14:textFill>
              </w:rPr>
              <w:t>≥9.0</w:t>
            </w:r>
          </w:p>
        </w:tc>
      </w:tr>
      <w:tr w14:paraId="69D56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noWrap w:val="0"/>
            <w:vAlign w:val="center"/>
          </w:tcPr>
          <w:p w14:paraId="0BB3CFD5">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较敏感</w:t>
            </w:r>
          </w:p>
        </w:tc>
        <w:tc>
          <w:tcPr>
            <w:tcW w:w="2774" w:type="pct"/>
            <w:noWrap w:val="0"/>
            <w:vAlign w:val="center"/>
          </w:tcPr>
          <w:p w14:paraId="487DA805">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783" w:type="pct"/>
            <w:noWrap w:val="0"/>
            <w:vAlign w:val="center"/>
          </w:tcPr>
          <w:p w14:paraId="77965C69">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4.5＜</w:t>
            </w:r>
            <w:r>
              <w:rPr>
                <w:rFonts w:hint="eastAsia" w:ascii="Times New Roman" w:hAnsi="Times New Roman" w:eastAsia="宋体"/>
                <w:color w:val="000000" w:themeColor="text1"/>
                <w:sz w:val="21"/>
                <w14:textFill>
                  <w14:solidFill>
                    <w14:schemeClr w14:val="tx1"/>
                  </w14:solidFill>
                </w14:textFill>
              </w:rPr>
              <w:t>pH</w:t>
            </w:r>
            <w:r>
              <w:rPr>
                <w:rFonts w:ascii="Times New Roman" w:hAnsi="Times New Roman" w:eastAsia="宋体"/>
                <w:color w:val="000000" w:themeColor="text1"/>
                <w:sz w:val="21"/>
                <w14:textFill>
                  <w14:solidFill>
                    <w14:schemeClr w14:val="tx1"/>
                  </w14:solidFill>
                </w14:textFill>
              </w:rPr>
              <w:t>≤5.5</w:t>
            </w:r>
          </w:p>
        </w:tc>
        <w:tc>
          <w:tcPr>
            <w:tcW w:w="793" w:type="pct"/>
            <w:noWrap w:val="0"/>
            <w:vAlign w:val="center"/>
          </w:tcPr>
          <w:p w14:paraId="1EFACBE3">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8.5≤</w:t>
            </w:r>
            <w:r>
              <w:rPr>
                <w:rFonts w:hint="eastAsia" w:ascii="Times New Roman" w:hAnsi="Times New Roman" w:eastAsia="宋体"/>
                <w:color w:val="000000" w:themeColor="text1"/>
                <w:sz w:val="21"/>
                <w14:textFill>
                  <w14:solidFill>
                    <w14:schemeClr w14:val="tx1"/>
                  </w14:solidFill>
                </w14:textFill>
              </w:rPr>
              <w:t>pH</w:t>
            </w:r>
            <w:r>
              <w:rPr>
                <w:rFonts w:ascii="Times New Roman" w:hAnsi="Times New Roman" w:eastAsia="宋体"/>
                <w:color w:val="000000" w:themeColor="text1"/>
                <w:sz w:val="21"/>
                <w14:textFill>
                  <w14:solidFill>
                    <w14:schemeClr w14:val="tx1"/>
                  </w14:solidFill>
                </w14:textFill>
              </w:rPr>
              <w:t>＜9.0</w:t>
            </w:r>
          </w:p>
        </w:tc>
      </w:tr>
      <w:tr w14:paraId="29319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noWrap w:val="0"/>
            <w:vAlign w:val="center"/>
          </w:tcPr>
          <w:p w14:paraId="00533C32">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不敏感</w:t>
            </w:r>
          </w:p>
        </w:tc>
        <w:tc>
          <w:tcPr>
            <w:tcW w:w="2774" w:type="pct"/>
            <w:noWrap w:val="0"/>
            <w:vAlign w:val="center"/>
          </w:tcPr>
          <w:p w14:paraId="5491EE3A">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其他</w:t>
            </w:r>
          </w:p>
        </w:tc>
        <w:tc>
          <w:tcPr>
            <w:tcW w:w="1576" w:type="pct"/>
            <w:gridSpan w:val="2"/>
            <w:noWrap w:val="0"/>
            <w:vAlign w:val="center"/>
          </w:tcPr>
          <w:p w14:paraId="7958DB38">
            <w:pPr>
              <w:pStyle w:val="183"/>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5.5＜</w:t>
            </w:r>
            <w:r>
              <w:rPr>
                <w:rFonts w:hint="eastAsia" w:ascii="Times New Roman" w:hAnsi="Times New Roman" w:eastAsia="宋体"/>
                <w:color w:val="000000" w:themeColor="text1"/>
                <w:sz w:val="21"/>
                <w14:textFill>
                  <w14:solidFill>
                    <w14:schemeClr w14:val="tx1"/>
                  </w14:solidFill>
                </w14:textFill>
              </w:rPr>
              <w:t>pH</w:t>
            </w:r>
            <w:r>
              <w:rPr>
                <w:rFonts w:ascii="Times New Roman" w:hAnsi="Times New Roman" w:eastAsia="宋体"/>
                <w:color w:val="000000" w:themeColor="text1"/>
                <w:sz w:val="21"/>
                <w14:textFill>
                  <w14:solidFill>
                    <w14:schemeClr w14:val="tx1"/>
                  </w14:solidFill>
                </w14:textFill>
              </w:rPr>
              <w:t>＜8.5</w:t>
            </w:r>
          </w:p>
        </w:tc>
      </w:tr>
    </w:tbl>
    <w:p w14:paraId="42238F25">
      <w:pPr>
        <w:pStyle w:val="183"/>
        <w:widowControl w:val="0"/>
        <w:spacing w:after="0" w:line="480" w:lineRule="exact"/>
        <w:ind w:firstLine="482"/>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表2.</w:t>
      </w:r>
      <w:r>
        <w:rPr>
          <w:rFonts w:hint="eastAsia" w:ascii="Times New Roman" w:hAnsi="Times New Roman" w:eastAsia="宋体"/>
          <w:b/>
          <w:bCs/>
          <w:snapToGrid w:val="0"/>
          <w:color w:val="000000" w:themeColor="text1"/>
          <w:sz w:val="24"/>
          <w:szCs w:val="24"/>
          <w14:textFill>
            <w14:solidFill>
              <w14:schemeClr w14:val="tx1"/>
            </w14:solidFill>
          </w14:textFill>
        </w:rPr>
        <w:t>5</w:t>
      </w:r>
      <w:r>
        <w:rPr>
          <w:rFonts w:ascii="Times New Roman" w:hAnsi="Times New Roman" w:eastAsia="宋体"/>
          <w:b/>
          <w:bCs/>
          <w:snapToGrid w:val="0"/>
          <w:color w:val="000000" w:themeColor="text1"/>
          <w:sz w:val="24"/>
          <w:szCs w:val="24"/>
          <w14:textFill>
            <w14:solidFill>
              <w14:schemeClr w14:val="tx1"/>
            </w14:solidFill>
          </w14:textFill>
        </w:rPr>
        <w:t>-11    生态影响型评价工作等级划分表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57"/>
        <w:gridCol w:w="1902"/>
        <w:gridCol w:w="2130"/>
        <w:gridCol w:w="2130"/>
      </w:tblGrid>
      <w:tr w14:paraId="345E7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pct"/>
            <w:noWrap w:val="0"/>
            <w:vAlign w:val="top"/>
          </w:tcPr>
          <w:p w14:paraId="718C08D2">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-58420</wp:posOffset>
                      </wp:positionH>
                      <wp:positionV relativeFrom="paragraph">
                        <wp:posOffset>4445</wp:posOffset>
                      </wp:positionV>
                      <wp:extent cx="1485900" cy="690880"/>
                      <wp:effectExtent l="635" t="3810" r="18415" b="10160"/>
                      <wp:wrapNone/>
                      <wp:docPr id="42" name="组合 42"/>
                      <wp:cNvGraphicFramePr/>
                      <a:graphic xmlns:a="http://schemas.openxmlformats.org/drawingml/2006/main">
                        <a:graphicData uri="http://schemas.microsoft.com/office/word/2010/wordprocessingGroup">
                          <wpg:wgp>
                            <wpg:cNvGrpSpPr/>
                            <wpg:grpSpPr>
                              <a:xfrm>
                                <a:off x="0" y="0"/>
                                <a:ext cx="1485900" cy="690880"/>
                                <a:chOff x="4581" y="295007"/>
                                <a:chExt cx="2130" cy="1058"/>
                              </a:xfrm>
                              <a:effectLst/>
                            </wpg:grpSpPr>
                            <wps:wsp>
                              <wps:cNvPr id="43" name="直接连接符 3"/>
                              <wps:cNvCnPr/>
                              <wps:spPr>
                                <a:xfrm>
                                  <a:off x="4581" y="295699"/>
                                  <a:ext cx="2130" cy="367"/>
                                </a:xfrm>
                                <a:prstGeom prst="line">
                                  <a:avLst/>
                                </a:prstGeom>
                                <a:noFill/>
                                <a:ln w="6350" cap="flat" cmpd="sng" algn="ctr">
                                  <a:solidFill>
                                    <a:srgbClr val="000000"/>
                                  </a:solidFill>
                                  <a:prstDash val="solid"/>
                                </a:ln>
                                <a:effectLst/>
                              </wps:spPr>
                              <wps:bodyPr/>
                            </wps:wsp>
                            <wps:wsp>
                              <wps:cNvPr id="46" name="直接连接符 4"/>
                              <wps:cNvCnPr/>
                              <wps:spPr>
                                <a:xfrm>
                                  <a:off x="5182" y="295007"/>
                                  <a:ext cx="1517" cy="1051"/>
                                </a:xfrm>
                                <a:prstGeom prst="line">
                                  <a:avLst/>
                                </a:prstGeom>
                                <a:noFill/>
                                <a:ln w="9525" cap="flat" cmpd="sng" algn="ctr">
                                  <a:solidFill>
                                    <a:srgbClr val="000000"/>
                                  </a:solidFill>
                                  <a:prstDash val="solid"/>
                                </a:ln>
                                <a:effectLst/>
                              </wps:spPr>
                              <wps:bodyPr/>
                            </wps:wsp>
                          </wpg:wgp>
                        </a:graphicData>
                      </a:graphic>
                    </wp:anchor>
                  </w:drawing>
                </mc:Choice>
                <mc:Fallback>
                  <w:pict>
                    <v:group id="_x0000_s1026" o:spid="_x0000_s1026" o:spt="203" style="position:absolute;left:0pt;margin-left:-4.6pt;margin-top:0.35pt;height:54.4pt;width:117pt;z-index:251659264;mso-width-relative:page;mso-height-relative:page;" coordorigin="4581,295007" coordsize="2130,1058" o:gfxdata="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Xy/K62AAAAAcBAAAP&#10;AAAAAAAAAAEAIAAAACIAAABkcnMvZG93bnJldi54bWxQSwECFAAUAAAACACHTuJAEXSs1YoCAADF&#10;BgAADgAAAAAAAAABACAAAAAnAQAAZHJzL2Uyb0RvYy54bWxQSwUGAAAAAAYABgBZAQAAIwYAAAAA&#10;">
                      <o:lock v:ext="edit" aspectratio="f"/>
                      <v:line id="直接连接符 3" o:spid="_x0000_s1026" o:spt="20" style="position:absolute;left:4581;top:295699;height:367;width:2130;" filled="f" stroked="t" coordsize="21600,21600" o:gfxdata="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2+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4" o:spid="_x0000_s1026" o:spt="20" style="position:absolute;left:5182;top:295007;height:1051;width:1517;"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Times New Roman" w:hAnsi="Times New Roman" w:eastAsia="宋体"/>
                <w:b/>
                <w:bCs/>
                <w:color w:val="000000" w:themeColor="text1"/>
                <w:sz w:val="21"/>
                <w14:textFill>
                  <w14:solidFill>
                    <w14:schemeClr w14:val="tx1"/>
                  </w14:solidFill>
                </w14:textFill>
              </w:rPr>
              <w:t xml:space="preserve">          项目类别</w:t>
            </w:r>
          </w:p>
          <w:p w14:paraId="1E3C10FE">
            <w:pPr>
              <w:pStyle w:val="183"/>
              <w:spacing w:after="0"/>
              <w:ind w:firstLine="0" w:firstLineChars="0"/>
              <w:jc w:val="both"/>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评价工作等级</w:t>
            </w:r>
          </w:p>
          <w:p w14:paraId="1B69CB6D">
            <w:pPr>
              <w:pStyle w:val="183"/>
              <w:spacing w:after="0"/>
              <w:ind w:firstLine="0" w:firstLineChars="0"/>
              <w:jc w:val="both"/>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敏感程度</w:t>
            </w:r>
          </w:p>
        </w:tc>
        <w:tc>
          <w:tcPr>
            <w:tcW w:w="1116" w:type="pct"/>
            <w:noWrap w:val="0"/>
            <w:vAlign w:val="center"/>
          </w:tcPr>
          <w:p w14:paraId="3B3C73E8">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I类</w:t>
            </w:r>
          </w:p>
        </w:tc>
        <w:tc>
          <w:tcPr>
            <w:tcW w:w="1250" w:type="pct"/>
            <w:noWrap w:val="0"/>
            <w:vAlign w:val="center"/>
          </w:tcPr>
          <w:p w14:paraId="04F28A3B">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II类</w:t>
            </w:r>
          </w:p>
        </w:tc>
        <w:tc>
          <w:tcPr>
            <w:tcW w:w="1250" w:type="pct"/>
            <w:noWrap w:val="0"/>
            <w:vAlign w:val="center"/>
          </w:tcPr>
          <w:p w14:paraId="2EECD55C">
            <w:pPr>
              <w:pStyle w:val="183"/>
              <w:spacing w:after="0"/>
              <w:ind w:firstLine="0" w:firstLineChars="0"/>
              <w:rPr>
                <w:rFonts w:ascii="Times New Roman" w:hAnsi="Times New Roman" w:eastAsia="宋体"/>
                <w:b/>
                <w:bCs/>
                <w:color w:val="000000" w:themeColor="text1"/>
                <w:sz w:val="21"/>
                <w14:textFill>
                  <w14:solidFill>
                    <w14:schemeClr w14:val="tx1"/>
                  </w14:solidFill>
                </w14:textFill>
              </w:rPr>
            </w:pPr>
            <w:r>
              <w:rPr>
                <w:rFonts w:ascii="Times New Roman" w:hAnsi="Times New Roman" w:eastAsia="宋体"/>
                <w:b/>
                <w:bCs/>
                <w:color w:val="000000" w:themeColor="text1"/>
                <w:sz w:val="21"/>
                <w14:textFill>
                  <w14:solidFill>
                    <w14:schemeClr w14:val="tx1"/>
                  </w14:solidFill>
                </w14:textFill>
              </w:rPr>
              <w:t>III类</w:t>
            </w:r>
          </w:p>
        </w:tc>
      </w:tr>
      <w:tr w14:paraId="07485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pct"/>
            <w:noWrap w:val="0"/>
            <w:vAlign w:val="center"/>
          </w:tcPr>
          <w:p w14:paraId="5602371A">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敏感</w:t>
            </w:r>
          </w:p>
        </w:tc>
        <w:tc>
          <w:tcPr>
            <w:tcW w:w="1116" w:type="pct"/>
            <w:noWrap w:val="0"/>
            <w:vAlign w:val="center"/>
          </w:tcPr>
          <w:p w14:paraId="7E9DE524">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一级</w:t>
            </w:r>
          </w:p>
        </w:tc>
        <w:tc>
          <w:tcPr>
            <w:tcW w:w="1250" w:type="pct"/>
            <w:noWrap w:val="0"/>
            <w:vAlign w:val="center"/>
          </w:tcPr>
          <w:p w14:paraId="638671E4">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二级</w:t>
            </w:r>
          </w:p>
        </w:tc>
        <w:tc>
          <w:tcPr>
            <w:tcW w:w="1250" w:type="pct"/>
            <w:noWrap w:val="0"/>
            <w:vAlign w:val="center"/>
          </w:tcPr>
          <w:p w14:paraId="3B126226">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二级</w:t>
            </w:r>
          </w:p>
        </w:tc>
      </w:tr>
      <w:tr w14:paraId="2CF56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pct"/>
            <w:shd w:val="clear" w:color="auto" w:fill="auto"/>
            <w:noWrap w:val="0"/>
            <w:vAlign w:val="center"/>
          </w:tcPr>
          <w:p w14:paraId="4480FF58">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较敏感</w:t>
            </w:r>
          </w:p>
        </w:tc>
        <w:tc>
          <w:tcPr>
            <w:tcW w:w="1116" w:type="pct"/>
            <w:shd w:val="clear" w:color="auto" w:fill="BEBEBE"/>
            <w:noWrap w:val="0"/>
            <w:vAlign w:val="center"/>
          </w:tcPr>
          <w:p w14:paraId="70AB3B03">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shd w:val="clear" w:color="auto" w:fill="BEBEBE"/>
                <w14:textFill>
                  <w14:solidFill>
                    <w14:schemeClr w14:val="tx1"/>
                  </w14:solidFill>
                </w14:textFill>
              </w:rPr>
              <w:t>二级</w:t>
            </w:r>
          </w:p>
        </w:tc>
        <w:tc>
          <w:tcPr>
            <w:tcW w:w="1250" w:type="pct"/>
            <w:noWrap w:val="0"/>
            <w:vAlign w:val="center"/>
          </w:tcPr>
          <w:p w14:paraId="73438CA1">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二级</w:t>
            </w:r>
          </w:p>
        </w:tc>
        <w:tc>
          <w:tcPr>
            <w:tcW w:w="1250" w:type="pct"/>
            <w:noWrap w:val="0"/>
            <w:vAlign w:val="center"/>
          </w:tcPr>
          <w:p w14:paraId="11A20233">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三级</w:t>
            </w:r>
          </w:p>
        </w:tc>
      </w:tr>
      <w:tr w14:paraId="55535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pct"/>
            <w:noWrap w:val="0"/>
            <w:vAlign w:val="center"/>
          </w:tcPr>
          <w:p w14:paraId="4A6AFADA">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不敏感</w:t>
            </w:r>
          </w:p>
        </w:tc>
        <w:tc>
          <w:tcPr>
            <w:tcW w:w="1116" w:type="pct"/>
            <w:noWrap w:val="0"/>
            <w:vAlign w:val="center"/>
          </w:tcPr>
          <w:p w14:paraId="68223A6F">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二级</w:t>
            </w:r>
          </w:p>
        </w:tc>
        <w:tc>
          <w:tcPr>
            <w:tcW w:w="1250" w:type="pct"/>
            <w:noWrap w:val="0"/>
            <w:vAlign w:val="center"/>
          </w:tcPr>
          <w:p w14:paraId="7E6A1DCA">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三级</w:t>
            </w:r>
          </w:p>
        </w:tc>
        <w:tc>
          <w:tcPr>
            <w:tcW w:w="1250" w:type="pct"/>
            <w:noWrap w:val="0"/>
            <w:vAlign w:val="center"/>
          </w:tcPr>
          <w:p w14:paraId="2F8C7E1A">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ascii="Times New Roman" w:hAnsi="Times New Roman" w:eastAsia="宋体"/>
                <w:color w:val="000000" w:themeColor="text1"/>
                <w:sz w:val="21"/>
                <w14:textFill>
                  <w14:solidFill>
                    <w14:schemeClr w14:val="tx1"/>
                  </w14:solidFill>
                </w14:textFill>
              </w:rPr>
              <w:t>-</w:t>
            </w:r>
          </w:p>
        </w:tc>
      </w:tr>
    </w:tbl>
    <w:p w14:paraId="046114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194" w:name="_Toc17189"/>
      <w:bookmarkStart w:id="195" w:name="_Toc5385"/>
      <w:bookmarkStart w:id="196" w:name="_Toc18177"/>
      <w:bookmarkStart w:id="197" w:name="_Toc567417732"/>
      <w:bookmarkStart w:id="198" w:name="_Toc23803"/>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（3）污染影响型</w:t>
      </w:r>
    </w:p>
    <w:p w14:paraId="10D02B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本项目工业场地及废石堆场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属于污染影响型，项目占地面积</w:t>
      </w:r>
      <w:r>
        <w:rPr>
          <w:rFonts w:hint="eastAsia" w:cs="Times New Roman"/>
          <w:color w:val="000000" w:themeColor="text1"/>
          <w:sz w:val="24"/>
          <w:szCs w:val="24"/>
          <w:highlight w:val="none"/>
          <w:lang w:val="en-US" w:eastAsia="zh-CN"/>
          <w14:textFill>
            <w14:solidFill>
              <w14:schemeClr w14:val="tx1"/>
            </w14:solidFill>
          </w14:textFill>
        </w:rPr>
        <w:t>14.41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，占地规模为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矿区周边无耕地、园地、牧草地等土壤环境敏感目标，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土壤环境敏感程度为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敏感，依据《环境影响评价技术导则 土壤环境》（HJ964-2018）中的污染影响程度分级表、评价工作等级划分表（表2.5-1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、表2.5-1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），确定</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土壤污染影响型评价等级为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级。</w:t>
      </w:r>
    </w:p>
    <w:p w14:paraId="6F33A96F">
      <w:pPr>
        <w:pStyle w:val="183"/>
        <w:widowControl w:val="0"/>
        <w:spacing w:after="0" w:line="480" w:lineRule="exact"/>
        <w:ind w:firstLine="482"/>
        <w:rPr>
          <w:rFonts w:hint="default" w:ascii="Times New Roman" w:hAnsi="Times New Roman" w:eastAsia="宋体"/>
          <w:b/>
          <w:bCs/>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b/>
          <w:bCs/>
          <w:snapToGrid w:val="0"/>
          <w:color w:val="000000" w:themeColor="text1"/>
          <w:sz w:val="24"/>
          <w:szCs w:val="24"/>
          <w:lang w:val="en-US" w:eastAsia="zh-CN"/>
          <w14:textFill>
            <w14:solidFill>
              <w14:schemeClr w14:val="tx1"/>
            </w14:solidFill>
          </w14:textFill>
        </w:rPr>
        <w:t>表2.5-1</w:t>
      </w:r>
      <w:r>
        <w:rPr>
          <w:rFonts w:hint="eastAsia" w:ascii="Times New Roman" w:hAnsi="Times New Roman" w:eastAsia="宋体"/>
          <w:b/>
          <w:bCs/>
          <w:snapToGrid w:val="0"/>
          <w:color w:val="000000" w:themeColor="text1"/>
          <w:sz w:val="24"/>
          <w:szCs w:val="24"/>
          <w:lang w:val="en-US" w:eastAsia="zh-CN"/>
          <w14:textFill>
            <w14:solidFill>
              <w14:schemeClr w14:val="tx1"/>
            </w14:solidFill>
          </w14:textFill>
        </w:rPr>
        <w:t>2</w:t>
      </w:r>
      <w:r>
        <w:rPr>
          <w:rFonts w:hint="default" w:ascii="Times New Roman" w:hAnsi="Times New Roman" w:eastAsia="宋体"/>
          <w:b/>
          <w:bCs/>
          <w:snapToGrid w:val="0"/>
          <w:color w:val="000000" w:themeColor="text1"/>
          <w:sz w:val="24"/>
          <w:szCs w:val="24"/>
          <w:lang w:val="en-US" w:eastAsia="zh-CN"/>
          <w14:textFill>
            <w14:solidFill>
              <w14:schemeClr w14:val="tx1"/>
            </w14:solidFill>
          </w14:textFill>
        </w:rPr>
        <w:t xml:space="preserve">   污染影响型敏感程度分级表</w:t>
      </w:r>
    </w:p>
    <w:tbl>
      <w:tblPr>
        <w:tblStyle w:val="8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7409"/>
      </w:tblGrid>
      <w:tr w14:paraId="6917F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3" w:type="dxa"/>
            <w:tcBorders>
              <w:tl2br w:val="nil"/>
              <w:tr2bl w:val="nil"/>
            </w:tcBorders>
            <w:vAlign w:val="center"/>
          </w:tcPr>
          <w:p w14:paraId="12DB8399">
            <w:pPr>
              <w:pStyle w:val="18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敏感程度</w:t>
            </w:r>
          </w:p>
        </w:tc>
        <w:tc>
          <w:tcPr>
            <w:tcW w:w="7409" w:type="dxa"/>
            <w:tcBorders>
              <w:tl2br w:val="nil"/>
              <w:tr2bl w:val="nil"/>
            </w:tcBorders>
            <w:vAlign w:val="center"/>
          </w:tcPr>
          <w:p w14:paraId="76F79F5E">
            <w:pPr>
              <w:pStyle w:val="18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判别依据</w:t>
            </w:r>
          </w:p>
        </w:tc>
      </w:tr>
      <w:tr w14:paraId="3E43F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3" w:type="dxa"/>
            <w:tcBorders>
              <w:tl2br w:val="nil"/>
              <w:tr2bl w:val="nil"/>
            </w:tcBorders>
            <w:vAlign w:val="center"/>
          </w:tcPr>
          <w:p w14:paraId="030A24F3">
            <w:pPr>
              <w:pStyle w:val="18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敏感</w:t>
            </w:r>
          </w:p>
        </w:tc>
        <w:tc>
          <w:tcPr>
            <w:tcW w:w="7409" w:type="dxa"/>
            <w:tcBorders>
              <w:tl2br w:val="nil"/>
              <w:tr2bl w:val="nil"/>
            </w:tcBorders>
            <w:vAlign w:val="center"/>
          </w:tcPr>
          <w:p w14:paraId="48BABB09">
            <w:pPr>
              <w:pStyle w:val="18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建设项目周边存在耕地、园地、牧草地、饮用水水源地或居民区、学校、医院、疗养院、养老院等土壤环境敏感目标的</w:t>
            </w:r>
          </w:p>
        </w:tc>
      </w:tr>
      <w:tr w14:paraId="33929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3" w:type="dxa"/>
            <w:tcBorders>
              <w:tl2br w:val="nil"/>
              <w:tr2bl w:val="nil"/>
            </w:tcBorders>
            <w:vAlign w:val="center"/>
          </w:tcPr>
          <w:p w14:paraId="2795733A">
            <w:pPr>
              <w:pStyle w:val="18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较敏感</w:t>
            </w:r>
          </w:p>
        </w:tc>
        <w:tc>
          <w:tcPr>
            <w:tcW w:w="7409" w:type="dxa"/>
            <w:tcBorders>
              <w:tl2br w:val="nil"/>
              <w:tr2bl w:val="nil"/>
            </w:tcBorders>
            <w:vAlign w:val="center"/>
          </w:tcPr>
          <w:p w14:paraId="3D6814B2">
            <w:pPr>
              <w:pStyle w:val="18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建设项目周边存在其他土壤环境敏感目标的</w:t>
            </w:r>
          </w:p>
        </w:tc>
      </w:tr>
      <w:tr w14:paraId="6C09A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13" w:type="dxa"/>
            <w:tcBorders>
              <w:tl2br w:val="nil"/>
              <w:tr2bl w:val="nil"/>
            </w:tcBorders>
            <w:vAlign w:val="center"/>
          </w:tcPr>
          <w:p w14:paraId="19062B7C">
            <w:pPr>
              <w:pStyle w:val="18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不敏感</w:t>
            </w:r>
          </w:p>
        </w:tc>
        <w:tc>
          <w:tcPr>
            <w:tcW w:w="7409" w:type="dxa"/>
            <w:tcBorders>
              <w:tl2br w:val="nil"/>
              <w:tr2bl w:val="nil"/>
            </w:tcBorders>
            <w:vAlign w:val="center"/>
          </w:tcPr>
          <w:p w14:paraId="2D9B13B3">
            <w:pPr>
              <w:pStyle w:val="18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其他情况</w:t>
            </w:r>
          </w:p>
        </w:tc>
      </w:tr>
    </w:tbl>
    <w:p w14:paraId="06434DB2">
      <w:pPr>
        <w:pStyle w:val="183"/>
        <w:widowControl w:val="0"/>
        <w:spacing w:after="0" w:line="480" w:lineRule="exact"/>
        <w:ind w:firstLine="482"/>
        <w:rPr>
          <w:rFonts w:hint="default" w:ascii="Times New Roman" w:hAnsi="Times New Roman" w:eastAsia="宋体"/>
          <w:b/>
          <w:bCs/>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b/>
          <w:bCs/>
          <w:snapToGrid w:val="0"/>
          <w:color w:val="000000" w:themeColor="text1"/>
          <w:sz w:val="24"/>
          <w:szCs w:val="24"/>
          <w:lang w:val="en-US" w:eastAsia="zh-CN"/>
          <w14:textFill>
            <w14:solidFill>
              <w14:schemeClr w14:val="tx1"/>
            </w14:solidFill>
          </w14:textFill>
        </w:rPr>
        <w:t>表2.5-1</w:t>
      </w:r>
      <w:r>
        <w:rPr>
          <w:rFonts w:hint="eastAsia" w:ascii="Times New Roman" w:hAnsi="Times New Roman" w:eastAsia="宋体"/>
          <w:b/>
          <w:bCs/>
          <w:snapToGrid w:val="0"/>
          <w:color w:val="000000" w:themeColor="text1"/>
          <w:sz w:val="24"/>
          <w:szCs w:val="24"/>
          <w:lang w:val="en-US" w:eastAsia="zh-CN"/>
          <w14:textFill>
            <w14:solidFill>
              <w14:schemeClr w14:val="tx1"/>
            </w14:solidFill>
          </w14:textFill>
        </w:rPr>
        <w:t>3</w:t>
      </w:r>
      <w:r>
        <w:rPr>
          <w:rFonts w:hint="default" w:ascii="Times New Roman" w:hAnsi="Times New Roman" w:eastAsia="宋体"/>
          <w:b/>
          <w:bCs/>
          <w:snapToGrid w:val="0"/>
          <w:color w:val="000000" w:themeColor="text1"/>
          <w:sz w:val="24"/>
          <w:szCs w:val="24"/>
          <w:lang w:val="en-US" w:eastAsia="zh-CN"/>
          <w14:textFill>
            <w14:solidFill>
              <w14:schemeClr w14:val="tx1"/>
            </w14:solidFill>
          </w14:textFill>
        </w:rPr>
        <w:t xml:space="preserve">    污染影响型评价工作等级划分表</w:t>
      </w:r>
    </w:p>
    <w:tbl>
      <w:tblPr>
        <w:tblStyle w:val="7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710"/>
        <w:gridCol w:w="710"/>
        <w:gridCol w:w="710"/>
        <w:gridCol w:w="710"/>
        <w:gridCol w:w="710"/>
        <w:gridCol w:w="711"/>
        <w:gridCol w:w="710"/>
        <w:gridCol w:w="710"/>
        <w:gridCol w:w="712"/>
      </w:tblGrid>
      <w:tr w14:paraId="5A44F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130" w:type="dxa"/>
            <w:vMerge w:val="restart"/>
            <w:tcBorders>
              <w:tl2br w:val="nil"/>
              <w:tr2bl w:val="nil"/>
            </w:tcBorders>
            <w:noWrap w:val="0"/>
            <w:vAlign w:val="center"/>
          </w:tcPr>
          <w:p w14:paraId="6C76D95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mc:AlternateContent>
                <mc:Choice Requires="wpg">
                  <w:drawing>
                    <wp:anchor distT="0" distB="0" distL="114300" distR="114300" simplePos="0" relativeHeight="251672576" behindDoc="0" locked="0" layoutInCell="1" allowOverlap="1">
                      <wp:simplePos x="0" y="0"/>
                      <wp:positionH relativeFrom="column">
                        <wp:posOffset>-74295</wp:posOffset>
                      </wp:positionH>
                      <wp:positionV relativeFrom="paragraph">
                        <wp:posOffset>-18415</wp:posOffset>
                      </wp:positionV>
                      <wp:extent cx="1348740" cy="754380"/>
                      <wp:effectExtent l="1270" t="3175" r="6350" b="19685"/>
                      <wp:wrapNone/>
                      <wp:docPr id="232" name="组合 232"/>
                      <wp:cNvGraphicFramePr/>
                      <a:graphic xmlns:a="http://schemas.openxmlformats.org/drawingml/2006/main">
                        <a:graphicData uri="http://schemas.microsoft.com/office/word/2010/wordprocessingGroup">
                          <wpg:wgp>
                            <wpg:cNvGrpSpPr/>
                            <wpg:grpSpPr>
                              <a:xfrm>
                                <a:off x="0" y="0"/>
                                <a:ext cx="1348740" cy="754380"/>
                                <a:chOff x="4531" y="294990"/>
                                <a:chExt cx="2180" cy="1077"/>
                              </a:xfrm>
                              <a:effectLst/>
                            </wpg:grpSpPr>
                            <wps:wsp>
                              <wps:cNvPr id="233" name="直接连接符 3"/>
                              <wps:cNvCnPr/>
                              <wps:spPr>
                                <a:xfrm>
                                  <a:off x="4531" y="295583"/>
                                  <a:ext cx="2180" cy="484"/>
                                </a:xfrm>
                                <a:prstGeom prst="line">
                                  <a:avLst/>
                                </a:prstGeom>
                                <a:noFill/>
                                <a:ln w="6350" cap="flat" cmpd="sng" algn="ctr">
                                  <a:solidFill>
                                    <a:srgbClr val="000000"/>
                                  </a:solidFill>
                                  <a:prstDash val="solid"/>
                                </a:ln>
                                <a:effectLst/>
                              </wps:spPr>
                              <wps:bodyPr/>
                            </wps:wsp>
                            <wps:wsp>
                              <wps:cNvPr id="234" name="直接连接符 4"/>
                              <wps:cNvCnPr/>
                              <wps:spPr>
                                <a:xfrm>
                                  <a:off x="5491" y="294990"/>
                                  <a:ext cx="1206" cy="1068"/>
                                </a:xfrm>
                                <a:prstGeom prst="line">
                                  <a:avLst/>
                                </a:prstGeom>
                                <a:noFill/>
                                <a:ln w="9525" cap="flat" cmpd="sng" algn="ctr">
                                  <a:solidFill>
                                    <a:srgbClr val="000000"/>
                                  </a:solidFill>
                                  <a:prstDash val="solid"/>
                                </a:ln>
                                <a:effectLst/>
                              </wps:spPr>
                              <wps:bodyPr/>
                            </wps:wsp>
                          </wpg:wgp>
                        </a:graphicData>
                      </a:graphic>
                    </wp:anchor>
                  </w:drawing>
                </mc:Choice>
                <mc:Fallback>
                  <w:pict>
                    <v:group id="_x0000_s1026" o:spid="_x0000_s1026" o:spt="203" style="position:absolute;left:0pt;margin-left:-5.85pt;margin-top:-1.45pt;height:59.4pt;width:106.2pt;z-index:251672576;mso-width-relative:page;mso-height-relative:page;" coordorigin="4531,294990" coordsize="2180,1077" o:gfxdata="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LLNCdgAAAAKAQAADwAAAAAA&#10;AAABACAAAAAiAAAAZHJzL2Rvd25yZXYueG1sUEsBAhQAFAAAAAgAh07iQMdBO/uFAgAAyQYAAA4A&#10;AAAAAAAAAQAgAAAAJwEAAGRycy9lMm9Eb2MueG1sUEsFBgAAAAAGAAYAWQEAAB4GAAAAAA==&#10;">
                      <o:lock v:ext="edit" aspectratio="f"/>
                      <v:line id="直接连接符 3" o:spid="_x0000_s1026" o:spt="20" style="position:absolute;left:4531;top:295583;height:484;width:2180;" filled="f" stroked="t" coordsize="21600,21600" o:gfxdata="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uTJ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4" o:spid="_x0000_s1026" o:spt="20" style="position:absolute;left:5491;top:294990;height:1068;width:1206;" filled="f" stroked="t" coordsize="21600,21600" o:gfxdata="UEsDBAoAAAAAAIdO4kAAAAAAAAAAAAAAAAAEAAAAZHJzL1BLAwQUAAAACACHTuJAjo805b0AAADc&#10;AAAADwAAAGRycy9kb3ducmV2LnhtbEWPzYvCMBTE7wv+D+EJXmRNrIs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zT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rFonts w:hint="default" w:ascii="Times New Roman" w:hAnsi="Times New Roman"/>
                <w:b/>
                <w:color w:val="000000" w:themeColor="text1"/>
                <w:szCs w:val="21"/>
                <w14:textFill>
                  <w14:solidFill>
                    <w14:schemeClr w14:val="tx1"/>
                  </w14:solidFill>
                </w14:textFill>
              </w:rPr>
              <w:t xml:space="preserve">          占地规模</w:t>
            </w:r>
          </w:p>
          <w:p w14:paraId="69D3000A">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评价工作等级</w:t>
            </w:r>
          </w:p>
          <w:p w14:paraId="154C882D">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敏感程度</w:t>
            </w:r>
          </w:p>
        </w:tc>
        <w:tc>
          <w:tcPr>
            <w:tcW w:w="2130" w:type="dxa"/>
            <w:gridSpan w:val="3"/>
            <w:tcBorders>
              <w:tl2br w:val="nil"/>
              <w:tr2bl w:val="nil"/>
            </w:tcBorders>
            <w:noWrap w:val="0"/>
            <w:vAlign w:val="center"/>
          </w:tcPr>
          <w:p w14:paraId="445E142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I类</w:t>
            </w:r>
          </w:p>
        </w:tc>
        <w:tc>
          <w:tcPr>
            <w:tcW w:w="2131" w:type="dxa"/>
            <w:gridSpan w:val="3"/>
            <w:tcBorders>
              <w:tl2br w:val="nil"/>
              <w:tr2bl w:val="nil"/>
            </w:tcBorders>
            <w:noWrap w:val="0"/>
            <w:vAlign w:val="center"/>
          </w:tcPr>
          <w:p w14:paraId="189C1D1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II类</w:t>
            </w:r>
          </w:p>
        </w:tc>
        <w:tc>
          <w:tcPr>
            <w:tcW w:w="2131" w:type="dxa"/>
            <w:gridSpan w:val="3"/>
            <w:tcBorders>
              <w:tl2br w:val="nil"/>
              <w:tr2bl w:val="nil"/>
            </w:tcBorders>
            <w:noWrap w:val="0"/>
            <w:vAlign w:val="center"/>
          </w:tcPr>
          <w:p w14:paraId="0122C98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III类</w:t>
            </w:r>
          </w:p>
        </w:tc>
      </w:tr>
      <w:tr w14:paraId="6B69F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30" w:type="dxa"/>
            <w:vMerge w:val="continue"/>
            <w:tcBorders>
              <w:tl2br w:val="nil"/>
              <w:tr2bl w:val="nil"/>
            </w:tcBorders>
            <w:noWrap w:val="0"/>
            <w:vAlign w:val="center"/>
          </w:tcPr>
          <w:p w14:paraId="04DB1C00">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b/>
                <w:color w:val="000000" w:themeColor="text1"/>
                <w:szCs w:val="21"/>
                <w14:textFill>
                  <w14:solidFill>
                    <w14:schemeClr w14:val="tx1"/>
                  </w14:solidFill>
                </w14:textFill>
              </w:rPr>
            </w:pPr>
          </w:p>
        </w:tc>
        <w:tc>
          <w:tcPr>
            <w:tcW w:w="710" w:type="dxa"/>
            <w:tcBorders>
              <w:tl2br w:val="nil"/>
              <w:tr2bl w:val="nil"/>
            </w:tcBorders>
            <w:noWrap w:val="0"/>
            <w:vAlign w:val="center"/>
          </w:tcPr>
          <w:p w14:paraId="1EF2E8D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大</w:t>
            </w:r>
          </w:p>
        </w:tc>
        <w:tc>
          <w:tcPr>
            <w:tcW w:w="710" w:type="dxa"/>
            <w:tcBorders>
              <w:tl2br w:val="nil"/>
              <w:tr2bl w:val="nil"/>
            </w:tcBorders>
            <w:noWrap w:val="0"/>
            <w:vAlign w:val="center"/>
          </w:tcPr>
          <w:p w14:paraId="4506D1C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中</w:t>
            </w:r>
          </w:p>
        </w:tc>
        <w:tc>
          <w:tcPr>
            <w:tcW w:w="710" w:type="dxa"/>
            <w:tcBorders>
              <w:tl2br w:val="nil"/>
              <w:tr2bl w:val="nil"/>
            </w:tcBorders>
            <w:noWrap w:val="0"/>
            <w:vAlign w:val="center"/>
          </w:tcPr>
          <w:p w14:paraId="6FECF61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小</w:t>
            </w:r>
          </w:p>
        </w:tc>
        <w:tc>
          <w:tcPr>
            <w:tcW w:w="710" w:type="dxa"/>
            <w:tcBorders>
              <w:tl2br w:val="nil"/>
              <w:tr2bl w:val="nil"/>
            </w:tcBorders>
            <w:noWrap w:val="0"/>
            <w:vAlign w:val="center"/>
          </w:tcPr>
          <w:p w14:paraId="4122A50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大</w:t>
            </w:r>
          </w:p>
        </w:tc>
        <w:tc>
          <w:tcPr>
            <w:tcW w:w="710" w:type="dxa"/>
            <w:tcBorders>
              <w:tl2br w:val="nil"/>
              <w:tr2bl w:val="nil"/>
            </w:tcBorders>
            <w:noWrap w:val="0"/>
            <w:vAlign w:val="center"/>
          </w:tcPr>
          <w:p w14:paraId="5ED8785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中</w:t>
            </w:r>
          </w:p>
        </w:tc>
        <w:tc>
          <w:tcPr>
            <w:tcW w:w="710" w:type="dxa"/>
            <w:tcBorders>
              <w:tl2br w:val="nil"/>
              <w:tr2bl w:val="nil"/>
            </w:tcBorders>
            <w:noWrap w:val="0"/>
            <w:vAlign w:val="center"/>
          </w:tcPr>
          <w:p w14:paraId="6CC875D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小</w:t>
            </w:r>
          </w:p>
        </w:tc>
        <w:tc>
          <w:tcPr>
            <w:tcW w:w="710" w:type="dxa"/>
            <w:tcBorders>
              <w:tl2br w:val="nil"/>
              <w:tr2bl w:val="nil"/>
            </w:tcBorders>
            <w:noWrap w:val="0"/>
            <w:vAlign w:val="center"/>
          </w:tcPr>
          <w:p w14:paraId="00E3F4A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大</w:t>
            </w:r>
          </w:p>
        </w:tc>
        <w:tc>
          <w:tcPr>
            <w:tcW w:w="710" w:type="dxa"/>
            <w:tcBorders>
              <w:tl2br w:val="nil"/>
              <w:tr2bl w:val="nil"/>
            </w:tcBorders>
            <w:noWrap w:val="0"/>
            <w:vAlign w:val="center"/>
          </w:tcPr>
          <w:p w14:paraId="6470D6B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中</w:t>
            </w:r>
          </w:p>
        </w:tc>
        <w:tc>
          <w:tcPr>
            <w:tcW w:w="712" w:type="dxa"/>
            <w:tcBorders>
              <w:tl2br w:val="nil"/>
              <w:tr2bl w:val="nil"/>
            </w:tcBorders>
            <w:noWrap w:val="0"/>
            <w:vAlign w:val="center"/>
          </w:tcPr>
          <w:p w14:paraId="637E1FF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color w:val="000000" w:themeColor="text1"/>
                <w:szCs w:val="21"/>
                <w14:textFill>
                  <w14:solidFill>
                    <w14:schemeClr w14:val="tx1"/>
                  </w14:solidFill>
                </w14:textFill>
              </w:rPr>
            </w:pPr>
            <w:r>
              <w:rPr>
                <w:rFonts w:hint="default" w:ascii="Times New Roman" w:hAnsi="Times New Roman"/>
                <w:b/>
                <w:color w:val="000000" w:themeColor="text1"/>
                <w:szCs w:val="21"/>
                <w14:textFill>
                  <w14:solidFill>
                    <w14:schemeClr w14:val="tx1"/>
                  </w14:solidFill>
                </w14:textFill>
              </w:rPr>
              <w:t>小</w:t>
            </w:r>
          </w:p>
        </w:tc>
      </w:tr>
      <w:tr w14:paraId="4EEB0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tcBorders>
              <w:tl2br w:val="nil"/>
              <w:tr2bl w:val="nil"/>
            </w:tcBorders>
            <w:noWrap w:val="0"/>
            <w:vAlign w:val="center"/>
          </w:tcPr>
          <w:p w14:paraId="18BC44D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敏感</w:t>
            </w:r>
          </w:p>
        </w:tc>
        <w:tc>
          <w:tcPr>
            <w:tcW w:w="710" w:type="dxa"/>
            <w:tcBorders>
              <w:tl2br w:val="nil"/>
              <w:tr2bl w:val="nil"/>
            </w:tcBorders>
            <w:noWrap w:val="0"/>
            <w:vAlign w:val="center"/>
          </w:tcPr>
          <w:p w14:paraId="317F86A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一级</w:t>
            </w:r>
          </w:p>
        </w:tc>
        <w:tc>
          <w:tcPr>
            <w:tcW w:w="710" w:type="dxa"/>
            <w:tcBorders>
              <w:tl2br w:val="nil"/>
              <w:tr2bl w:val="nil"/>
            </w:tcBorders>
            <w:noWrap w:val="0"/>
            <w:vAlign w:val="center"/>
          </w:tcPr>
          <w:p w14:paraId="48D16C8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一级</w:t>
            </w:r>
          </w:p>
        </w:tc>
        <w:tc>
          <w:tcPr>
            <w:tcW w:w="710" w:type="dxa"/>
            <w:tcBorders>
              <w:tl2br w:val="nil"/>
              <w:tr2bl w:val="nil"/>
            </w:tcBorders>
            <w:noWrap w:val="0"/>
            <w:vAlign w:val="center"/>
          </w:tcPr>
          <w:p w14:paraId="04871B3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一级</w:t>
            </w:r>
          </w:p>
        </w:tc>
        <w:tc>
          <w:tcPr>
            <w:tcW w:w="710" w:type="dxa"/>
            <w:tcBorders>
              <w:tl2br w:val="nil"/>
              <w:tr2bl w:val="nil"/>
            </w:tcBorders>
            <w:noWrap w:val="0"/>
            <w:vAlign w:val="center"/>
          </w:tcPr>
          <w:p w14:paraId="55212E1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71B56D1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314D142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069E377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c>
          <w:tcPr>
            <w:tcW w:w="710" w:type="dxa"/>
            <w:tcBorders>
              <w:tl2br w:val="nil"/>
              <w:tr2bl w:val="nil"/>
            </w:tcBorders>
            <w:noWrap w:val="0"/>
            <w:vAlign w:val="center"/>
          </w:tcPr>
          <w:p w14:paraId="58AA285B">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c>
          <w:tcPr>
            <w:tcW w:w="712" w:type="dxa"/>
            <w:tcBorders>
              <w:tl2br w:val="nil"/>
              <w:tr2bl w:val="nil"/>
            </w:tcBorders>
            <w:noWrap w:val="0"/>
            <w:vAlign w:val="center"/>
          </w:tcPr>
          <w:p w14:paraId="528E4EA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r>
      <w:tr w14:paraId="41F5C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tcBorders>
              <w:tl2br w:val="nil"/>
              <w:tr2bl w:val="nil"/>
            </w:tcBorders>
            <w:noWrap w:val="0"/>
            <w:vAlign w:val="center"/>
          </w:tcPr>
          <w:p w14:paraId="6ACD8FE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较敏感</w:t>
            </w:r>
          </w:p>
        </w:tc>
        <w:tc>
          <w:tcPr>
            <w:tcW w:w="710" w:type="dxa"/>
            <w:tcBorders>
              <w:tl2br w:val="nil"/>
              <w:tr2bl w:val="nil"/>
            </w:tcBorders>
            <w:noWrap w:val="0"/>
            <w:vAlign w:val="center"/>
          </w:tcPr>
          <w:p w14:paraId="3C37DAE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一级</w:t>
            </w:r>
          </w:p>
        </w:tc>
        <w:tc>
          <w:tcPr>
            <w:tcW w:w="710" w:type="dxa"/>
            <w:tcBorders>
              <w:tl2br w:val="nil"/>
              <w:tr2bl w:val="nil"/>
            </w:tcBorders>
            <w:noWrap w:val="0"/>
            <w:vAlign w:val="center"/>
          </w:tcPr>
          <w:p w14:paraId="702E6D5B">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一级</w:t>
            </w:r>
          </w:p>
        </w:tc>
        <w:tc>
          <w:tcPr>
            <w:tcW w:w="710" w:type="dxa"/>
            <w:tcBorders>
              <w:tl2br w:val="nil"/>
              <w:tr2bl w:val="nil"/>
            </w:tcBorders>
            <w:noWrap w:val="0"/>
            <w:vAlign w:val="center"/>
          </w:tcPr>
          <w:p w14:paraId="2322A65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0F17C20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0C9C796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21B1FD1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c>
          <w:tcPr>
            <w:tcW w:w="710" w:type="dxa"/>
            <w:tcBorders>
              <w:tl2br w:val="nil"/>
              <w:tr2bl w:val="nil"/>
            </w:tcBorders>
            <w:noWrap w:val="0"/>
            <w:vAlign w:val="center"/>
          </w:tcPr>
          <w:p w14:paraId="00F2EC3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c>
          <w:tcPr>
            <w:tcW w:w="710" w:type="dxa"/>
            <w:tcBorders>
              <w:tl2br w:val="nil"/>
              <w:tr2bl w:val="nil"/>
            </w:tcBorders>
            <w:noWrap w:val="0"/>
            <w:vAlign w:val="center"/>
          </w:tcPr>
          <w:p w14:paraId="4EA9B73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c>
          <w:tcPr>
            <w:tcW w:w="712" w:type="dxa"/>
            <w:tcBorders>
              <w:tl2br w:val="nil"/>
              <w:tr2bl w:val="nil"/>
            </w:tcBorders>
            <w:noWrap w:val="0"/>
            <w:vAlign w:val="center"/>
          </w:tcPr>
          <w:p w14:paraId="0E7322E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w:t>
            </w:r>
          </w:p>
        </w:tc>
      </w:tr>
      <w:tr w14:paraId="65C49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tcBorders>
              <w:tl2br w:val="nil"/>
              <w:tr2bl w:val="nil"/>
            </w:tcBorders>
            <w:noWrap w:val="0"/>
            <w:vAlign w:val="center"/>
          </w:tcPr>
          <w:p w14:paraId="12CC9C0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不敏感</w:t>
            </w:r>
          </w:p>
        </w:tc>
        <w:tc>
          <w:tcPr>
            <w:tcW w:w="710" w:type="dxa"/>
            <w:tcBorders>
              <w:tl2br w:val="nil"/>
              <w:tr2bl w:val="nil"/>
            </w:tcBorders>
            <w:noWrap w:val="0"/>
            <w:vAlign w:val="center"/>
          </w:tcPr>
          <w:p w14:paraId="5D80E3A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一级</w:t>
            </w:r>
          </w:p>
        </w:tc>
        <w:tc>
          <w:tcPr>
            <w:tcW w:w="710" w:type="dxa"/>
            <w:tcBorders>
              <w:tl2br w:val="nil"/>
              <w:tr2bl w:val="nil"/>
            </w:tcBorders>
            <w:noWrap w:val="0"/>
            <w:vAlign w:val="center"/>
          </w:tcPr>
          <w:p w14:paraId="7554183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7267315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3188C8A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二级</w:t>
            </w:r>
          </w:p>
        </w:tc>
        <w:tc>
          <w:tcPr>
            <w:tcW w:w="710" w:type="dxa"/>
            <w:tcBorders>
              <w:tl2br w:val="nil"/>
              <w:tr2bl w:val="nil"/>
            </w:tcBorders>
            <w:noWrap w:val="0"/>
            <w:vAlign w:val="center"/>
          </w:tcPr>
          <w:p w14:paraId="24A5DBE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c>
          <w:tcPr>
            <w:tcW w:w="710" w:type="dxa"/>
            <w:tcBorders>
              <w:tl2br w:val="nil"/>
              <w:tr2bl w:val="nil"/>
            </w:tcBorders>
            <w:noWrap w:val="0"/>
            <w:vAlign w:val="center"/>
          </w:tcPr>
          <w:p w14:paraId="39922E8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c>
          <w:tcPr>
            <w:tcW w:w="710" w:type="dxa"/>
            <w:tcBorders>
              <w:tl2br w:val="nil"/>
              <w:tr2bl w:val="nil"/>
            </w:tcBorders>
            <w:noWrap w:val="0"/>
            <w:vAlign w:val="center"/>
          </w:tcPr>
          <w:p w14:paraId="75060C7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三级</w:t>
            </w:r>
          </w:p>
        </w:tc>
        <w:tc>
          <w:tcPr>
            <w:tcW w:w="710" w:type="dxa"/>
            <w:tcBorders>
              <w:tl2br w:val="nil"/>
              <w:tr2bl w:val="nil"/>
            </w:tcBorders>
            <w:noWrap w:val="0"/>
            <w:vAlign w:val="center"/>
          </w:tcPr>
          <w:p w14:paraId="70BF7E4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w:t>
            </w:r>
          </w:p>
        </w:tc>
        <w:tc>
          <w:tcPr>
            <w:tcW w:w="712" w:type="dxa"/>
            <w:tcBorders>
              <w:tl2br w:val="nil"/>
              <w:tr2bl w:val="nil"/>
            </w:tcBorders>
            <w:noWrap w:val="0"/>
            <w:vAlign w:val="center"/>
          </w:tcPr>
          <w:p w14:paraId="41900F4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w:t>
            </w:r>
          </w:p>
        </w:tc>
      </w:tr>
      <w:tr w14:paraId="6489B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10"/>
            <w:tcBorders>
              <w:tl2br w:val="nil"/>
              <w:tr2bl w:val="nil"/>
            </w:tcBorders>
            <w:noWrap w:val="0"/>
            <w:vAlign w:val="center"/>
          </w:tcPr>
          <w:p w14:paraId="561C6EBB">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olor w:val="000000" w:themeColor="text1"/>
                <w:szCs w:val="21"/>
                <w14:textFill>
                  <w14:solidFill>
                    <w14:schemeClr w14:val="tx1"/>
                  </w14:solidFill>
                </w14:textFill>
              </w:rPr>
            </w:pPr>
            <w:r>
              <w:rPr>
                <w:rFonts w:hint="default" w:ascii="Times New Roman" w:hAnsi="Times New Roman"/>
                <w:color w:val="000000" w:themeColor="text1"/>
                <w:szCs w:val="21"/>
                <w14:textFill>
                  <w14:solidFill>
                    <w14:schemeClr w14:val="tx1"/>
                  </w14:solidFill>
                </w14:textFill>
              </w:rPr>
              <w:t>注：“-”表示可不开展土壤环境影响评价工作。</w:t>
            </w:r>
          </w:p>
        </w:tc>
      </w:tr>
    </w:tbl>
    <w:p w14:paraId="6E3E2D55">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5</w:t>
      </w:r>
      <w:r>
        <w:rPr>
          <w:color w:val="000000" w:themeColor="text1"/>
          <w:kern w:val="2"/>
          <w14:textFill>
            <w14:solidFill>
              <w14:schemeClr w14:val="tx1"/>
            </w14:solidFill>
          </w14:textFill>
        </w:rPr>
        <w:t>.5环境风险评价等级和评价范围</w:t>
      </w:r>
      <w:bookmarkEnd w:id="194"/>
      <w:bookmarkEnd w:id="195"/>
      <w:bookmarkEnd w:id="196"/>
      <w:bookmarkEnd w:id="197"/>
      <w:bookmarkEnd w:id="198"/>
    </w:p>
    <w:p w14:paraId="4EC622AE">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根据《建设项目环境风险评价技术导则》（HJ169-2018），建设项目涉及的物质及工艺系统危险性和所在地的环境敏感性确定环境风险潜势，按照表2.</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确定评价工作等级。风险潜势为</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 4 \* ROMAN \* MERGEFORMAT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IV</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及以上，进行一级评价；风险潜势为</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 3 \* ROMAN \* MERGEFORMAT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III</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，进行二级评价；风险潜势为</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 2 \* ROMAN \* MERGEFORMAT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II</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，进行三级评价；风险潜势为</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 1 \* ROMAN \* MERGEFORMAT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I</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，可开展简单分析。</w:t>
      </w:r>
    </w:p>
    <w:p w14:paraId="1D698A8A">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表2.</w:t>
      </w:r>
      <w:r>
        <w:rPr>
          <w:rFonts w:hint="eastAsia" w:ascii="Times New Roman" w:hAnsi="Times New Roman" w:eastAsia="宋体"/>
          <w:b/>
          <w:bCs/>
          <w:snapToGrid w:val="0"/>
          <w:color w:val="000000" w:themeColor="text1"/>
          <w:sz w:val="24"/>
          <w:szCs w:val="24"/>
          <w14:textFill>
            <w14:solidFill>
              <w14:schemeClr w14:val="tx1"/>
            </w14:solidFill>
          </w14:textFill>
        </w:rPr>
        <w:t>5</w:t>
      </w:r>
      <w:r>
        <w:rPr>
          <w:rFonts w:ascii="Times New Roman" w:hAnsi="Times New Roman" w:eastAsia="宋体"/>
          <w:b/>
          <w:bCs/>
          <w:snapToGrid w:val="0"/>
          <w:color w:val="000000" w:themeColor="text1"/>
          <w:sz w:val="24"/>
          <w:szCs w:val="24"/>
          <w14:textFill>
            <w14:solidFill>
              <w14:schemeClr w14:val="tx1"/>
            </w14:solidFill>
          </w14:textFill>
        </w:rPr>
        <w:t>-1</w:t>
      </w:r>
      <w:r>
        <w:rPr>
          <w:rFonts w:hint="eastAsia" w:ascii="Times New Roman" w:hAnsi="Times New Roman" w:eastAsia="宋体"/>
          <w:b/>
          <w:bCs/>
          <w:snapToGrid w:val="0"/>
          <w:color w:val="000000" w:themeColor="text1"/>
          <w:sz w:val="24"/>
          <w:szCs w:val="24"/>
          <w:lang w:val="en-US" w:eastAsia="zh-CN"/>
          <w14:textFill>
            <w14:solidFill>
              <w14:schemeClr w14:val="tx1"/>
            </w14:solidFill>
          </w14:textFill>
        </w:rPr>
        <w:t>4</w:t>
      </w:r>
      <w:r>
        <w:rPr>
          <w:rFonts w:ascii="Times New Roman" w:hAnsi="Times New Roman" w:eastAsia="宋体"/>
          <w:b/>
          <w:bCs/>
          <w:snapToGrid w:val="0"/>
          <w:color w:val="000000" w:themeColor="text1"/>
          <w:sz w:val="24"/>
          <w:szCs w:val="24"/>
          <w14:textFill>
            <w14:solidFill>
              <w14:schemeClr w14:val="tx1"/>
            </w14:solidFill>
          </w14:textFill>
        </w:rPr>
        <w:t xml:space="preserve">    评价工作等级划分</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1353"/>
        <w:gridCol w:w="1837"/>
        <w:gridCol w:w="1963"/>
        <w:gridCol w:w="1651"/>
      </w:tblGrid>
      <w:tr w14:paraId="591CE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noWrap w:val="0"/>
            <w:vAlign w:val="center"/>
          </w:tcPr>
          <w:p w14:paraId="3856A1C5">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环境风险潜势</w:t>
            </w:r>
          </w:p>
        </w:tc>
        <w:tc>
          <w:tcPr>
            <w:tcW w:w="794" w:type="pct"/>
            <w:noWrap w:val="0"/>
            <w:vAlign w:val="center"/>
          </w:tcPr>
          <w:p w14:paraId="09069A79">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4 \* ROMAN \* MERGEFORMAT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IV</w:t>
            </w:r>
            <w:r>
              <w:rPr>
                <w:rFonts w:hint="default" w:ascii="Times New Roman" w:hAnsi="Times New Roman" w:cs="Times New Roman"/>
                <w:b/>
                <w:color w:val="000000" w:themeColor="text1"/>
                <w:sz w:val="21"/>
                <w:szCs w:val="21"/>
                <w14:textFill>
                  <w14:solidFill>
                    <w14:schemeClr w14:val="tx1"/>
                  </w14:solidFill>
                </w14:textFill>
              </w:rPr>
              <w:fldChar w:fldCharType="end"/>
            </w:r>
            <w:r>
              <w:rPr>
                <w:rFonts w:hint="default" w:ascii="Times New Roman" w:hAnsi="Times New Roman" w:cs="Times New Roman"/>
                <w:b/>
                <w:color w:val="000000" w:themeColor="text1"/>
                <w:sz w:val="21"/>
                <w:szCs w:val="21"/>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4 \* ROMAN \* MERGEFORMAT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IV</w:t>
            </w:r>
            <w:r>
              <w:rPr>
                <w:rFonts w:hint="default" w:ascii="Times New Roman" w:hAnsi="Times New Roman" w:cs="Times New Roman"/>
                <w:b/>
                <w:color w:val="000000" w:themeColor="text1"/>
                <w:sz w:val="21"/>
                <w:szCs w:val="21"/>
                <w14:textFill>
                  <w14:solidFill>
                    <w14:schemeClr w14:val="tx1"/>
                  </w14:solidFill>
                </w14:textFill>
              </w:rPr>
              <w:fldChar w:fldCharType="end"/>
            </w:r>
            <w:r>
              <w:rPr>
                <w:rFonts w:hint="default" w:ascii="Times New Roman" w:hAnsi="Times New Roman" w:cs="Times New Roman"/>
                <w:b/>
                <w:color w:val="000000" w:themeColor="text1"/>
                <w:sz w:val="21"/>
                <w:szCs w:val="21"/>
                <w:vertAlign w:val="superscript"/>
                <w14:textFill>
                  <w14:solidFill>
                    <w14:schemeClr w14:val="tx1"/>
                  </w14:solidFill>
                </w14:textFill>
              </w:rPr>
              <w:t>+</w:t>
            </w:r>
          </w:p>
        </w:tc>
        <w:tc>
          <w:tcPr>
            <w:tcW w:w="1078" w:type="pct"/>
            <w:noWrap w:val="0"/>
            <w:vAlign w:val="center"/>
          </w:tcPr>
          <w:p w14:paraId="371A47E7">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3 \* ROMAN \* MERGEFORMAT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III</w:t>
            </w:r>
            <w:r>
              <w:rPr>
                <w:rFonts w:hint="default" w:ascii="Times New Roman" w:hAnsi="Times New Roman" w:cs="Times New Roman"/>
                <w:b/>
                <w:color w:val="000000" w:themeColor="text1"/>
                <w:sz w:val="21"/>
                <w:szCs w:val="21"/>
                <w14:textFill>
                  <w14:solidFill>
                    <w14:schemeClr w14:val="tx1"/>
                  </w14:solidFill>
                </w14:textFill>
              </w:rPr>
              <w:fldChar w:fldCharType="end"/>
            </w:r>
          </w:p>
        </w:tc>
        <w:tc>
          <w:tcPr>
            <w:tcW w:w="1152" w:type="pct"/>
            <w:noWrap w:val="0"/>
            <w:vAlign w:val="center"/>
          </w:tcPr>
          <w:p w14:paraId="2FF0FA59">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2 \* ROMAN \* MERGEFORMAT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II</w:t>
            </w:r>
            <w:r>
              <w:rPr>
                <w:rFonts w:hint="default" w:ascii="Times New Roman" w:hAnsi="Times New Roman" w:cs="Times New Roman"/>
                <w:b/>
                <w:color w:val="000000" w:themeColor="text1"/>
                <w:sz w:val="21"/>
                <w:szCs w:val="21"/>
                <w14:textFill>
                  <w14:solidFill>
                    <w14:schemeClr w14:val="tx1"/>
                  </w14:solidFill>
                </w14:textFill>
              </w:rPr>
              <w:fldChar w:fldCharType="end"/>
            </w:r>
          </w:p>
        </w:tc>
        <w:tc>
          <w:tcPr>
            <w:tcW w:w="967" w:type="pct"/>
            <w:noWrap w:val="0"/>
            <w:vAlign w:val="center"/>
          </w:tcPr>
          <w:p w14:paraId="46436F4B">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fldChar w:fldCharType="begin"/>
            </w:r>
            <w:r>
              <w:rPr>
                <w:rFonts w:hint="default" w:ascii="Times New Roman" w:hAnsi="Times New Roman" w:cs="Times New Roman"/>
                <w:b/>
                <w:color w:val="000000" w:themeColor="text1"/>
                <w:sz w:val="21"/>
                <w:szCs w:val="21"/>
                <w14:textFill>
                  <w14:solidFill>
                    <w14:schemeClr w14:val="tx1"/>
                  </w14:solidFill>
                </w14:textFill>
              </w:rPr>
              <w:instrText xml:space="preserve"> = 1 \* ROMAN \* MERGEFORMAT </w:instrText>
            </w:r>
            <w:r>
              <w:rPr>
                <w:rFonts w:hint="default" w:ascii="Times New Roman" w:hAnsi="Times New Roman" w:cs="Times New Roman"/>
                <w:b/>
                <w:color w:val="000000" w:themeColor="text1"/>
                <w:sz w:val="21"/>
                <w:szCs w:val="21"/>
                <w14:textFill>
                  <w14:solidFill>
                    <w14:schemeClr w14:val="tx1"/>
                  </w14:solidFill>
                </w14:textFill>
              </w:rPr>
              <w:fldChar w:fldCharType="separate"/>
            </w:r>
            <w:r>
              <w:rPr>
                <w:rFonts w:hint="default" w:ascii="Times New Roman" w:hAnsi="Times New Roman" w:cs="Times New Roman"/>
                <w:b/>
                <w:color w:val="000000" w:themeColor="text1"/>
                <w:sz w:val="21"/>
                <w:szCs w:val="21"/>
                <w14:textFill>
                  <w14:solidFill>
                    <w14:schemeClr w14:val="tx1"/>
                  </w14:solidFill>
                </w14:textFill>
              </w:rPr>
              <w:t>I</w:t>
            </w:r>
            <w:r>
              <w:rPr>
                <w:rFonts w:hint="default" w:ascii="Times New Roman" w:hAnsi="Times New Roman" w:cs="Times New Roman"/>
                <w:b/>
                <w:color w:val="000000" w:themeColor="text1"/>
                <w:sz w:val="21"/>
                <w:szCs w:val="21"/>
                <w14:textFill>
                  <w14:solidFill>
                    <w14:schemeClr w14:val="tx1"/>
                  </w14:solidFill>
                </w14:textFill>
              </w:rPr>
              <w:fldChar w:fldCharType="end"/>
            </w:r>
          </w:p>
        </w:tc>
      </w:tr>
      <w:tr w14:paraId="0DC59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pct"/>
            <w:noWrap w:val="0"/>
            <w:vAlign w:val="center"/>
          </w:tcPr>
          <w:p w14:paraId="5472F6FB">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评价工作等级</w:t>
            </w:r>
          </w:p>
        </w:tc>
        <w:tc>
          <w:tcPr>
            <w:tcW w:w="794" w:type="pct"/>
            <w:noWrap w:val="0"/>
            <w:vAlign w:val="center"/>
          </w:tcPr>
          <w:p w14:paraId="46C864C7">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一</w:t>
            </w:r>
          </w:p>
        </w:tc>
        <w:tc>
          <w:tcPr>
            <w:tcW w:w="1078" w:type="pct"/>
            <w:noWrap w:val="0"/>
            <w:vAlign w:val="center"/>
          </w:tcPr>
          <w:p w14:paraId="6624B505">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二</w:t>
            </w:r>
          </w:p>
        </w:tc>
        <w:tc>
          <w:tcPr>
            <w:tcW w:w="1152" w:type="pct"/>
            <w:noWrap w:val="0"/>
            <w:vAlign w:val="center"/>
          </w:tcPr>
          <w:p w14:paraId="171CC88B">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三</w:t>
            </w:r>
          </w:p>
        </w:tc>
        <w:tc>
          <w:tcPr>
            <w:tcW w:w="967" w:type="pct"/>
            <w:noWrap w:val="0"/>
            <w:vAlign w:val="center"/>
          </w:tcPr>
          <w:p w14:paraId="0A39602E">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简单分析a</w:t>
            </w:r>
          </w:p>
        </w:tc>
      </w:tr>
      <w:tr w14:paraId="27C32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33502428">
            <w:pPr>
              <w:pStyle w:val="78"/>
              <w:keepNext w:val="0"/>
              <w:keepLines w:val="0"/>
              <w:suppressLineNumbers w:val="0"/>
              <w:spacing w:before="0" w:beforeAutospacing="0" w:after="0" w:afterAutospacing="0" w:line="360" w:lineRule="exact"/>
              <w:ind w:left="0" w:leftChars="0" w:right="0" w:firstLine="0" w:firstLineChars="0"/>
              <w:jc w:val="left"/>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a是相对于详细评价工作内容而言，在描述危险物质、环境影响途径、环境危害后果、风险防范措施等方面给出定性的说明。</w:t>
            </w:r>
          </w:p>
        </w:tc>
      </w:tr>
    </w:tbl>
    <w:p w14:paraId="00C46663">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（1）环境风险潜势划分</w:t>
      </w:r>
    </w:p>
    <w:p w14:paraId="2A6B777B">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建设项目环境风险潜势划分为I、II、III、IV/IV</w:t>
      </w:r>
      <w:r>
        <w:rPr>
          <w:color w:val="000000" w:themeColor="text1"/>
          <w:sz w:val="24"/>
          <w:szCs w:val="24"/>
          <w:vertAlign w:val="superscript"/>
          <w14:textFill>
            <w14:solidFill>
              <w14:schemeClr w14:val="tx1"/>
            </w14:solidFill>
          </w14:textFill>
        </w:rPr>
        <w:t>+</w:t>
      </w:r>
      <w:r>
        <w:rPr>
          <w:color w:val="000000" w:themeColor="text1"/>
          <w:sz w:val="24"/>
          <w:szCs w:val="24"/>
          <w14:textFill>
            <w14:solidFill>
              <w14:schemeClr w14:val="tx1"/>
            </w14:solidFill>
          </w14:textFill>
        </w:rPr>
        <w:t>级。根据建设项目涉及的物质和工艺系统的危险性及其所在地的环境敏感程度，结合事故情形下环境影响途径，对建设项目潜在环境危害程度进行概化分析，按照</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"_bookmark10"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表2.</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5</w:t>
      </w:r>
      <w:r>
        <w:rPr>
          <w:color w:val="000000" w:themeColor="text1"/>
          <w:sz w:val="24"/>
          <w:szCs w:val="24"/>
          <w14:textFill>
            <w14:solidFill>
              <w14:schemeClr w14:val="tx1"/>
            </w14:solidFill>
          </w14:textFill>
        </w:rPr>
        <w:t>确定环境风险潜势。</w:t>
      </w:r>
    </w:p>
    <w:p w14:paraId="55F71317">
      <w:pPr>
        <w:spacing w:line="480" w:lineRule="exact"/>
        <w:ind w:firstLine="480" w:firstLineChars="200"/>
        <w:rPr>
          <w:color w:val="000000" w:themeColor="text1"/>
          <w:sz w:val="24"/>
          <w:szCs w:val="24"/>
          <w14:textFill>
            <w14:solidFill>
              <w14:schemeClr w14:val="tx1"/>
            </w14:solidFill>
          </w14:textFill>
        </w:rPr>
      </w:pPr>
    </w:p>
    <w:p w14:paraId="12E5783C">
      <w:pPr>
        <w:spacing w:line="480" w:lineRule="exact"/>
        <w:ind w:firstLine="480" w:firstLineChars="200"/>
        <w:rPr>
          <w:color w:val="000000" w:themeColor="text1"/>
          <w:sz w:val="24"/>
          <w:szCs w:val="24"/>
          <w14:textFill>
            <w14:solidFill>
              <w14:schemeClr w14:val="tx1"/>
            </w14:solidFill>
          </w14:textFill>
        </w:rPr>
      </w:pPr>
    </w:p>
    <w:p w14:paraId="6903E07E">
      <w:pPr>
        <w:spacing w:line="480" w:lineRule="exact"/>
        <w:ind w:firstLine="480" w:firstLineChars="200"/>
        <w:rPr>
          <w:color w:val="000000" w:themeColor="text1"/>
          <w:sz w:val="24"/>
          <w:szCs w:val="24"/>
          <w14:textFill>
            <w14:solidFill>
              <w14:schemeClr w14:val="tx1"/>
            </w14:solidFill>
          </w14:textFill>
        </w:rPr>
      </w:pPr>
    </w:p>
    <w:p w14:paraId="60595CDB">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表2.</w:t>
      </w:r>
      <w:r>
        <w:rPr>
          <w:rFonts w:hint="eastAsia" w:ascii="Times New Roman" w:hAnsi="Times New Roman" w:eastAsia="宋体"/>
          <w:b/>
          <w:bCs/>
          <w:snapToGrid w:val="0"/>
          <w:color w:val="000000" w:themeColor="text1"/>
          <w:sz w:val="24"/>
          <w:szCs w:val="24"/>
          <w14:textFill>
            <w14:solidFill>
              <w14:schemeClr w14:val="tx1"/>
            </w14:solidFill>
          </w14:textFill>
        </w:rPr>
        <w:t>5</w:t>
      </w:r>
      <w:r>
        <w:rPr>
          <w:rFonts w:ascii="Times New Roman" w:hAnsi="Times New Roman" w:eastAsia="宋体"/>
          <w:b/>
          <w:bCs/>
          <w:snapToGrid w:val="0"/>
          <w:color w:val="000000" w:themeColor="text1"/>
          <w:sz w:val="24"/>
          <w:szCs w:val="24"/>
          <w14:textFill>
            <w14:solidFill>
              <w14:schemeClr w14:val="tx1"/>
            </w14:solidFill>
          </w14:textFill>
        </w:rPr>
        <w:t>-1</w:t>
      </w:r>
      <w:r>
        <w:rPr>
          <w:rFonts w:hint="eastAsia" w:ascii="Times New Roman" w:hAnsi="Times New Roman" w:eastAsia="宋体"/>
          <w:b/>
          <w:bCs/>
          <w:snapToGrid w:val="0"/>
          <w:color w:val="000000" w:themeColor="text1"/>
          <w:sz w:val="24"/>
          <w:szCs w:val="24"/>
          <w:lang w:val="en-US" w:eastAsia="zh-CN"/>
          <w14:textFill>
            <w14:solidFill>
              <w14:schemeClr w14:val="tx1"/>
            </w14:solidFill>
          </w14:textFill>
        </w:rPr>
        <w:t>5</w:t>
      </w:r>
      <w:r>
        <w:rPr>
          <w:rFonts w:ascii="Times New Roman" w:hAnsi="Times New Roman" w:eastAsia="宋体"/>
          <w:b/>
          <w:bCs/>
          <w:snapToGrid w:val="0"/>
          <w:color w:val="000000" w:themeColor="text1"/>
          <w:sz w:val="24"/>
          <w:szCs w:val="24"/>
          <w14:textFill>
            <w14:solidFill>
              <w14:schemeClr w14:val="tx1"/>
            </w14:solidFill>
          </w14:textFill>
        </w:rPr>
        <w:t xml:space="preserve">    建设项目环境风险潜势划分</w:t>
      </w:r>
    </w:p>
    <w:tbl>
      <w:tblPr>
        <w:tblStyle w:val="79"/>
        <w:tblW w:w="5093" w:type="pct"/>
        <w:jc w:val="center"/>
        <w:tblLayout w:type="autofit"/>
        <w:tblCellMar>
          <w:top w:w="0" w:type="dxa"/>
          <w:left w:w="0" w:type="dxa"/>
          <w:bottom w:w="0" w:type="dxa"/>
          <w:right w:w="0" w:type="dxa"/>
        </w:tblCellMar>
      </w:tblPr>
      <w:tblGrid>
        <w:gridCol w:w="2226"/>
        <w:gridCol w:w="1496"/>
        <w:gridCol w:w="1618"/>
        <w:gridCol w:w="1500"/>
        <w:gridCol w:w="1651"/>
      </w:tblGrid>
      <w:tr w14:paraId="691916E9">
        <w:tblPrEx>
          <w:tblCellMar>
            <w:top w:w="0" w:type="dxa"/>
            <w:left w:w="0" w:type="dxa"/>
            <w:bottom w:w="0" w:type="dxa"/>
            <w:right w:w="0" w:type="dxa"/>
          </w:tblCellMar>
        </w:tblPrEx>
        <w:trPr>
          <w:trHeight w:val="340" w:hRule="atLeast"/>
          <w:jc w:val="center"/>
        </w:trPr>
        <w:tc>
          <w:tcPr>
            <w:tcW w:w="1311" w:type="pct"/>
            <w:vMerge w:val="restart"/>
            <w:tcBorders>
              <w:top w:val="single" w:color="000000" w:sz="12" w:space="0"/>
              <w:left w:val="single" w:color="000000" w:sz="12" w:space="0"/>
              <w:right w:val="single" w:color="000000" w:sz="6" w:space="0"/>
            </w:tcBorders>
            <w:noWrap w:val="0"/>
            <w:vAlign w:val="center"/>
          </w:tcPr>
          <w:p w14:paraId="63729FF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环境敏感程度（E）</w:t>
            </w:r>
          </w:p>
        </w:tc>
        <w:tc>
          <w:tcPr>
            <w:tcW w:w="3688" w:type="pct"/>
            <w:gridSpan w:val="4"/>
            <w:tcBorders>
              <w:top w:val="single" w:color="000000" w:sz="12" w:space="0"/>
              <w:left w:val="single" w:color="000000" w:sz="6" w:space="0"/>
              <w:bottom w:val="single" w:color="000000" w:sz="6" w:space="0"/>
              <w:right w:val="single" w:color="000000" w:sz="12" w:space="0"/>
            </w:tcBorders>
            <w:noWrap w:val="0"/>
            <w:vAlign w:val="center"/>
          </w:tcPr>
          <w:p w14:paraId="48FABD9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危险物质及工艺系统危险性（P）</w:t>
            </w:r>
          </w:p>
        </w:tc>
      </w:tr>
      <w:tr w14:paraId="32E39B75">
        <w:tblPrEx>
          <w:tblCellMar>
            <w:top w:w="0" w:type="dxa"/>
            <w:left w:w="0" w:type="dxa"/>
            <w:bottom w:w="0" w:type="dxa"/>
            <w:right w:w="0" w:type="dxa"/>
          </w:tblCellMar>
        </w:tblPrEx>
        <w:trPr>
          <w:trHeight w:val="340" w:hRule="atLeast"/>
          <w:jc w:val="center"/>
        </w:trPr>
        <w:tc>
          <w:tcPr>
            <w:tcW w:w="1311" w:type="pct"/>
            <w:vMerge w:val="continue"/>
            <w:tcBorders>
              <w:left w:val="single" w:color="000000" w:sz="12" w:space="0"/>
              <w:bottom w:val="single" w:color="000000" w:sz="6" w:space="0"/>
              <w:right w:val="single" w:color="000000" w:sz="6" w:space="0"/>
            </w:tcBorders>
            <w:noWrap w:val="0"/>
            <w:vAlign w:val="center"/>
          </w:tcPr>
          <w:p w14:paraId="23CC2BA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lang w:eastAsia="zh-CN"/>
                <w14:textFill>
                  <w14:solidFill>
                    <w14:schemeClr w14:val="tx1"/>
                  </w14:solidFill>
                </w14:textFill>
              </w:rPr>
            </w:pPr>
          </w:p>
        </w:tc>
        <w:tc>
          <w:tcPr>
            <w:tcW w:w="881" w:type="pct"/>
            <w:tcBorders>
              <w:top w:val="single" w:color="000000" w:sz="6" w:space="0"/>
              <w:left w:val="single" w:color="000000" w:sz="6" w:space="0"/>
              <w:bottom w:val="single" w:color="000000" w:sz="6" w:space="0"/>
              <w:right w:val="single" w:color="000000" w:sz="6" w:space="0"/>
            </w:tcBorders>
            <w:noWrap w:val="0"/>
            <w:vAlign w:val="center"/>
          </w:tcPr>
          <w:p w14:paraId="0921009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极高危害（P1）</w:t>
            </w:r>
          </w:p>
        </w:tc>
        <w:tc>
          <w:tcPr>
            <w:tcW w:w="953" w:type="pct"/>
            <w:tcBorders>
              <w:top w:val="single" w:color="000000" w:sz="6" w:space="0"/>
              <w:left w:val="single" w:color="000000" w:sz="6" w:space="0"/>
              <w:bottom w:val="single" w:color="000000" w:sz="6" w:space="0"/>
              <w:right w:val="single" w:color="000000" w:sz="6" w:space="0"/>
            </w:tcBorders>
            <w:noWrap w:val="0"/>
            <w:vAlign w:val="center"/>
          </w:tcPr>
          <w:p w14:paraId="6BB9F66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高度危害（P2）</w:t>
            </w:r>
          </w:p>
        </w:tc>
        <w:tc>
          <w:tcPr>
            <w:tcW w:w="883" w:type="pct"/>
            <w:tcBorders>
              <w:top w:val="single" w:color="000000" w:sz="6" w:space="0"/>
              <w:left w:val="single" w:color="000000" w:sz="6" w:space="0"/>
              <w:bottom w:val="single" w:color="000000" w:sz="6" w:space="0"/>
              <w:right w:val="single" w:color="000000" w:sz="6" w:space="0"/>
            </w:tcBorders>
            <w:noWrap w:val="0"/>
            <w:vAlign w:val="center"/>
          </w:tcPr>
          <w:p w14:paraId="341E0EE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中度危害（P3）</w:t>
            </w:r>
          </w:p>
        </w:tc>
        <w:tc>
          <w:tcPr>
            <w:tcW w:w="970" w:type="pct"/>
            <w:tcBorders>
              <w:top w:val="single" w:color="000000" w:sz="6" w:space="0"/>
              <w:left w:val="single" w:color="000000" w:sz="6" w:space="0"/>
              <w:bottom w:val="single" w:color="000000" w:sz="6" w:space="0"/>
              <w:right w:val="single" w:color="000000" w:sz="12" w:space="0"/>
            </w:tcBorders>
            <w:noWrap w:val="0"/>
            <w:vAlign w:val="center"/>
          </w:tcPr>
          <w:p w14:paraId="626938B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轻度危害（P4）</w:t>
            </w:r>
          </w:p>
        </w:tc>
      </w:tr>
      <w:tr w14:paraId="5CE77C26">
        <w:tblPrEx>
          <w:tblCellMar>
            <w:top w:w="0" w:type="dxa"/>
            <w:left w:w="0" w:type="dxa"/>
            <w:bottom w:w="0" w:type="dxa"/>
            <w:right w:w="0" w:type="dxa"/>
          </w:tblCellMar>
        </w:tblPrEx>
        <w:trPr>
          <w:trHeight w:val="340" w:hRule="atLeast"/>
          <w:jc w:val="center"/>
        </w:trPr>
        <w:tc>
          <w:tcPr>
            <w:tcW w:w="1311" w:type="pct"/>
            <w:tcBorders>
              <w:top w:val="single" w:color="000000" w:sz="6" w:space="0"/>
              <w:left w:val="single" w:color="000000" w:sz="12" w:space="0"/>
              <w:bottom w:val="single" w:color="000000" w:sz="6" w:space="0"/>
              <w:right w:val="single" w:color="000000" w:sz="6" w:space="0"/>
            </w:tcBorders>
            <w:noWrap w:val="0"/>
            <w:vAlign w:val="center"/>
          </w:tcPr>
          <w:p w14:paraId="61322B6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环境高度敏感区（E1）</w:t>
            </w:r>
          </w:p>
        </w:tc>
        <w:tc>
          <w:tcPr>
            <w:tcW w:w="881" w:type="pct"/>
            <w:tcBorders>
              <w:top w:val="single" w:color="000000" w:sz="6" w:space="0"/>
              <w:left w:val="single" w:color="000000" w:sz="6" w:space="0"/>
              <w:bottom w:val="single" w:color="000000" w:sz="6" w:space="0"/>
              <w:right w:val="single" w:color="000000" w:sz="6" w:space="0"/>
            </w:tcBorders>
            <w:noWrap w:val="0"/>
            <w:vAlign w:val="center"/>
          </w:tcPr>
          <w:p w14:paraId="52E6BCB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IV</w:t>
            </w:r>
            <w:r>
              <w:rPr>
                <w:rFonts w:hint="default" w:ascii="Times New Roman" w:hAnsi="Times New Roman" w:cs="Times New Roman"/>
                <w:bCs/>
                <w:color w:val="000000" w:themeColor="text1"/>
                <w:sz w:val="21"/>
                <w:szCs w:val="21"/>
                <w:vertAlign w:val="superscript"/>
                <w:lang w:eastAsia="zh-CN"/>
                <w14:textFill>
                  <w14:solidFill>
                    <w14:schemeClr w14:val="tx1"/>
                  </w14:solidFill>
                </w14:textFill>
              </w:rPr>
              <w:t>+</w:t>
            </w:r>
          </w:p>
        </w:tc>
        <w:tc>
          <w:tcPr>
            <w:tcW w:w="953" w:type="pct"/>
            <w:tcBorders>
              <w:top w:val="single" w:color="000000" w:sz="6" w:space="0"/>
              <w:left w:val="single" w:color="000000" w:sz="6" w:space="0"/>
              <w:bottom w:val="single" w:color="000000" w:sz="6" w:space="0"/>
              <w:right w:val="single" w:color="000000" w:sz="6" w:space="0"/>
            </w:tcBorders>
            <w:noWrap w:val="0"/>
            <w:vAlign w:val="center"/>
          </w:tcPr>
          <w:p w14:paraId="1DFE16E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IV</w:t>
            </w:r>
          </w:p>
        </w:tc>
        <w:tc>
          <w:tcPr>
            <w:tcW w:w="883" w:type="pct"/>
            <w:tcBorders>
              <w:top w:val="single" w:color="000000" w:sz="6" w:space="0"/>
              <w:left w:val="single" w:color="000000" w:sz="6" w:space="0"/>
              <w:bottom w:val="single" w:color="000000" w:sz="6" w:space="0"/>
              <w:right w:val="single" w:color="000000" w:sz="6" w:space="0"/>
            </w:tcBorders>
            <w:noWrap w:val="0"/>
            <w:vAlign w:val="center"/>
          </w:tcPr>
          <w:p w14:paraId="2AEE223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III</w:t>
            </w:r>
          </w:p>
        </w:tc>
        <w:tc>
          <w:tcPr>
            <w:tcW w:w="970" w:type="pct"/>
            <w:tcBorders>
              <w:top w:val="single" w:color="000000" w:sz="6" w:space="0"/>
              <w:left w:val="single" w:color="000000" w:sz="6" w:space="0"/>
              <w:bottom w:val="single" w:color="000000" w:sz="6" w:space="0"/>
              <w:right w:val="single" w:color="000000" w:sz="12" w:space="0"/>
            </w:tcBorders>
            <w:noWrap w:val="0"/>
            <w:vAlign w:val="center"/>
          </w:tcPr>
          <w:p w14:paraId="19950FB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III</w:t>
            </w:r>
          </w:p>
        </w:tc>
      </w:tr>
      <w:tr w14:paraId="3A399A89">
        <w:tblPrEx>
          <w:tblCellMar>
            <w:top w:w="0" w:type="dxa"/>
            <w:left w:w="0" w:type="dxa"/>
            <w:bottom w:w="0" w:type="dxa"/>
            <w:right w:w="0" w:type="dxa"/>
          </w:tblCellMar>
        </w:tblPrEx>
        <w:trPr>
          <w:trHeight w:val="340" w:hRule="atLeast"/>
          <w:jc w:val="center"/>
        </w:trPr>
        <w:tc>
          <w:tcPr>
            <w:tcW w:w="1311" w:type="pct"/>
            <w:tcBorders>
              <w:top w:val="single" w:color="000000" w:sz="6" w:space="0"/>
              <w:left w:val="single" w:color="000000" w:sz="12" w:space="0"/>
              <w:bottom w:val="single" w:color="000000" w:sz="6" w:space="0"/>
              <w:right w:val="single" w:color="000000" w:sz="6" w:space="0"/>
            </w:tcBorders>
            <w:noWrap w:val="0"/>
            <w:vAlign w:val="center"/>
          </w:tcPr>
          <w:p w14:paraId="3B135FB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环境中度敏感区（E2）</w:t>
            </w:r>
          </w:p>
        </w:tc>
        <w:tc>
          <w:tcPr>
            <w:tcW w:w="881" w:type="pct"/>
            <w:tcBorders>
              <w:top w:val="single" w:color="000000" w:sz="6" w:space="0"/>
              <w:left w:val="single" w:color="000000" w:sz="6" w:space="0"/>
              <w:bottom w:val="single" w:color="000000" w:sz="6" w:space="0"/>
              <w:right w:val="single" w:color="000000" w:sz="6" w:space="0"/>
            </w:tcBorders>
            <w:noWrap w:val="0"/>
            <w:vAlign w:val="center"/>
          </w:tcPr>
          <w:p w14:paraId="060C8DFD">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IV</w:t>
            </w:r>
          </w:p>
        </w:tc>
        <w:tc>
          <w:tcPr>
            <w:tcW w:w="953" w:type="pct"/>
            <w:tcBorders>
              <w:top w:val="single" w:color="000000" w:sz="6" w:space="0"/>
              <w:left w:val="single" w:color="000000" w:sz="6" w:space="0"/>
              <w:bottom w:val="single" w:color="000000" w:sz="6" w:space="0"/>
              <w:right w:val="single" w:color="000000" w:sz="6" w:space="0"/>
            </w:tcBorders>
            <w:noWrap w:val="0"/>
            <w:vAlign w:val="center"/>
          </w:tcPr>
          <w:p w14:paraId="751ECB1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III</w:t>
            </w:r>
          </w:p>
        </w:tc>
        <w:tc>
          <w:tcPr>
            <w:tcW w:w="883" w:type="pct"/>
            <w:tcBorders>
              <w:top w:val="single" w:color="000000" w:sz="6" w:space="0"/>
              <w:left w:val="single" w:color="000000" w:sz="6" w:space="0"/>
              <w:bottom w:val="single" w:color="000000" w:sz="6" w:space="0"/>
              <w:right w:val="single" w:color="000000" w:sz="6" w:space="0"/>
            </w:tcBorders>
            <w:noWrap w:val="0"/>
            <w:vAlign w:val="center"/>
          </w:tcPr>
          <w:p w14:paraId="4BE1113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III</w:t>
            </w:r>
          </w:p>
        </w:tc>
        <w:tc>
          <w:tcPr>
            <w:tcW w:w="970" w:type="pct"/>
            <w:tcBorders>
              <w:top w:val="single" w:color="000000" w:sz="6" w:space="0"/>
              <w:left w:val="single" w:color="000000" w:sz="6" w:space="0"/>
              <w:bottom w:val="single" w:color="000000" w:sz="6" w:space="0"/>
              <w:right w:val="single" w:color="000000" w:sz="12" w:space="0"/>
            </w:tcBorders>
            <w:noWrap w:val="0"/>
            <w:vAlign w:val="center"/>
          </w:tcPr>
          <w:p w14:paraId="144B658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II</w:t>
            </w:r>
          </w:p>
        </w:tc>
      </w:tr>
      <w:tr w14:paraId="702FC06C">
        <w:tblPrEx>
          <w:tblCellMar>
            <w:top w:w="0" w:type="dxa"/>
            <w:left w:w="0" w:type="dxa"/>
            <w:bottom w:w="0" w:type="dxa"/>
            <w:right w:w="0" w:type="dxa"/>
          </w:tblCellMar>
        </w:tblPrEx>
        <w:trPr>
          <w:trHeight w:val="340" w:hRule="atLeast"/>
          <w:jc w:val="center"/>
        </w:trPr>
        <w:tc>
          <w:tcPr>
            <w:tcW w:w="1311" w:type="pct"/>
            <w:tcBorders>
              <w:top w:val="single" w:color="000000" w:sz="6" w:space="0"/>
              <w:left w:val="single" w:color="000000" w:sz="12" w:space="0"/>
              <w:bottom w:val="single" w:color="000000" w:sz="6" w:space="0"/>
              <w:right w:val="single" w:color="000000" w:sz="6" w:space="0"/>
            </w:tcBorders>
            <w:noWrap w:val="0"/>
            <w:vAlign w:val="center"/>
          </w:tcPr>
          <w:p w14:paraId="0A24196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环境低度敏感区（E3）</w:t>
            </w:r>
          </w:p>
        </w:tc>
        <w:tc>
          <w:tcPr>
            <w:tcW w:w="881" w:type="pct"/>
            <w:tcBorders>
              <w:top w:val="single" w:color="000000" w:sz="6" w:space="0"/>
              <w:left w:val="single" w:color="000000" w:sz="6" w:space="0"/>
              <w:bottom w:val="single" w:color="000000" w:sz="6" w:space="0"/>
              <w:right w:val="single" w:color="000000" w:sz="6" w:space="0"/>
            </w:tcBorders>
            <w:noWrap w:val="0"/>
            <w:vAlign w:val="center"/>
          </w:tcPr>
          <w:p w14:paraId="45C0174D">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III</w:t>
            </w:r>
          </w:p>
        </w:tc>
        <w:tc>
          <w:tcPr>
            <w:tcW w:w="953" w:type="pct"/>
            <w:tcBorders>
              <w:top w:val="single" w:color="000000" w:sz="6" w:space="0"/>
              <w:left w:val="single" w:color="000000" w:sz="6" w:space="0"/>
              <w:bottom w:val="single" w:color="000000" w:sz="6" w:space="0"/>
              <w:right w:val="single" w:color="000000" w:sz="6" w:space="0"/>
            </w:tcBorders>
            <w:noWrap w:val="0"/>
            <w:vAlign w:val="center"/>
          </w:tcPr>
          <w:p w14:paraId="11D0DDF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III</w:t>
            </w:r>
          </w:p>
        </w:tc>
        <w:tc>
          <w:tcPr>
            <w:tcW w:w="883" w:type="pct"/>
            <w:tcBorders>
              <w:top w:val="single" w:color="000000" w:sz="6" w:space="0"/>
              <w:left w:val="single" w:color="000000" w:sz="6" w:space="0"/>
              <w:bottom w:val="single" w:color="000000" w:sz="6" w:space="0"/>
              <w:right w:val="single" w:color="000000" w:sz="6" w:space="0"/>
            </w:tcBorders>
            <w:noWrap w:val="0"/>
            <w:vAlign w:val="center"/>
          </w:tcPr>
          <w:p w14:paraId="50192F4D">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II</w:t>
            </w:r>
          </w:p>
        </w:tc>
        <w:tc>
          <w:tcPr>
            <w:tcW w:w="970" w:type="pct"/>
            <w:tcBorders>
              <w:top w:val="single" w:color="000000" w:sz="6" w:space="0"/>
              <w:left w:val="single" w:color="000000" w:sz="6" w:space="0"/>
              <w:bottom w:val="single" w:color="000000" w:sz="6" w:space="0"/>
              <w:right w:val="single" w:color="000000" w:sz="12" w:space="0"/>
            </w:tcBorders>
            <w:noWrap w:val="0"/>
            <w:vAlign w:val="center"/>
          </w:tcPr>
          <w:p w14:paraId="760238D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I</w:t>
            </w:r>
          </w:p>
        </w:tc>
      </w:tr>
      <w:tr w14:paraId="1821AD29">
        <w:tblPrEx>
          <w:tblCellMar>
            <w:top w:w="0" w:type="dxa"/>
            <w:left w:w="0" w:type="dxa"/>
            <w:bottom w:w="0" w:type="dxa"/>
            <w:right w:w="0" w:type="dxa"/>
          </w:tblCellMar>
        </w:tblPrEx>
        <w:trPr>
          <w:trHeight w:val="340" w:hRule="atLeast"/>
          <w:jc w:val="center"/>
        </w:trPr>
        <w:tc>
          <w:tcPr>
            <w:tcW w:w="5000" w:type="pct"/>
            <w:gridSpan w:val="5"/>
            <w:tcBorders>
              <w:top w:val="single" w:color="000000" w:sz="6" w:space="0"/>
              <w:left w:val="single" w:color="000000" w:sz="12" w:space="0"/>
              <w:bottom w:val="single" w:color="000000" w:sz="12" w:space="0"/>
              <w:right w:val="single" w:color="000000" w:sz="12" w:space="0"/>
            </w:tcBorders>
            <w:noWrap w:val="0"/>
            <w:vAlign w:val="center"/>
          </w:tcPr>
          <w:p w14:paraId="5BC9A78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注：IV+为极高环境风险</w:t>
            </w:r>
          </w:p>
        </w:tc>
      </w:tr>
    </w:tbl>
    <w:p w14:paraId="13196D2A">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（2）P的分级确定</w:t>
      </w:r>
    </w:p>
    <w:p w14:paraId="4095FE0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危险物质数量与临界量比值（</w:t>
      </w:r>
      <w:r>
        <w:rPr>
          <w:color w:val="000000" w:themeColor="text1"/>
          <w:sz w:val="24"/>
          <w14:textFill>
            <w14:solidFill>
              <w14:schemeClr w14:val="tx1"/>
            </w14:solidFill>
          </w14:textFill>
        </w:rPr>
        <w:t>Q</w:t>
      </w:r>
      <w:r>
        <w:rPr>
          <w:color w:val="000000" w:themeColor="text1"/>
          <w:sz w:val="24"/>
          <w:szCs w:val="24"/>
          <w14:textFill>
            <w14:solidFill>
              <w14:schemeClr w14:val="tx1"/>
            </w14:solidFill>
          </w14:textFill>
        </w:rPr>
        <w:t>）</w:t>
      </w:r>
    </w:p>
    <w:p w14:paraId="0D7652C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计算所涉及的每种危险物质在厂界内最大存在量与附录B中临界量的比值Q具体计算方法如下：</w:t>
      </w:r>
    </w:p>
    <w:p w14:paraId="2CA95DF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当涉及一种危险物质时，计算该物质的总量与其临界量比值，即为Q；</w:t>
      </w:r>
    </w:p>
    <w:p w14:paraId="4163C228">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当存在多种危险物质时，则按如下式计算物质总量与其临界量比值Q：</w:t>
      </w:r>
    </w:p>
    <w:p w14:paraId="35EF5220">
      <w:pPr>
        <w:pStyle w:val="494"/>
        <w:ind w:firstLine="0" w:firstLineChars="0"/>
        <w:jc w:val="center"/>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026" o:spt="75" type="#_x0000_t75" style="height:34.05pt;width:102pt;" o:ole="t" filled="f" o:preferrelative="t" stroked="f" coordsize="21600,21600">
            <v:path/>
            <v:fill on="f" alignshape="1" focussize="0,0"/>
            <v:stroke on="f"/>
            <v:imagedata r:id="rId39" o:title=""/>
            <o:lock v:ext="edit" aspectratio="t"/>
            <w10:wrap type="none"/>
            <w10:anchorlock/>
          </v:shape>
          <o:OLEObject Type="Embed" ProgID="Equation.KSEE3" ShapeID="_x0000_i1026" DrawAspect="Content" ObjectID="_1468075726" r:id="rId38">
            <o:LockedField>false</o:LockedField>
          </o:OLEObject>
        </w:object>
      </w:r>
    </w:p>
    <w:p w14:paraId="1DBD75E7">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式中：q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为每种危险化学品实际存在量，t。</w:t>
      </w:r>
    </w:p>
    <w:p w14:paraId="0C12E39D">
      <w:pPr>
        <w:pStyle w:val="494"/>
        <w:spacing w:line="480" w:lineRule="exact"/>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为与各危险化学品相对应的临界量，t。</w:t>
      </w:r>
    </w:p>
    <w:p w14:paraId="3A29180D">
      <w:pPr>
        <w:pStyle w:val="494"/>
        <w:spacing w:line="480" w:lineRule="exact"/>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当Q＜1时，</w:t>
      </w:r>
      <w:r>
        <w:rPr>
          <w:rFonts w:hint="eastAsia"/>
          <w:color w:val="000000" w:themeColor="text1"/>
          <w:lang w:val="en-US" w:eastAsia="zh-CN"/>
          <w14:textFill>
            <w14:solidFill>
              <w14:schemeClr w14:val="tx1"/>
            </w14:solidFill>
          </w14:textFill>
        </w:rPr>
        <w:t>本</w:t>
      </w:r>
      <w:r>
        <w:rPr>
          <w:color w:val="000000" w:themeColor="text1"/>
          <w14:textFill>
            <w14:solidFill>
              <w14:schemeClr w14:val="tx1"/>
            </w14:solidFill>
          </w14:textFill>
        </w:rPr>
        <w:t>项目环境风险潜势为Ⅰ。</w:t>
      </w:r>
    </w:p>
    <w:p w14:paraId="7E2AA065">
      <w:pPr>
        <w:pStyle w:val="494"/>
        <w:spacing w:line="480" w:lineRule="exact"/>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当Q≥1时，将Q值划分为：（1）1≤Q＜10；（2）10≤Q＜100；</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Q≥100。</w:t>
      </w:r>
    </w:p>
    <w:p w14:paraId="228DEA54">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lang w:eastAsia="zh-CN"/>
          <w14:textFill>
            <w14:solidFill>
              <w14:schemeClr w14:val="tx1"/>
            </w14:solidFill>
          </w14:textFill>
        </w:rPr>
        <w:t>矿区</w:t>
      </w:r>
      <w:r>
        <w:rPr>
          <w:rFonts w:hint="eastAsia"/>
          <w:color w:val="000000" w:themeColor="text1"/>
          <w:sz w:val="24"/>
          <w14:textFill>
            <w14:solidFill>
              <w14:schemeClr w14:val="tx1"/>
            </w14:solidFill>
          </w14:textFill>
        </w:rPr>
        <w:t>设有油库、爆破器材库、</w:t>
      </w:r>
      <w:r>
        <w:rPr>
          <w:rFonts w:hint="eastAsia"/>
          <w:color w:val="000000" w:themeColor="text1"/>
          <w:sz w:val="24"/>
          <w:lang w:eastAsia="zh-CN"/>
          <w14:textFill>
            <w14:solidFill>
              <w14:schemeClr w14:val="tx1"/>
            </w14:solidFill>
          </w14:textFill>
        </w:rPr>
        <w:t>危废贮存点</w:t>
      </w:r>
      <w:r>
        <w:rPr>
          <w:rFonts w:hint="eastAsia"/>
          <w:color w:val="000000" w:themeColor="text1"/>
          <w:sz w:val="24"/>
          <w14:textFill>
            <w14:solidFill>
              <w14:schemeClr w14:val="tx1"/>
            </w14:solidFill>
          </w14:textFill>
        </w:rPr>
        <w:t>等，所涉及的危险化学品主要为柴油、</w:t>
      </w:r>
      <w:r>
        <w:rPr>
          <w:rFonts w:hint="eastAsia"/>
          <w:color w:val="000000" w:themeColor="text1"/>
          <w:sz w:val="24"/>
          <w:szCs w:val="28"/>
          <w14:textFill>
            <w14:solidFill>
              <w14:schemeClr w14:val="tx1"/>
            </w14:solidFill>
          </w14:textFill>
        </w:rPr>
        <w:t>废矿物油</w:t>
      </w:r>
      <w:r>
        <w:rPr>
          <w:rFonts w:hint="eastAsia"/>
          <w:color w:val="000000" w:themeColor="text1"/>
          <w:sz w:val="24"/>
          <w14:textFill>
            <w14:solidFill>
              <w14:schemeClr w14:val="tx1"/>
            </w14:solidFill>
          </w14:textFill>
        </w:rPr>
        <w:t>、炸药（硝酸铵）。</w:t>
      </w:r>
      <w:r>
        <w:rPr>
          <w:color w:val="000000" w:themeColor="text1"/>
          <w:sz w:val="24"/>
          <w14:textFill>
            <w14:solidFill>
              <w14:schemeClr w14:val="tx1"/>
            </w14:solidFill>
          </w14:textFill>
        </w:rPr>
        <w:t>针对企业的生产原料、燃料、辅助生产物料等，对照《建设项目环境风险评价技术导则》（HJ169-2018）附录B环境风险物质，</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危险物质数量与临界量比值情况具体见表</w:t>
      </w:r>
      <w:r>
        <w:rPr>
          <w:rFonts w:hint="eastAsia"/>
          <w:color w:val="000000" w:themeColor="text1"/>
          <w:sz w:val="24"/>
          <w14:textFill>
            <w14:solidFill>
              <w14:schemeClr w14:val="tx1"/>
            </w14:solidFill>
          </w14:textFill>
        </w:rPr>
        <w:t>2.5-1</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14:paraId="1D316D5A">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表2.</w:t>
      </w:r>
      <w:r>
        <w:rPr>
          <w:rFonts w:hint="eastAsia" w:ascii="Times New Roman" w:hAnsi="Times New Roman" w:eastAsia="宋体"/>
          <w:b/>
          <w:bCs/>
          <w:snapToGrid w:val="0"/>
          <w:color w:val="000000" w:themeColor="text1"/>
          <w:sz w:val="24"/>
          <w:szCs w:val="24"/>
          <w14:textFill>
            <w14:solidFill>
              <w14:schemeClr w14:val="tx1"/>
            </w14:solidFill>
          </w14:textFill>
        </w:rPr>
        <w:t>5</w:t>
      </w:r>
      <w:r>
        <w:rPr>
          <w:rFonts w:ascii="Times New Roman" w:hAnsi="Times New Roman" w:eastAsia="宋体"/>
          <w:b/>
          <w:bCs/>
          <w:snapToGrid w:val="0"/>
          <w:color w:val="000000" w:themeColor="text1"/>
          <w:sz w:val="24"/>
          <w:szCs w:val="24"/>
          <w14:textFill>
            <w14:solidFill>
              <w14:schemeClr w14:val="tx1"/>
            </w14:solidFill>
          </w14:textFill>
        </w:rPr>
        <w:t>-1</w:t>
      </w:r>
      <w:r>
        <w:rPr>
          <w:rFonts w:hint="eastAsia" w:ascii="Times New Roman" w:hAnsi="Times New Roman" w:eastAsia="宋体"/>
          <w:b/>
          <w:bCs/>
          <w:snapToGrid w:val="0"/>
          <w:color w:val="000000" w:themeColor="text1"/>
          <w:sz w:val="24"/>
          <w:szCs w:val="24"/>
          <w:lang w:val="en-US" w:eastAsia="zh-CN"/>
          <w14:textFill>
            <w14:solidFill>
              <w14:schemeClr w14:val="tx1"/>
            </w14:solidFill>
          </w14:textFill>
        </w:rPr>
        <w:t>6</w:t>
      </w:r>
      <w:r>
        <w:rPr>
          <w:rFonts w:ascii="Times New Roman" w:hAnsi="Times New Roman" w:eastAsia="宋体"/>
          <w:b/>
          <w:bCs/>
          <w:snapToGrid w:val="0"/>
          <w:color w:val="000000" w:themeColor="text1"/>
          <w:sz w:val="24"/>
          <w:szCs w:val="24"/>
          <w14:textFill>
            <w14:solidFill>
              <w14:schemeClr w14:val="tx1"/>
            </w14:solidFill>
          </w14:textFill>
        </w:rPr>
        <w:t xml:space="preserve">    本项目危险物质数量与临界量的比值</w:t>
      </w:r>
    </w:p>
    <w:tbl>
      <w:tblPr>
        <w:tblStyle w:val="79"/>
        <w:tblW w:w="508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39"/>
        <w:gridCol w:w="1810"/>
        <w:gridCol w:w="1534"/>
        <w:gridCol w:w="1688"/>
        <w:gridCol w:w="1600"/>
      </w:tblGrid>
      <w:tr w14:paraId="7A9E29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0" w:hRule="exact"/>
          <w:jc w:val="center"/>
        </w:trPr>
        <w:tc>
          <w:tcPr>
            <w:tcW w:w="1086" w:type="pct"/>
            <w:noWrap w:val="0"/>
            <w:vAlign w:val="center"/>
          </w:tcPr>
          <w:p w14:paraId="7E034347">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设施</w:t>
            </w:r>
          </w:p>
        </w:tc>
        <w:tc>
          <w:tcPr>
            <w:tcW w:w="1068" w:type="pct"/>
            <w:noWrap w:val="0"/>
            <w:vAlign w:val="center"/>
          </w:tcPr>
          <w:p w14:paraId="4E0BE0E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物质名称</w:t>
            </w:r>
          </w:p>
        </w:tc>
        <w:tc>
          <w:tcPr>
            <w:tcW w:w="905" w:type="pct"/>
            <w:noWrap w:val="0"/>
            <w:vAlign w:val="center"/>
          </w:tcPr>
          <w:p w14:paraId="0AF625DE">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临界量/t</w:t>
            </w:r>
          </w:p>
        </w:tc>
        <w:tc>
          <w:tcPr>
            <w:tcW w:w="995" w:type="pct"/>
            <w:noWrap w:val="0"/>
            <w:vAlign w:val="center"/>
          </w:tcPr>
          <w:p w14:paraId="223B1D0C">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eastAsia" w:ascii="Times New Roman" w:hAnsi="Times New Roman" w:cs="Times New Roman"/>
                <w:b/>
                <w:bCs/>
                <w:color w:val="000000" w:themeColor="text1"/>
                <w:spacing w:val="-1"/>
                <w:sz w:val="21"/>
                <w:szCs w:val="21"/>
                <w14:textFill>
                  <w14:solidFill>
                    <w14:schemeClr w14:val="tx1"/>
                  </w14:solidFill>
                </w14:textFill>
              </w:rPr>
              <w:t>最大</w:t>
            </w:r>
            <w:r>
              <w:rPr>
                <w:rFonts w:hint="default" w:ascii="Times New Roman" w:hAnsi="Times New Roman" w:cs="Times New Roman"/>
                <w:b/>
                <w:bCs/>
                <w:color w:val="000000" w:themeColor="text1"/>
                <w:spacing w:val="-1"/>
                <w:sz w:val="21"/>
                <w:szCs w:val="21"/>
                <w14:textFill>
                  <w14:solidFill>
                    <w14:schemeClr w14:val="tx1"/>
                  </w14:solidFill>
                </w14:textFill>
              </w:rPr>
              <w:t>储存量/t</w:t>
            </w:r>
          </w:p>
        </w:tc>
        <w:tc>
          <w:tcPr>
            <w:tcW w:w="944" w:type="pct"/>
            <w:noWrap w:val="0"/>
            <w:vAlign w:val="center"/>
          </w:tcPr>
          <w:p w14:paraId="5021E08B">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Q</w:t>
            </w:r>
          </w:p>
        </w:tc>
      </w:tr>
      <w:tr w14:paraId="64DBD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1086" w:type="pct"/>
            <w:noWrap w:val="0"/>
            <w:vAlign w:val="center"/>
          </w:tcPr>
          <w:p w14:paraId="260AE8F8">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油库</w:t>
            </w:r>
          </w:p>
        </w:tc>
        <w:tc>
          <w:tcPr>
            <w:tcW w:w="1068" w:type="pct"/>
            <w:noWrap w:val="0"/>
            <w:vAlign w:val="center"/>
          </w:tcPr>
          <w:p w14:paraId="78D86FE7">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柴油、润滑油</w:t>
            </w:r>
          </w:p>
        </w:tc>
        <w:tc>
          <w:tcPr>
            <w:tcW w:w="905" w:type="pct"/>
            <w:noWrap w:val="0"/>
            <w:vAlign w:val="center"/>
          </w:tcPr>
          <w:p w14:paraId="793E754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2500</w:t>
            </w:r>
          </w:p>
        </w:tc>
        <w:tc>
          <w:tcPr>
            <w:tcW w:w="995" w:type="pct"/>
            <w:noWrap w:val="0"/>
            <w:vAlign w:val="center"/>
          </w:tcPr>
          <w:p w14:paraId="3AB184E1">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20</w:t>
            </w:r>
          </w:p>
        </w:tc>
        <w:tc>
          <w:tcPr>
            <w:tcW w:w="944" w:type="pct"/>
            <w:noWrap w:val="0"/>
            <w:vAlign w:val="center"/>
          </w:tcPr>
          <w:p w14:paraId="3C59543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.008</w:t>
            </w:r>
          </w:p>
        </w:tc>
      </w:tr>
      <w:tr w14:paraId="2A22ED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1086" w:type="pct"/>
            <w:noWrap w:val="0"/>
            <w:vAlign w:val="center"/>
          </w:tcPr>
          <w:p w14:paraId="50A0BC0F">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爆破器材库</w:t>
            </w:r>
          </w:p>
        </w:tc>
        <w:tc>
          <w:tcPr>
            <w:tcW w:w="1068" w:type="pct"/>
            <w:noWrap w:val="0"/>
            <w:vAlign w:val="center"/>
          </w:tcPr>
          <w:p w14:paraId="017D70D9">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炸药</w:t>
            </w:r>
            <w:r>
              <w:rPr>
                <w:rFonts w:hint="eastAsia" w:ascii="Times New Roman" w:hAnsi="Times New Roman" w:cs="Times New Roman"/>
                <w:color w:val="000000" w:themeColor="text1"/>
                <w:spacing w:val="-1"/>
                <w:sz w:val="21"/>
                <w:szCs w:val="21"/>
                <w14:textFill>
                  <w14:solidFill>
                    <w14:schemeClr w14:val="tx1"/>
                  </w14:solidFill>
                </w14:textFill>
              </w:rPr>
              <w:t>（硝酸铵）</w:t>
            </w:r>
          </w:p>
        </w:tc>
        <w:tc>
          <w:tcPr>
            <w:tcW w:w="905" w:type="pct"/>
            <w:noWrap w:val="0"/>
            <w:vAlign w:val="center"/>
          </w:tcPr>
          <w:p w14:paraId="3D487C81">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50</w:t>
            </w:r>
          </w:p>
        </w:tc>
        <w:tc>
          <w:tcPr>
            <w:tcW w:w="995" w:type="pct"/>
            <w:noWrap w:val="0"/>
            <w:vAlign w:val="center"/>
          </w:tcPr>
          <w:p w14:paraId="59E5778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30</w:t>
            </w:r>
          </w:p>
        </w:tc>
        <w:tc>
          <w:tcPr>
            <w:tcW w:w="944" w:type="pct"/>
            <w:noWrap w:val="0"/>
            <w:vAlign w:val="center"/>
          </w:tcPr>
          <w:p w14:paraId="56D863F4">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.6</w:t>
            </w:r>
          </w:p>
        </w:tc>
      </w:tr>
      <w:tr w14:paraId="7D8B2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1086" w:type="pct"/>
            <w:noWrap w:val="0"/>
            <w:vAlign w:val="center"/>
          </w:tcPr>
          <w:p w14:paraId="661B35DF">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pacing w:val="-1"/>
                <w:sz w:val="2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危废贮存点</w:t>
            </w:r>
          </w:p>
        </w:tc>
        <w:tc>
          <w:tcPr>
            <w:tcW w:w="1068" w:type="pct"/>
            <w:noWrap w:val="0"/>
            <w:vAlign w:val="center"/>
          </w:tcPr>
          <w:p w14:paraId="4121320C">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废矿物油</w:t>
            </w:r>
          </w:p>
        </w:tc>
        <w:tc>
          <w:tcPr>
            <w:tcW w:w="905" w:type="pct"/>
            <w:noWrap w:val="0"/>
            <w:vAlign w:val="center"/>
          </w:tcPr>
          <w:p w14:paraId="037FC139">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2500</w:t>
            </w:r>
          </w:p>
        </w:tc>
        <w:tc>
          <w:tcPr>
            <w:tcW w:w="995" w:type="pct"/>
            <w:noWrap w:val="0"/>
            <w:vAlign w:val="center"/>
          </w:tcPr>
          <w:p w14:paraId="069D2167">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1</w:t>
            </w:r>
          </w:p>
        </w:tc>
        <w:tc>
          <w:tcPr>
            <w:tcW w:w="944" w:type="pct"/>
            <w:noWrap w:val="0"/>
            <w:vAlign w:val="center"/>
          </w:tcPr>
          <w:p w14:paraId="3200152E">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.0004</w:t>
            </w:r>
          </w:p>
        </w:tc>
      </w:tr>
      <w:tr w14:paraId="3F5A99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4055" w:type="pct"/>
            <w:gridSpan w:val="4"/>
            <w:noWrap w:val="0"/>
            <w:vAlign w:val="center"/>
          </w:tcPr>
          <w:p w14:paraId="471070B0">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合计</w:t>
            </w:r>
          </w:p>
        </w:tc>
        <w:tc>
          <w:tcPr>
            <w:tcW w:w="944" w:type="pct"/>
            <w:noWrap w:val="0"/>
            <w:vAlign w:val="center"/>
          </w:tcPr>
          <w:p w14:paraId="5E5B22F9">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pacing w:val="-1"/>
                <w:sz w:val="2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0</w:t>
            </w:r>
            <w:r>
              <w:rPr>
                <w:rFonts w:hint="default" w:ascii="Times New Roman" w:hAnsi="Times New Roman" w:cs="Times New Roman"/>
                <w:color w:val="000000" w:themeColor="text1"/>
                <w:spacing w:val="-1"/>
                <w:sz w:val="21"/>
                <w:szCs w:val="21"/>
                <w14:textFill>
                  <w14:solidFill>
                    <w14:schemeClr w14:val="tx1"/>
                  </w14:solidFill>
                </w14:textFill>
              </w:rPr>
              <w:t>.608</w:t>
            </w:r>
            <w:r>
              <w:rPr>
                <w:rFonts w:hint="eastAsia" w:ascii="Times New Roman" w:hAnsi="Times New Roman" w:cs="Times New Roman"/>
                <w:color w:val="000000" w:themeColor="text1"/>
                <w:spacing w:val="-1"/>
                <w:sz w:val="21"/>
                <w:szCs w:val="21"/>
                <w:lang w:val="en-US" w:eastAsia="zh-CN"/>
                <w14:textFill>
                  <w14:solidFill>
                    <w14:schemeClr w14:val="tx1"/>
                  </w14:solidFill>
                </w14:textFill>
              </w:rPr>
              <w:t>4</w:t>
            </w:r>
          </w:p>
        </w:tc>
      </w:tr>
    </w:tbl>
    <w:p w14:paraId="323829CD">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w:t>项目危险物质数量与临界量比值Q为0.608</w:t>
      </w:r>
      <w:r>
        <w:rPr>
          <w:rFonts w:hint="eastAsia"/>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则判定本项目环境风险潜势为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本项目环境风险仅进行简单分析，</w:t>
      </w:r>
      <w:r>
        <w:rPr>
          <w:rFonts w:hint="eastAsia"/>
          <w:color w:val="000000" w:themeColor="text1"/>
          <w:sz w:val="24"/>
          <w:szCs w:val="24"/>
          <w14:textFill>
            <w14:solidFill>
              <w14:schemeClr w14:val="tx1"/>
            </w14:solidFill>
          </w14:textFill>
        </w:rPr>
        <w:t>不设置环境风险评价范围。</w:t>
      </w:r>
    </w:p>
    <w:p w14:paraId="566F28B6">
      <w:pPr>
        <w:pStyle w:val="4"/>
        <w:spacing w:before="60" w:after="60" w:line="480" w:lineRule="exact"/>
        <w:rPr>
          <w:color w:val="000000" w:themeColor="text1"/>
          <w:kern w:val="2"/>
          <w14:textFill>
            <w14:solidFill>
              <w14:schemeClr w14:val="tx1"/>
            </w14:solidFill>
          </w14:textFill>
        </w:rPr>
      </w:pPr>
      <w:bookmarkStart w:id="199" w:name="_Toc1762429044"/>
      <w:bookmarkStart w:id="200" w:name="_Toc12523"/>
      <w:bookmarkStart w:id="201" w:name="_Toc8466"/>
      <w:bookmarkStart w:id="202" w:name="_Toc5757"/>
      <w:bookmarkStart w:id="203" w:name="_Toc3708"/>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5</w:t>
      </w:r>
      <w:r>
        <w:rPr>
          <w:color w:val="000000" w:themeColor="text1"/>
          <w:kern w:val="2"/>
          <w14:textFill>
            <w14:solidFill>
              <w14:schemeClr w14:val="tx1"/>
            </w14:solidFill>
          </w14:textFill>
        </w:rPr>
        <w:t>.6生态环境</w:t>
      </w:r>
      <w:r>
        <w:rPr>
          <w:rFonts w:hint="eastAsia"/>
          <w:color w:val="000000" w:themeColor="text1"/>
          <w:kern w:val="2"/>
          <w14:textFill>
            <w14:solidFill>
              <w14:schemeClr w14:val="tx1"/>
            </w14:solidFill>
          </w14:textFill>
        </w:rPr>
        <w:t>影响</w:t>
      </w:r>
      <w:r>
        <w:rPr>
          <w:color w:val="000000" w:themeColor="text1"/>
          <w:kern w:val="2"/>
          <w14:textFill>
            <w14:solidFill>
              <w14:schemeClr w14:val="tx1"/>
            </w14:solidFill>
          </w14:textFill>
        </w:rPr>
        <w:t>评价等级和评价范围</w:t>
      </w:r>
      <w:bookmarkEnd w:id="199"/>
      <w:bookmarkEnd w:id="200"/>
      <w:bookmarkEnd w:id="201"/>
      <w:bookmarkEnd w:id="202"/>
      <w:bookmarkEnd w:id="203"/>
    </w:p>
    <w:p w14:paraId="12BEF9D0">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（1）生态环境影响评价等级</w:t>
      </w:r>
    </w:p>
    <w:p w14:paraId="0CE14B3E">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本项目生态影响评价等级判定情况见表2</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w:t>
      </w:r>
    </w:p>
    <w:p w14:paraId="6FEBF152">
      <w:pPr>
        <w:wordWrap w:val="0"/>
        <w:spacing w:line="480" w:lineRule="exact"/>
        <w:jc w:val="center"/>
        <w:rPr>
          <w:b/>
          <w:color w:val="000000" w:themeColor="text1"/>
          <w:kern w:val="0"/>
          <w:sz w:val="24"/>
          <w:lang w:bidi="ar"/>
          <w14:textFill>
            <w14:solidFill>
              <w14:schemeClr w14:val="tx1"/>
            </w14:solidFill>
          </w14:textFill>
        </w:rPr>
      </w:pPr>
      <w:r>
        <w:rPr>
          <w:rFonts w:hint="eastAsia"/>
          <w:b/>
          <w:color w:val="000000" w:themeColor="text1"/>
          <w:kern w:val="0"/>
          <w:sz w:val="24"/>
          <w:lang w:bidi="ar"/>
          <w14:textFill>
            <w14:solidFill>
              <w14:schemeClr w14:val="tx1"/>
            </w14:solidFill>
          </w14:textFill>
        </w:rPr>
        <w:t>表2</w:t>
      </w:r>
      <w:r>
        <w:rPr>
          <w:b/>
          <w:color w:val="000000" w:themeColor="text1"/>
          <w:kern w:val="0"/>
          <w:sz w:val="24"/>
          <w:lang w:bidi="ar"/>
          <w14:textFill>
            <w14:solidFill>
              <w14:schemeClr w14:val="tx1"/>
            </w14:solidFill>
          </w14:textFill>
        </w:rPr>
        <w:t>.5</w:t>
      </w:r>
      <w:r>
        <w:rPr>
          <w:rFonts w:hint="eastAsia"/>
          <w:b/>
          <w:color w:val="000000" w:themeColor="text1"/>
          <w:kern w:val="0"/>
          <w:sz w:val="24"/>
          <w:lang w:bidi="ar"/>
          <w14:textFill>
            <w14:solidFill>
              <w14:schemeClr w14:val="tx1"/>
            </w14:solidFill>
          </w14:textFill>
        </w:rPr>
        <w:t>-</w:t>
      </w:r>
      <w:r>
        <w:rPr>
          <w:b/>
          <w:color w:val="000000" w:themeColor="text1"/>
          <w:kern w:val="0"/>
          <w:sz w:val="24"/>
          <w:lang w:bidi="ar"/>
          <w14:textFill>
            <w14:solidFill>
              <w14:schemeClr w14:val="tx1"/>
            </w14:solidFill>
          </w14:textFill>
        </w:rPr>
        <w:t>1</w:t>
      </w:r>
      <w:r>
        <w:rPr>
          <w:rFonts w:hint="eastAsia"/>
          <w:b/>
          <w:color w:val="000000" w:themeColor="text1"/>
          <w:kern w:val="0"/>
          <w:sz w:val="24"/>
          <w:lang w:val="en-US" w:eastAsia="zh-CN" w:bidi="ar"/>
          <w14:textFill>
            <w14:solidFill>
              <w14:schemeClr w14:val="tx1"/>
            </w14:solidFill>
          </w14:textFill>
        </w:rPr>
        <w:t>7</w:t>
      </w:r>
      <w:r>
        <w:rPr>
          <w:b/>
          <w:color w:val="000000" w:themeColor="text1"/>
          <w:kern w:val="0"/>
          <w:sz w:val="24"/>
          <w:lang w:bidi="ar"/>
          <w14:textFill>
            <w14:solidFill>
              <w14:schemeClr w14:val="tx1"/>
            </w14:solidFill>
          </w14:textFill>
        </w:rPr>
        <w:t xml:space="preserve">    </w:t>
      </w:r>
      <w:r>
        <w:rPr>
          <w:rFonts w:hint="eastAsia"/>
          <w:b/>
          <w:color w:val="000000" w:themeColor="text1"/>
          <w:kern w:val="0"/>
          <w:sz w:val="24"/>
          <w:lang w:bidi="ar"/>
          <w14:textFill>
            <w14:solidFill>
              <w14:schemeClr w14:val="tx1"/>
            </w14:solidFill>
          </w14:textFill>
        </w:rPr>
        <w:t>本项目生态影响评价等级判定表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4915"/>
        <w:gridCol w:w="2036"/>
      </w:tblGrid>
      <w:tr w14:paraId="04C1A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2" w:type="pct"/>
            <w:noWrap w:val="0"/>
            <w:vAlign w:val="center"/>
          </w:tcPr>
          <w:p w14:paraId="25BC7877">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pacing w:val="-1"/>
                <w:sz w:val="21"/>
                <w:szCs w:val="21"/>
                <w14:textFill>
                  <w14:solidFill>
                    <w14:schemeClr w14:val="tx1"/>
                  </w14:solidFill>
                </w14:textFill>
              </w:rPr>
            </w:pPr>
            <w:r>
              <w:rPr>
                <w:rFonts w:hint="eastAsia" w:ascii="Times New Roman" w:hAnsi="Times New Roman" w:cs="Times New Roman"/>
                <w:b/>
                <w:bCs/>
                <w:color w:val="000000" w:themeColor="text1"/>
                <w:spacing w:val="-1"/>
                <w:sz w:val="21"/>
                <w:szCs w:val="21"/>
                <w14:textFill>
                  <w14:solidFill>
                    <w14:schemeClr w14:val="tx1"/>
                  </w14:solidFill>
                </w14:textFill>
              </w:rPr>
              <w:t>判定依据</w:t>
            </w:r>
          </w:p>
        </w:tc>
        <w:tc>
          <w:tcPr>
            <w:tcW w:w="2884" w:type="pct"/>
            <w:noWrap w:val="0"/>
            <w:vAlign w:val="center"/>
          </w:tcPr>
          <w:p w14:paraId="70DC13B4">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eastAsia" w:ascii="Times New Roman" w:hAnsi="Times New Roman" w:cs="Times New Roman"/>
                <w:b/>
                <w:bCs/>
                <w:color w:val="000000" w:themeColor="text1"/>
                <w:spacing w:val="-1"/>
                <w:sz w:val="21"/>
                <w:szCs w:val="21"/>
                <w14:textFill>
                  <w14:solidFill>
                    <w14:schemeClr w14:val="tx1"/>
                  </w14:solidFill>
                </w14:textFill>
              </w:rPr>
              <w:t>生态影响评价等级判定原则</w:t>
            </w:r>
          </w:p>
        </w:tc>
        <w:tc>
          <w:tcPr>
            <w:tcW w:w="1194" w:type="pct"/>
            <w:noWrap w:val="0"/>
            <w:vAlign w:val="center"/>
          </w:tcPr>
          <w:p w14:paraId="29E59A7E">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eastAsia" w:ascii="Times New Roman" w:hAnsi="Times New Roman" w:cs="Times New Roman"/>
                <w:b/>
                <w:bCs/>
                <w:color w:val="000000" w:themeColor="text1"/>
                <w:spacing w:val="-1"/>
                <w:sz w:val="21"/>
                <w:szCs w:val="21"/>
                <w14:textFill>
                  <w14:solidFill>
                    <w14:schemeClr w14:val="tx1"/>
                  </w14:solidFill>
                </w14:textFill>
              </w:rPr>
              <w:t>本项目情况</w:t>
            </w:r>
          </w:p>
        </w:tc>
      </w:tr>
      <w:tr w14:paraId="6544F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Merge w:val="restart"/>
            <w:noWrap w:val="0"/>
            <w:vAlign w:val="center"/>
          </w:tcPr>
          <w:p w14:paraId="68A2B0D9">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default" w:ascii="Times New Roman" w:hAnsi="Times New Roman" w:cs="Times New Roman"/>
                <w:color w:val="000000" w:themeColor="text1"/>
                <w:sz w:val="21"/>
                <w:szCs w:val="24"/>
                <w14:textFill>
                  <w14:solidFill>
                    <w14:schemeClr w14:val="tx1"/>
                  </w14:solidFill>
                </w14:textFill>
              </w:rPr>
              <w:t>《环境影响评价技术导则 生态</w:t>
            </w:r>
            <w:r>
              <w:rPr>
                <w:rFonts w:hint="eastAsia" w:ascii="Times New Roman" w:hAnsi="Times New Roman" w:cs="Times New Roman"/>
                <w:color w:val="000000" w:themeColor="text1"/>
                <w:sz w:val="21"/>
                <w:szCs w:val="24"/>
                <w14:textFill>
                  <w14:solidFill>
                    <w14:schemeClr w14:val="tx1"/>
                  </w14:solidFill>
                </w14:textFill>
              </w:rPr>
              <w:t>环境</w:t>
            </w:r>
            <w:r>
              <w:rPr>
                <w:rFonts w:hint="default" w:ascii="Times New Roman" w:hAnsi="Times New Roman" w:cs="Times New Roman"/>
                <w:color w:val="000000" w:themeColor="text1"/>
                <w:sz w:val="21"/>
                <w:szCs w:val="24"/>
                <w14:textFill>
                  <w14:solidFill>
                    <w14:schemeClr w14:val="tx1"/>
                  </w14:solidFill>
                </w14:textFill>
              </w:rPr>
              <w:t>》</w:t>
            </w:r>
            <w:r>
              <w:rPr>
                <w:rFonts w:hint="eastAsia" w:ascii="Times New Roman" w:hAnsi="Times New Roman" w:cs="Times New Roman"/>
                <w:color w:val="000000" w:themeColor="text1"/>
                <w:sz w:val="21"/>
                <w:szCs w:val="24"/>
                <w14:textFill>
                  <w14:solidFill>
                    <w14:schemeClr w14:val="tx1"/>
                  </w14:solidFill>
                </w14:textFill>
              </w:rPr>
              <w:t>（HJ</w:t>
            </w:r>
            <w:r>
              <w:rPr>
                <w:rFonts w:hint="default" w:ascii="Times New Roman" w:hAnsi="Times New Roman" w:cs="Times New Roman"/>
                <w:color w:val="000000" w:themeColor="text1"/>
                <w:sz w:val="21"/>
                <w:szCs w:val="24"/>
                <w14:textFill>
                  <w14:solidFill>
                    <w14:schemeClr w14:val="tx1"/>
                  </w14:solidFill>
                </w14:textFill>
              </w:rPr>
              <w:t>19-2022</w:t>
            </w:r>
            <w:r>
              <w:rPr>
                <w:rFonts w:hint="eastAsia" w:ascii="Times New Roman" w:hAnsi="Times New Roman" w:cs="Times New Roman"/>
                <w:color w:val="000000" w:themeColor="text1"/>
                <w:sz w:val="21"/>
                <w:szCs w:val="24"/>
                <w14:textFill>
                  <w14:solidFill>
                    <w14:schemeClr w14:val="tx1"/>
                  </w14:solidFill>
                </w14:textFill>
              </w:rPr>
              <w:t>）</w:t>
            </w:r>
          </w:p>
        </w:tc>
        <w:tc>
          <w:tcPr>
            <w:tcW w:w="2884" w:type="pct"/>
            <w:noWrap w:val="0"/>
            <w:vAlign w:val="center"/>
          </w:tcPr>
          <w:p w14:paraId="492E4E3F">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a、涉及国家公园、自然保护区、世界自然遗产、重要生境时，评价等级为一级</w:t>
            </w:r>
          </w:p>
        </w:tc>
        <w:tc>
          <w:tcPr>
            <w:tcW w:w="1194" w:type="pct"/>
            <w:noWrap w:val="0"/>
            <w:vAlign w:val="center"/>
          </w:tcPr>
          <w:p w14:paraId="156AB4E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不涉及</w:t>
            </w:r>
          </w:p>
        </w:tc>
      </w:tr>
      <w:tr w14:paraId="0F1B5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Merge w:val="continue"/>
            <w:noWrap w:val="0"/>
            <w:vAlign w:val="center"/>
          </w:tcPr>
          <w:p w14:paraId="5ECD35D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4"/>
                <w14:textFill>
                  <w14:solidFill>
                    <w14:schemeClr w14:val="tx1"/>
                  </w14:solidFill>
                </w14:textFill>
              </w:rPr>
            </w:pPr>
          </w:p>
        </w:tc>
        <w:tc>
          <w:tcPr>
            <w:tcW w:w="2884" w:type="pct"/>
            <w:noWrap w:val="0"/>
            <w:vAlign w:val="center"/>
          </w:tcPr>
          <w:p w14:paraId="43264B1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b、涉及自然公园时，评价等级为二级</w:t>
            </w:r>
          </w:p>
        </w:tc>
        <w:tc>
          <w:tcPr>
            <w:tcW w:w="1194" w:type="pct"/>
            <w:noWrap w:val="0"/>
            <w:vAlign w:val="center"/>
          </w:tcPr>
          <w:p w14:paraId="7219C9D9">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不涉及</w:t>
            </w:r>
          </w:p>
        </w:tc>
      </w:tr>
      <w:tr w14:paraId="43057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Merge w:val="continue"/>
            <w:noWrap w:val="0"/>
            <w:vAlign w:val="center"/>
          </w:tcPr>
          <w:p w14:paraId="29DFE29C">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4"/>
                <w14:textFill>
                  <w14:solidFill>
                    <w14:schemeClr w14:val="tx1"/>
                  </w14:solidFill>
                </w14:textFill>
              </w:rPr>
            </w:pPr>
          </w:p>
        </w:tc>
        <w:tc>
          <w:tcPr>
            <w:tcW w:w="2884" w:type="pct"/>
            <w:noWrap w:val="0"/>
            <w:vAlign w:val="center"/>
          </w:tcPr>
          <w:p w14:paraId="44A90B3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c、涉及生态保护红线时，评价等级不低于二级</w:t>
            </w:r>
          </w:p>
        </w:tc>
        <w:tc>
          <w:tcPr>
            <w:tcW w:w="1194" w:type="pct"/>
            <w:noWrap w:val="0"/>
            <w:vAlign w:val="center"/>
          </w:tcPr>
          <w:p w14:paraId="6FBE067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不涉及</w:t>
            </w:r>
          </w:p>
        </w:tc>
      </w:tr>
      <w:tr w14:paraId="2D4C5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Merge w:val="continue"/>
            <w:noWrap w:val="0"/>
            <w:vAlign w:val="center"/>
          </w:tcPr>
          <w:p w14:paraId="3420878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4"/>
                <w14:textFill>
                  <w14:solidFill>
                    <w14:schemeClr w14:val="tx1"/>
                  </w14:solidFill>
                </w14:textFill>
              </w:rPr>
            </w:pPr>
          </w:p>
        </w:tc>
        <w:tc>
          <w:tcPr>
            <w:tcW w:w="2884" w:type="pct"/>
            <w:noWrap w:val="0"/>
            <w:vAlign w:val="center"/>
          </w:tcPr>
          <w:p w14:paraId="5695FBA8">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d、根据HJ2.3判断属于水文要素影响型且地表水评价等级不低于二级的建设项目，生态影响评价等级不低于二级</w:t>
            </w:r>
          </w:p>
        </w:tc>
        <w:tc>
          <w:tcPr>
            <w:tcW w:w="1194" w:type="pct"/>
            <w:noWrap w:val="0"/>
            <w:vAlign w:val="center"/>
          </w:tcPr>
          <w:p w14:paraId="57938AB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本项目不属于水文要素影响型项目，地表水评价等级为三级B</w:t>
            </w:r>
          </w:p>
        </w:tc>
      </w:tr>
      <w:tr w14:paraId="54EBF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Merge w:val="continue"/>
            <w:noWrap w:val="0"/>
            <w:vAlign w:val="center"/>
          </w:tcPr>
          <w:p w14:paraId="6129AAE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4"/>
                <w14:textFill>
                  <w14:solidFill>
                    <w14:schemeClr w14:val="tx1"/>
                  </w14:solidFill>
                </w14:textFill>
              </w:rPr>
            </w:pPr>
          </w:p>
        </w:tc>
        <w:tc>
          <w:tcPr>
            <w:tcW w:w="2884" w:type="pct"/>
            <w:noWrap w:val="0"/>
            <w:vAlign w:val="center"/>
          </w:tcPr>
          <w:p w14:paraId="7F15403B">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e、根据HJ610、HJ964判断地下水水位或土壤影响范围内分布有天然林、公益林、湿地等生态保护目标的建设项目，生态影响评价等级不低于二级</w:t>
            </w:r>
          </w:p>
        </w:tc>
        <w:tc>
          <w:tcPr>
            <w:tcW w:w="1194" w:type="pct"/>
            <w:noWrap w:val="0"/>
            <w:vAlign w:val="center"/>
          </w:tcPr>
          <w:p w14:paraId="37CEA9F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不涉及</w:t>
            </w:r>
          </w:p>
        </w:tc>
      </w:tr>
      <w:tr w14:paraId="598CB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Merge w:val="continue"/>
            <w:noWrap w:val="0"/>
            <w:vAlign w:val="center"/>
          </w:tcPr>
          <w:p w14:paraId="4C48627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4"/>
                <w14:textFill>
                  <w14:solidFill>
                    <w14:schemeClr w14:val="tx1"/>
                  </w14:solidFill>
                </w14:textFill>
              </w:rPr>
            </w:pPr>
          </w:p>
        </w:tc>
        <w:tc>
          <w:tcPr>
            <w:tcW w:w="2884" w:type="pct"/>
            <w:noWrap w:val="0"/>
            <w:vAlign w:val="center"/>
          </w:tcPr>
          <w:p w14:paraId="42208974">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f、当工程占地规模大于20km</w:t>
            </w:r>
            <w:r>
              <w:rPr>
                <w:rFonts w:hint="eastAsia" w:ascii="Times New Roman" w:hAnsi="Times New Roman" w:cs="Times New Roman"/>
                <w:color w:val="000000" w:themeColor="text1"/>
                <w:spacing w:val="-1"/>
                <w:sz w:val="21"/>
                <w:szCs w:val="21"/>
                <w:vertAlign w:val="superscript"/>
                <w14:textFill>
                  <w14:solidFill>
                    <w14:schemeClr w14:val="tx1"/>
                  </w14:solidFill>
                </w14:textFill>
              </w:rPr>
              <w:t>2</w:t>
            </w:r>
            <w:r>
              <w:rPr>
                <w:rFonts w:hint="eastAsia" w:ascii="Times New Roman" w:hAnsi="Times New Roman" w:cs="Times New Roman"/>
                <w:color w:val="000000" w:themeColor="text1"/>
                <w:spacing w:val="-1"/>
                <w:sz w:val="21"/>
                <w:szCs w:val="21"/>
                <w14:textFill>
                  <w14:solidFill>
                    <w14:schemeClr w14:val="tx1"/>
                  </w14:solidFill>
                </w14:textFill>
              </w:rPr>
              <w:t>时（包括永久和临时占用陆域和水域），评价等级不低于二级；改扩建项目的占地范围以新增占地（包括陆域和水域）确定</w:t>
            </w:r>
          </w:p>
        </w:tc>
        <w:tc>
          <w:tcPr>
            <w:tcW w:w="1194" w:type="pct"/>
            <w:noWrap w:val="0"/>
            <w:vAlign w:val="center"/>
          </w:tcPr>
          <w:p w14:paraId="789CDCA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项目</w:t>
            </w:r>
            <w:r>
              <w:rPr>
                <w:rFonts w:hint="eastAsia" w:ascii="Times New Roman" w:hAnsi="Times New Roman" w:cs="Times New Roman"/>
                <w:color w:val="000000" w:themeColor="text1"/>
                <w:spacing w:val="-1"/>
                <w:sz w:val="21"/>
                <w:szCs w:val="21"/>
                <w:lang w:eastAsia="zh-CN"/>
                <w14:textFill>
                  <w14:solidFill>
                    <w14:schemeClr w14:val="tx1"/>
                  </w14:solidFill>
                </w14:textFill>
              </w:rPr>
              <w:t>新增</w:t>
            </w:r>
            <w:r>
              <w:rPr>
                <w:rFonts w:hint="eastAsia" w:ascii="Times New Roman" w:hAnsi="Times New Roman" w:cs="Times New Roman"/>
                <w:color w:val="000000" w:themeColor="text1"/>
                <w:spacing w:val="-1"/>
                <w:sz w:val="21"/>
                <w:szCs w:val="21"/>
                <w14:textFill>
                  <w14:solidFill>
                    <w14:schemeClr w14:val="tx1"/>
                  </w14:solidFill>
                </w14:textFill>
              </w:rPr>
              <w:t>占地面积</w:t>
            </w:r>
            <w:r>
              <w:rPr>
                <w:rFonts w:hint="eastAsia" w:ascii="Times New Roman" w:hAnsi="Times New Roman" w:cs="Times New Roman"/>
                <w:color w:val="000000" w:themeColor="text1"/>
                <w:spacing w:val="-1"/>
                <w:sz w:val="21"/>
                <w:szCs w:val="21"/>
                <w:lang w:val="en-US" w:eastAsia="zh-CN"/>
                <w14:textFill>
                  <w14:solidFill>
                    <w14:schemeClr w14:val="tx1"/>
                  </w14:solidFill>
                </w14:textFill>
              </w:rPr>
              <w:t>5.65</w:t>
            </w:r>
            <w:r>
              <w:rPr>
                <w:rFonts w:hint="eastAsia" w:ascii="Times New Roman" w:hAnsi="Times New Roman" w:cs="Times New Roman"/>
                <w:color w:val="000000" w:themeColor="text1"/>
                <w:spacing w:val="-1"/>
                <w:sz w:val="21"/>
                <w:szCs w:val="21"/>
                <w14:textFill>
                  <w14:solidFill>
                    <w14:schemeClr w14:val="tx1"/>
                  </w14:solidFill>
                </w14:textFill>
              </w:rPr>
              <w:t>hm</w:t>
            </w:r>
            <w:r>
              <w:rPr>
                <w:rFonts w:hint="default" w:ascii="Times New Roman" w:hAnsi="Times New Roman" w:cs="Times New Roman"/>
                <w:color w:val="000000" w:themeColor="text1"/>
                <w:spacing w:val="-1"/>
                <w:sz w:val="21"/>
                <w:szCs w:val="21"/>
                <w:vertAlign w:val="superscript"/>
                <w14:textFill>
                  <w14:solidFill>
                    <w14:schemeClr w14:val="tx1"/>
                  </w14:solidFill>
                </w14:textFill>
              </w:rPr>
              <w:t>2</w:t>
            </w:r>
            <w:r>
              <w:rPr>
                <w:rFonts w:hint="eastAsia" w:ascii="Times New Roman" w:hAnsi="Times New Roman" w:cs="Times New Roman"/>
                <w:color w:val="000000" w:themeColor="text1"/>
                <w:spacing w:val="-1"/>
                <w:sz w:val="21"/>
                <w:szCs w:val="21"/>
                <w14:textFill>
                  <w14:solidFill>
                    <w14:schemeClr w14:val="tx1"/>
                  </w14:solidFill>
                </w14:textFill>
              </w:rPr>
              <w:t>，小于20km</w:t>
            </w:r>
            <w:r>
              <w:rPr>
                <w:rFonts w:hint="eastAsia" w:ascii="Times New Roman" w:hAnsi="Times New Roman" w:cs="Times New Roman"/>
                <w:color w:val="000000" w:themeColor="text1"/>
                <w:spacing w:val="-1"/>
                <w:sz w:val="21"/>
                <w:szCs w:val="21"/>
                <w:vertAlign w:val="superscript"/>
                <w14:textFill>
                  <w14:solidFill>
                    <w14:schemeClr w14:val="tx1"/>
                  </w14:solidFill>
                </w14:textFill>
              </w:rPr>
              <w:t>2</w:t>
            </w:r>
          </w:p>
        </w:tc>
      </w:tr>
      <w:tr w14:paraId="0E3AB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Merge w:val="continue"/>
            <w:noWrap w:val="0"/>
            <w:vAlign w:val="center"/>
          </w:tcPr>
          <w:p w14:paraId="2043791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4"/>
                <w14:textFill>
                  <w14:solidFill>
                    <w14:schemeClr w14:val="tx1"/>
                  </w14:solidFill>
                </w14:textFill>
              </w:rPr>
            </w:pPr>
          </w:p>
        </w:tc>
        <w:tc>
          <w:tcPr>
            <w:tcW w:w="2884" w:type="pct"/>
            <w:noWrap w:val="0"/>
            <w:vAlign w:val="center"/>
          </w:tcPr>
          <w:p w14:paraId="2970AE1A">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g、除本条a、b、c、d、e、f以外的情况，评价等级为三级</w:t>
            </w:r>
          </w:p>
        </w:tc>
        <w:tc>
          <w:tcPr>
            <w:tcW w:w="1194" w:type="pct"/>
            <w:noWrap w:val="0"/>
            <w:vAlign w:val="center"/>
          </w:tcPr>
          <w:p w14:paraId="70B2369F">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属于</w:t>
            </w:r>
          </w:p>
        </w:tc>
      </w:tr>
      <w:tr w14:paraId="73C58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Merge w:val="continue"/>
            <w:noWrap w:val="0"/>
            <w:vAlign w:val="center"/>
          </w:tcPr>
          <w:p w14:paraId="0822E18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4"/>
                <w14:textFill>
                  <w14:solidFill>
                    <w14:schemeClr w14:val="tx1"/>
                  </w14:solidFill>
                </w14:textFill>
              </w:rPr>
            </w:pPr>
          </w:p>
        </w:tc>
        <w:tc>
          <w:tcPr>
            <w:tcW w:w="2884" w:type="pct"/>
            <w:noWrap w:val="0"/>
            <w:vAlign w:val="center"/>
          </w:tcPr>
          <w:p w14:paraId="36C47379">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h、当评价等级判定同时符合上述多种情况时，应采用其中最高的评价等级</w:t>
            </w:r>
          </w:p>
        </w:tc>
        <w:tc>
          <w:tcPr>
            <w:tcW w:w="1194" w:type="pct"/>
            <w:noWrap w:val="0"/>
            <w:vAlign w:val="center"/>
          </w:tcPr>
          <w:p w14:paraId="2342D6E4">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w:t>
            </w:r>
          </w:p>
        </w:tc>
      </w:tr>
    </w:tbl>
    <w:p w14:paraId="49A88E49">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根据《环境影响评价技术导则 生态环境》（HJ19-2022）中“6.1.5在矿山开采可能导致矿区土地利用类型明显改变，或拦河闸坝建设可能明显改变水文情势等情况下，评价级应上调一级”的评价等级判定要求，确定本项目生态影响评价等级为二级。</w:t>
      </w:r>
    </w:p>
    <w:p w14:paraId="298FADB0">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（2）环境影响评价范围</w:t>
      </w:r>
    </w:p>
    <w:p w14:paraId="0A0AA284">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根据《环境影响评价技术导则 生态影响》（</w:t>
      </w:r>
      <w:r>
        <w:rPr>
          <w:color w:val="000000" w:themeColor="text1"/>
          <w:sz w:val="24"/>
          <w:szCs w:val="24"/>
          <w14:textFill>
            <w14:solidFill>
              <w14:schemeClr w14:val="tx1"/>
            </w14:solidFill>
          </w14:textFill>
        </w:rPr>
        <w:t>HJ19-2022</w:t>
      </w:r>
      <w:r>
        <w:rPr>
          <w:rFonts w:hint="eastAsia"/>
          <w:color w:val="000000" w:themeColor="text1"/>
          <w:sz w:val="24"/>
          <w:szCs w:val="24"/>
          <w14:textFill>
            <w14:solidFill>
              <w14:schemeClr w14:val="tx1"/>
            </w14:solidFill>
          </w14:textFill>
        </w:rPr>
        <w:t>）的评价范围确定原则：矿山开采项目评价范围应涵盖开采区及其影响范围、各类场地及运输系统占地以及施工临时占地范围等，本项目生态影响评价范围为矿区</w:t>
      </w:r>
      <w:r>
        <w:rPr>
          <w:rFonts w:hint="eastAsia"/>
          <w:color w:val="000000" w:themeColor="text1"/>
          <w:sz w:val="24"/>
          <w:szCs w:val="24"/>
          <w:lang w:val="en-US" w:eastAsia="zh-CN"/>
          <w14:textFill>
            <w14:solidFill>
              <w14:schemeClr w14:val="tx1"/>
            </w14:solidFill>
          </w14:textFill>
        </w:rPr>
        <w:t>及工业用地</w:t>
      </w:r>
      <w:r>
        <w:rPr>
          <w:rFonts w:hint="eastAsia"/>
          <w:color w:val="000000" w:themeColor="text1"/>
          <w:sz w:val="24"/>
          <w:szCs w:val="24"/>
          <w14:textFill>
            <w14:solidFill>
              <w14:schemeClr w14:val="tx1"/>
            </w14:solidFill>
          </w14:textFill>
        </w:rPr>
        <w:t>范围外</w:t>
      </w:r>
      <w:r>
        <w:rPr>
          <w:rFonts w:hint="eastAsia"/>
          <w:color w:val="000000" w:themeColor="text1"/>
          <w:sz w:val="24"/>
          <w:szCs w:val="24"/>
          <w:lang w:val="en-US" w:eastAsia="zh-CN"/>
          <w14:textFill>
            <w14:solidFill>
              <w14:schemeClr w14:val="tx1"/>
            </w14:solidFill>
          </w14:textFill>
        </w:rPr>
        <w:t>延500</w:t>
      </w:r>
      <w:r>
        <w:rPr>
          <w:rFonts w:hint="eastAsia"/>
          <w:color w:val="000000" w:themeColor="text1"/>
          <w:sz w:val="24"/>
          <w:szCs w:val="24"/>
          <w14:textFill>
            <w14:solidFill>
              <w14:schemeClr w14:val="tx1"/>
            </w14:solidFill>
          </w14:textFill>
        </w:rPr>
        <w:t>m范围。</w:t>
      </w:r>
    </w:p>
    <w:p w14:paraId="32349408">
      <w:pPr>
        <w:spacing w:line="480" w:lineRule="exact"/>
        <w:ind w:firstLine="480" w:firstLineChars="200"/>
        <w:rPr>
          <w:rFonts w:hint="eastAsia"/>
          <w:color w:val="000000" w:themeColor="text1"/>
          <w:sz w:val="24"/>
          <w:szCs w:val="24"/>
          <w14:textFill>
            <w14:solidFill>
              <w14:schemeClr w14:val="tx1"/>
            </w14:solidFill>
          </w14:textFill>
        </w:rPr>
      </w:pPr>
      <w:bookmarkStart w:id="204" w:name="_Toc902999437"/>
      <w:bookmarkStart w:id="205" w:name="_Toc21975"/>
      <w:r>
        <w:rPr>
          <w:rFonts w:hint="eastAsia"/>
          <w:color w:val="000000" w:themeColor="text1"/>
          <w:sz w:val="24"/>
          <w:szCs w:val="24"/>
          <w14:textFill>
            <w14:solidFill>
              <w14:schemeClr w14:val="tx1"/>
            </w14:solidFill>
          </w14:textFill>
        </w:rPr>
        <w:t>本项目各环境要素评价等级及评价范围情况汇总见表2.5-</w:t>
      </w:r>
      <w:r>
        <w:rPr>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14:textFill>
            <w14:solidFill>
              <w14:schemeClr w14:val="tx1"/>
            </w14:solidFill>
          </w14:textFill>
        </w:rPr>
        <w:t>。</w:t>
      </w:r>
    </w:p>
    <w:p w14:paraId="0BA07587">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hint="eastAsia" w:ascii="Times New Roman" w:hAnsi="Times New Roman" w:eastAsia="宋体"/>
          <w:b/>
          <w:bCs/>
          <w:snapToGrid w:val="0"/>
          <w:color w:val="000000" w:themeColor="text1"/>
          <w:sz w:val="24"/>
          <w:szCs w:val="24"/>
          <w14:textFill>
            <w14:solidFill>
              <w14:schemeClr w14:val="tx1"/>
            </w14:solidFill>
          </w14:textFill>
        </w:rPr>
        <w:t>表2.5-</w:t>
      </w:r>
      <w:r>
        <w:rPr>
          <w:rFonts w:ascii="Times New Roman" w:hAnsi="Times New Roman" w:eastAsia="宋体"/>
          <w:b/>
          <w:bCs/>
          <w:snapToGrid w:val="0"/>
          <w:color w:val="000000" w:themeColor="text1"/>
          <w:sz w:val="24"/>
          <w:szCs w:val="24"/>
          <w14:textFill>
            <w14:solidFill>
              <w14:schemeClr w14:val="tx1"/>
            </w14:solidFill>
          </w14:textFill>
        </w:rPr>
        <w:t>1</w:t>
      </w:r>
      <w:r>
        <w:rPr>
          <w:rFonts w:hint="eastAsia" w:ascii="Times New Roman" w:hAnsi="Times New Roman" w:eastAsia="宋体"/>
          <w:b/>
          <w:bCs/>
          <w:snapToGrid w:val="0"/>
          <w:color w:val="000000" w:themeColor="text1"/>
          <w:sz w:val="24"/>
          <w:szCs w:val="24"/>
          <w:lang w:val="en-US" w:eastAsia="zh-CN"/>
          <w14:textFill>
            <w14:solidFill>
              <w14:schemeClr w14:val="tx1"/>
            </w14:solidFill>
          </w14:textFill>
        </w:rPr>
        <w:t>8</w:t>
      </w:r>
      <w:r>
        <w:rPr>
          <w:rFonts w:hint="eastAsia" w:ascii="Times New Roman" w:hAnsi="Times New Roman" w:eastAsia="宋体"/>
          <w:b/>
          <w:bCs/>
          <w:snapToGrid w:val="0"/>
          <w:color w:val="000000" w:themeColor="text1"/>
          <w:sz w:val="24"/>
          <w:szCs w:val="24"/>
          <w14:textFill>
            <w14:solidFill>
              <w14:schemeClr w14:val="tx1"/>
            </w14:solidFill>
          </w14:textFill>
        </w:rPr>
        <w:t xml:space="preserve">    本项目各要素环境影响评价范围汇总表</w:t>
      </w:r>
    </w:p>
    <w:tbl>
      <w:tblPr>
        <w:tblStyle w:val="79"/>
        <w:tblW w:w="507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62"/>
        <w:gridCol w:w="1615"/>
        <w:gridCol w:w="5576"/>
      </w:tblGrid>
      <w:tr w14:paraId="23AA5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blHeader/>
          <w:jc w:val="center"/>
        </w:trPr>
        <w:tc>
          <w:tcPr>
            <w:tcW w:w="746" w:type="pct"/>
            <w:noWrap w:val="0"/>
            <w:vAlign w:val="center"/>
          </w:tcPr>
          <w:p w14:paraId="356AD248">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b/>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24"/>
                <w:szCs w:val="21"/>
                <w14:textFill>
                  <w14:solidFill>
                    <w14:schemeClr w14:val="tx1"/>
                  </w14:solidFill>
                </w14:textFill>
              </w:rPr>
              <w:t>环境要素</w:t>
            </w:r>
          </w:p>
        </w:tc>
        <w:tc>
          <w:tcPr>
            <w:tcW w:w="955" w:type="pct"/>
            <w:noWrap w:val="0"/>
            <w:vAlign w:val="center"/>
          </w:tcPr>
          <w:p w14:paraId="0DB41D9F">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b/>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24"/>
                <w:szCs w:val="21"/>
                <w14:textFill>
                  <w14:solidFill>
                    <w14:schemeClr w14:val="tx1"/>
                  </w14:solidFill>
                </w14:textFill>
              </w:rPr>
              <w:t>评价等级</w:t>
            </w:r>
          </w:p>
        </w:tc>
        <w:tc>
          <w:tcPr>
            <w:tcW w:w="3297" w:type="pct"/>
            <w:noWrap w:val="0"/>
            <w:vAlign w:val="center"/>
          </w:tcPr>
          <w:p w14:paraId="62C0D651">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b/>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24"/>
                <w:szCs w:val="21"/>
                <w14:textFill>
                  <w14:solidFill>
                    <w14:schemeClr w14:val="tx1"/>
                  </w14:solidFill>
                </w14:textFill>
              </w:rPr>
              <w:t>评价范围</w:t>
            </w:r>
          </w:p>
        </w:tc>
      </w:tr>
      <w:tr w14:paraId="4833B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6" w:type="pct"/>
            <w:noWrap w:val="0"/>
            <w:vAlign w:val="center"/>
          </w:tcPr>
          <w:p w14:paraId="08465B35">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环境空气</w:t>
            </w:r>
          </w:p>
        </w:tc>
        <w:tc>
          <w:tcPr>
            <w:tcW w:w="955" w:type="pct"/>
            <w:noWrap w:val="0"/>
            <w:vAlign w:val="center"/>
          </w:tcPr>
          <w:p w14:paraId="50278510">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二级</w:t>
            </w:r>
          </w:p>
        </w:tc>
        <w:tc>
          <w:tcPr>
            <w:tcW w:w="3297" w:type="pct"/>
            <w:noWrap w:val="0"/>
            <w:vAlign w:val="center"/>
          </w:tcPr>
          <w:p w14:paraId="53C907A7">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Arial"/>
                <w:color w:val="000000" w:themeColor="text1"/>
                <w:kern w:val="0"/>
                <w:szCs w:val="21"/>
                <w14:textFill>
                  <w14:solidFill>
                    <w14:schemeClr w14:val="tx1"/>
                  </w14:solidFill>
                </w14:textFill>
              </w:rPr>
              <w:t>边长5km的矩形范围内</w:t>
            </w:r>
          </w:p>
        </w:tc>
      </w:tr>
      <w:tr w14:paraId="2D7C4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6" w:type="pct"/>
            <w:noWrap w:val="0"/>
            <w:vAlign w:val="center"/>
          </w:tcPr>
          <w:p w14:paraId="24EE8EEE">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地表水</w:t>
            </w:r>
          </w:p>
        </w:tc>
        <w:tc>
          <w:tcPr>
            <w:tcW w:w="955" w:type="pct"/>
            <w:noWrap w:val="0"/>
            <w:vAlign w:val="center"/>
          </w:tcPr>
          <w:p w14:paraId="55AFCF15">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三级B</w:t>
            </w:r>
          </w:p>
        </w:tc>
        <w:tc>
          <w:tcPr>
            <w:tcW w:w="3297" w:type="pct"/>
            <w:noWrap w:val="0"/>
            <w:vAlign w:val="center"/>
          </w:tcPr>
          <w:p w14:paraId="64E53279">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Arial"/>
                <w:color w:val="000000" w:themeColor="text1"/>
                <w:kern w:val="0"/>
                <w:szCs w:val="21"/>
                <w14:textFill>
                  <w14:solidFill>
                    <w14:schemeClr w14:val="tx1"/>
                  </w14:solidFill>
                </w14:textFill>
              </w:rPr>
              <w:t>地埋式一体化污水处理设备环境可行性分析</w:t>
            </w:r>
          </w:p>
        </w:tc>
      </w:tr>
      <w:tr w14:paraId="4244A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6" w:type="pct"/>
            <w:noWrap w:val="0"/>
            <w:vAlign w:val="center"/>
          </w:tcPr>
          <w:p w14:paraId="7E642A07">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地下水</w:t>
            </w:r>
          </w:p>
        </w:tc>
        <w:tc>
          <w:tcPr>
            <w:tcW w:w="955" w:type="pct"/>
            <w:noWrap w:val="0"/>
            <w:vAlign w:val="center"/>
          </w:tcPr>
          <w:p w14:paraId="034C71DD">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二级</w:t>
            </w:r>
          </w:p>
        </w:tc>
        <w:tc>
          <w:tcPr>
            <w:tcW w:w="3297" w:type="pct"/>
            <w:noWrap w:val="0"/>
            <w:vAlign w:val="center"/>
          </w:tcPr>
          <w:p w14:paraId="2CAFDE6F">
            <w:pPr>
              <w:keepNext w:val="0"/>
              <w:keepLines w:val="0"/>
              <w:widowControl/>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24"/>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以矿区为中心，向矿界北侧外延1km、东侧外延1km、西侧外延1km、南侧外延2km形成的矩形区域，评价范围约13.34km</w:t>
            </w:r>
            <w:r>
              <w:rPr>
                <w:rFonts w:hint="eastAsia" w:ascii="Times New Roman" w:hAnsi="Times New Roman" w:cs="Times New Roman"/>
                <w:color w:val="000000" w:themeColor="text1"/>
                <w:kern w:val="24"/>
                <w:szCs w:val="21"/>
                <w:vertAlign w:val="superscript"/>
                <w14:textFill>
                  <w14:solidFill>
                    <w14:schemeClr w14:val="tx1"/>
                  </w14:solidFill>
                </w14:textFill>
              </w:rPr>
              <w:t>2</w:t>
            </w:r>
          </w:p>
        </w:tc>
      </w:tr>
      <w:tr w14:paraId="300AB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6" w:type="pct"/>
            <w:noWrap w:val="0"/>
            <w:vAlign w:val="center"/>
          </w:tcPr>
          <w:p w14:paraId="655E46B0">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声环境</w:t>
            </w:r>
          </w:p>
        </w:tc>
        <w:tc>
          <w:tcPr>
            <w:tcW w:w="955" w:type="pct"/>
            <w:noWrap w:val="0"/>
            <w:vAlign w:val="center"/>
          </w:tcPr>
          <w:p w14:paraId="1F9F3D92">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二级</w:t>
            </w:r>
          </w:p>
        </w:tc>
        <w:tc>
          <w:tcPr>
            <w:tcW w:w="3297" w:type="pct"/>
            <w:noWrap w:val="0"/>
            <w:vAlign w:val="center"/>
          </w:tcPr>
          <w:p w14:paraId="1166516A">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Arial"/>
                <w:color w:val="000000" w:themeColor="text1"/>
                <w:kern w:val="0"/>
                <w:szCs w:val="21"/>
                <w14:textFill>
                  <w14:solidFill>
                    <w14:schemeClr w14:val="tx1"/>
                  </w14:solidFill>
                </w14:textFill>
              </w:rPr>
              <w:t>矿</w:t>
            </w:r>
            <w:r>
              <w:rPr>
                <w:rFonts w:hint="eastAsia" w:cs="Arial"/>
                <w:color w:val="000000" w:themeColor="text1"/>
                <w:kern w:val="0"/>
                <w:szCs w:val="21"/>
                <w:lang w:eastAsia="zh-CN"/>
                <w14:textFill>
                  <w14:solidFill>
                    <w14:schemeClr w14:val="tx1"/>
                  </w14:solidFill>
                </w14:textFill>
              </w:rPr>
              <w:t>区</w:t>
            </w:r>
            <w:r>
              <w:rPr>
                <w:rFonts w:hint="eastAsia" w:ascii="Times New Roman" w:hAnsi="Times New Roman" w:cs="Arial"/>
                <w:color w:val="000000" w:themeColor="text1"/>
                <w:kern w:val="0"/>
                <w:szCs w:val="21"/>
                <w14:textFill>
                  <w14:solidFill>
                    <w14:schemeClr w14:val="tx1"/>
                  </w14:solidFill>
                </w14:textFill>
              </w:rPr>
              <w:t>边界外1m</w:t>
            </w:r>
          </w:p>
        </w:tc>
      </w:tr>
      <w:tr w14:paraId="08CE7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6" w:type="pct"/>
            <w:vMerge w:val="restart"/>
            <w:noWrap w:val="0"/>
            <w:vAlign w:val="center"/>
          </w:tcPr>
          <w:p w14:paraId="27E429D2">
            <w:pPr>
              <w:keepNext w:val="0"/>
              <w:keepLines w:val="0"/>
              <w:widowControl/>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24"/>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土壤环境</w:t>
            </w:r>
          </w:p>
        </w:tc>
        <w:tc>
          <w:tcPr>
            <w:tcW w:w="955" w:type="pct"/>
            <w:noWrap w:val="0"/>
            <w:vAlign w:val="center"/>
          </w:tcPr>
          <w:p w14:paraId="4612D3DC">
            <w:pPr>
              <w:keepNext w:val="0"/>
              <w:keepLines w:val="0"/>
              <w:widowControl/>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24"/>
                <w:szCs w:val="21"/>
                <w14:textFill>
                  <w14:solidFill>
                    <w14:schemeClr w14:val="tx1"/>
                  </w14:solidFill>
                </w14:textFill>
              </w:rPr>
            </w:pPr>
            <w:r>
              <w:rPr>
                <w:rFonts w:hint="eastAsia" w:cs="Times New Roman"/>
                <w:color w:val="000000" w:themeColor="text1"/>
                <w:kern w:val="24"/>
                <w:szCs w:val="21"/>
                <w:lang w:val="en-US" w:eastAsia="zh-CN"/>
                <w14:textFill>
                  <w14:solidFill>
                    <w14:schemeClr w14:val="tx1"/>
                  </w14:solidFill>
                </w14:textFill>
              </w:rPr>
              <w:t>生态影响型：</w:t>
            </w:r>
            <w:r>
              <w:rPr>
                <w:rFonts w:hint="eastAsia" w:ascii="Times New Roman" w:hAnsi="Times New Roman" w:cs="Times New Roman"/>
                <w:color w:val="000000" w:themeColor="text1"/>
                <w:kern w:val="24"/>
                <w:szCs w:val="21"/>
                <w14:textFill>
                  <w14:solidFill>
                    <w14:schemeClr w14:val="tx1"/>
                  </w14:solidFill>
                </w14:textFill>
              </w:rPr>
              <w:t>二级</w:t>
            </w:r>
          </w:p>
        </w:tc>
        <w:tc>
          <w:tcPr>
            <w:tcW w:w="3297" w:type="pct"/>
            <w:noWrap w:val="0"/>
            <w:vAlign w:val="center"/>
          </w:tcPr>
          <w:p w14:paraId="6FB0BD19">
            <w:pPr>
              <w:keepNext w:val="0"/>
              <w:keepLines w:val="0"/>
              <w:widowControl/>
              <w:suppressLineNumbers w:val="0"/>
              <w:spacing w:before="0" w:beforeAutospacing="0" w:after="0" w:afterAutospacing="0" w:line="360" w:lineRule="exact"/>
              <w:ind w:left="0" w:right="0"/>
              <w:jc w:val="center"/>
              <w:rPr>
                <w:rFonts w:hint="eastAsia" w:ascii="Times New Roman" w:hAnsi="Times New Roman" w:cs="Arial"/>
                <w:color w:val="000000" w:themeColor="text1"/>
                <w:kern w:val="0"/>
                <w:szCs w:val="21"/>
                <w14:textFill>
                  <w14:solidFill>
                    <w14:schemeClr w14:val="tx1"/>
                  </w14:solidFill>
                </w14:textFill>
              </w:rPr>
            </w:pPr>
            <w:r>
              <w:rPr>
                <w:rFonts w:hint="eastAsia" w:ascii="Times New Roman" w:hAnsi="Times New Roman" w:cs="Arial"/>
                <w:color w:val="000000" w:themeColor="text1"/>
                <w:kern w:val="0"/>
                <w:szCs w:val="21"/>
                <w14:textFill>
                  <w14:solidFill>
                    <w14:schemeClr w14:val="tx1"/>
                  </w14:solidFill>
                </w14:textFill>
              </w:rPr>
              <w:t>矿区及矿区边界外2km范围</w:t>
            </w:r>
          </w:p>
        </w:tc>
      </w:tr>
      <w:tr w14:paraId="7A36E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6" w:type="pct"/>
            <w:vMerge w:val="continue"/>
            <w:noWrap w:val="0"/>
            <w:vAlign w:val="center"/>
          </w:tcPr>
          <w:p w14:paraId="2EF0606D">
            <w:pPr>
              <w:keepNext w:val="0"/>
              <w:keepLines w:val="0"/>
              <w:widowControl/>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24"/>
                <w:szCs w:val="21"/>
                <w14:textFill>
                  <w14:solidFill>
                    <w14:schemeClr w14:val="tx1"/>
                  </w14:solidFill>
                </w14:textFill>
              </w:rPr>
            </w:pPr>
          </w:p>
        </w:tc>
        <w:tc>
          <w:tcPr>
            <w:tcW w:w="955" w:type="pct"/>
            <w:noWrap w:val="0"/>
            <w:vAlign w:val="center"/>
          </w:tcPr>
          <w:p w14:paraId="0A69FD01">
            <w:pPr>
              <w:keepNext w:val="0"/>
              <w:keepLines w:val="0"/>
              <w:widowControl/>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24"/>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污染影响型</w:t>
            </w:r>
            <w:r>
              <w:rPr>
                <w:rFonts w:hint="eastAsia" w:cs="Times New Roman"/>
                <w:color w:val="000000" w:themeColor="text1"/>
                <w:kern w:val="24"/>
                <w:szCs w:val="21"/>
                <w:lang w:val="en-US" w:eastAsia="zh-CN"/>
                <w14:textFill>
                  <w14:solidFill>
                    <w14:schemeClr w14:val="tx1"/>
                  </w14:solidFill>
                </w14:textFill>
              </w:rPr>
              <w:t>：</w:t>
            </w:r>
            <w:r>
              <w:rPr>
                <w:rFonts w:hint="eastAsia" w:ascii="Times New Roman" w:hAnsi="Times New Roman" w:cs="Times New Roman"/>
                <w:color w:val="000000" w:themeColor="text1"/>
                <w:kern w:val="24"/>
                <w:szCs w:val="21"/>
                <w14:textFill>
                  <w14:solidFill>
                    <w14:schemeClr w14:val="tx1"/>
                  </w14:solidFill>
                </w14:textFill>
              </w:rPr>
              <w:t>二级</w:t>
            </w:r>
          </w:p>
        </w:tc>
        <w:tc>
          <w:tcPr>
            <w:tcW w:w="3297" w:type="pct"/>
            <w:noWrap w:val="0"/>
            <w:vAlign w:val="center"/>
          </w:tcPr>
          <w:p w14:paraId="5C5163EF">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Arial"/>
                <w:color w:val="000000" w:themeColor="text1"/>
                <w:kern w:val="0"/>
                <w:szCs w:val="21"/>
                <w:lang w:val="en-US" w:eastAsia="zh-CN"/>
                <w14:textFill>
                  <w14:solidFill>
                    <w14:schemeClr w14:val="tx1"/>
                  </w14:solidFill>
                </w14:textFill>
              </w:rPr>
            </w:pPr>
            <w:r>
              <w:rPr>
                <w:rFonts w:hint="eastAsia" w:ascii="Times New Roman" w:hAnsi="Times New Roman" w:cs="Arial"/>
                <w:color w:val="000000" w:themeColor="text1"/>
                <w:kern w:val="0"/>
                <w:szCs w:val="21"/>
                <w14:textFill>
                  <w14:solidFill>
                    <w14:schemeClr w14:val="tx1"/>
                  </w14:solidFill>
                </w14:textFill>
              </w:rPr>
              <w:t>工业场地及废石堆场</w:t>
            </w:r>
            <w:r>
              <w:rPr>
                <w:rFonts w:hint="eastAsia" w:cs="Arial"/>
                <w:color w:val="000000" w:themeColor="text1"/>
                <w:kern w:val="0"/>
                <w:szCs w:val="21"/>
                <w:lang w:val="en-US" w:eastAsia="zh-CN"/>
                <w14:textFill>
                  <w14:solidFill>
                    <w14:schemeClr w14:val="tx1"/>
                  </w14:solidFill>
                </w14:textFill>
              </w:rPr>
              <w:t>外延200m范围</w:t>
            </w:r>
          </w:p>
        </w:tc>
      </w:tr>
      <w:tr w14:paraId="0A207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6" w:type="pct"/>
            <w:noWrap w:val="0"/>
            <w:vAlign w:val="center"/>
          </w:tcPr>
          <w:p w14:paraId="7FEE9951">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生态</w:t>
            </w:r>
          </w:p>
        </w:tc>
        <w:tc>
          <w:tcPr>
            <w:tcW w:w="955" w:type="pct"/>
            <w:noWrap w:val="0"/>
            <w:vAlign w:val="center"/>
          </w:tcPr>
          <w:p w14:paraId="7084D980">
            <w:pPr>
              <w:keepNext w:val="0"/>
              <w:keepLines w:val="0"/>
              <w:widowControl/>
              <w:suppressLineNumbers w:val="0"/>
              <w:spacing w:before="0" w:beforeAutospacing="0" w:after="0" w:afterAutospacing="0" w:line="360" w:lineRule="exact"/>
              <w:ind w:left="0" w:right="0"/>
              <w:jc w:val="center"/>
              <w:rPr>
                <w:rFonts w:hint="default" w:ascii="Times New Roman" w:hAnsi="Times New Roman" w:cs="Arial"/>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二级</w:t>
            </w:r>
          </w:p>
        </w:tc>
        <w:tc>
          <w:tcPr>
            <w:tcW w:w="3297" w:type="pct"/>
            <w:noWrap w:val="0"/>
            <w:vAlign w:val="center"/>
          </w:tcPr>
          <w:p w14:paraId="62559D99">
            <w:pPr>
              <w:keepNext w:val="0"/>
              <w:keepLines w:val="0"/>
              <w:widowControl/>
              <w:suppressLineNumbers w:val="0"/>
              <w:spacing w:before="0" w:beforeAutospacing="0" w:after="0" w:afterAutospacing="0" w:line="360" w:lineRule="exact"/>
              <w:ind w:left="0" w:right="0"/>
              <w:jc w:val="center"/>
              <w:rPr>
                <w:rFonts w:hint="eastAsia" w:ascii="Times New Roman" w:hAnsi="Times New Roman" w:eastAsia="宋体" w:cs="Arial"/>
                <w:color w:val="000000" w:themeColor="text1"/>
                <w:kern w:val="0"/>
                <w:szCs w:val="21"/>
                <w:lang w:eastAsia="zh-CN"/>
                <w14:textFill>
                  <w14:solidFill>
                    <w14:schemeClr w14:val="tx1"/>
                  </w14:solidFill>
                </w14:textFill>
              </w:rPr>
            </w:pPr>
            <w:r>
              <w:rPr>
                <w:rFonts w:hint="default" w:ascii="Times New Roman" w:hAnsi="Times New Roman" w:cs="Arial"/>
                <w:color w:val="000000" w:themeColor="text1"/>
                <w:kern w:val="0"/>
                <w:szCs w:val="21"/>
                <w14:textFill>
                  <w14:solidFill>
                    <w14:schemeClr w14:val="tx1"/>
                  </w14:solidFill>
                </w14:textFill>
              </w:rPr>
              <w:t>矿区</w:t>
            </w:r>
            <w:r>
              <w:rPr>
                <w:rFonts w:hint="default" w:ascii="Times New Roman" w:hAnsi="Times New Roman" w:cs="Arial"/>
                <w:color w:val="000000" w:themeColor="text1"/>
                <w:kern w:val="0"/>
                <w:szCs w:val="21"/>
                <w:lang w:val="en-US" w:eastAsia="zh-CN"/>
                <w14:textFill>
                  <w14:solidFill>
                    <w14:schemeClr w14:val="tx1"/>
                  </w14:solidFill>
                </w14:textFill>
              </w:rPr>
              <w:t>及工业用地</w:t>
            </w:r>
            <w:r>
              <w:rPr>
                <w:rFonts w:hint="default" w:ascii="Times New Roman" w:hAnsi="Times New Roman" w:cs="Arial"/>
                <w:color w:val="000000" w:themeColor="text1"/>
                <w:kern w:val="0"/>
                <w:szCs w:val="21"/>
                <w14:textFill>
                  <w14:solidFill>
                    <w14:schemeClr w14:val="tx1"/>
                  </w14:solidFill>
                </w14:textFill>
              </w:rPr>
              <w:t>范围外</w:t>
            </w:r>
            <w:r>
              <w:rPr>
                <w:rFonts w:hint="eastAsia"/>
                <w:color w:val="000000" w:themeColor="text1"/>
                <w:sz w:val="24"/>
                <w:szCs w:val="24"/>
                <w:lang w:val="en-US" w:eastAsia="zh-CN"/>
                <w14:textFill>
                  <w14:solidFill>
                    <w14:schemeClr w14:val="tx1"/>
                  </w14:solidFill>
                </w14:textFill>
              </w:rPr>
              <w:t>延</w:t>
            </w:r>
            <w:r>
              <w:rPr>
                <w:rFonts w:hint="default" w:ascii="Times New Roman" w:hAnsi="Times New Roman" w:cs="Arial"/>
                <w:color w:val="000000" w:themeColor="text1"/>
                <w:kern w:val="0"/>
                <w:szCs w:val="21"/>
                <w:lang w:val="en-US" w:eastAsia="zh-CN"/>
                <w14:textFill>
                  <w14:solidFill>
                    <w14:schemeClr w14:val="tx1"/>
                  </w14:solidFill>
                </w14:textFill>
              </w:rPr>
              <w:t>500</w:t>
            </w:r>
            <w:r>
              <w:rPr>
                <w:rFonts w:hint="default" w:ascii="Times New Roman" w:hAnsi="Times New Roman" w:cs="Arial"/>
                <w:color w:val="000000" w:themeColor="text1"/>
                <w:kern w:val="0"/>
                <w:szCs w:val="21"/>
                <w14:textFill>
                  <w14:solidFill>
                    <w14:schemeClr w14:val="tx1"/>
                  </w14:solidFill>
                </w14:textFill>
              </w:rPr>
              <w:t>m范围</w:t>
            </w:r>
          </w:p>
        </w:tc>
      </w:tr>
      <w:tr w14:paraId="45233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6" w:type="pct"/>
            <w:noWrap w:val="0"/>
            <w:vAlign w:val="center"/>
          </w:tcPr>
          <w:p w14:paraId="6458D508">
            <w:pPr>
              <w:keepNext w:val="0"/>
              <w:keepLines w:val="0"/>
              <w:widowControl/>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24"/>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环境风险</w:t>
            </w:r>
          </w:p>
        </w:tc>
        <w:tc>
          <w:tcPr>
            <w:tcW w:w="955" w:type="pct"/>
            <w:noWrap w:val="0"/>
            <w:vAlign w:val="center"/>
          </w:tcPr>
          <w:p w14:paraId="7A0F867E">
            <w:pPr>
              <w:keepNext w:val="0"/>
              <w:keepLines w:val="0"/>
              <w:widowControl/>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24"/>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简单分析</w:t>
            </w:r>
          </w:p>
        </w:tc>
        <w:tc>
          <w:tcPr>
            <w:tcW w:w="3297" w:type="pct"/>
            <w:noWrap w:val="0"/>
            <w:vAlign w:val="center"/>
          </w:tcPr>
          <w:p w14:paraId="0D35B099">
            <w:pPr>
              <w:keepNext w:val="0"/>
              <w:keepLines w:val="0"/>
              <w:widowControl/>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24"/>
                <w:szCs w:val="21"/>
                <w14:textFill>
                  <w14:solidFill>
                    <w14:schemeClr w14:val="tx1"/>
                  </w14:solidFill>
                </w14:textFill>
              </w:rPr>
            </w:pPr>
            <w:r>
              <w:rPr>
                <w:rFonts w:hint="eastAsia" w:ascii="Times New Roman" w:hAnsi="Times New Roman" w:cs="Times New Roman"/>
                <w:color w:val="000000" w:themeColor="text1"/>
                <w:kern w:val="24"/>
                <w:szCs w:val="21"/>
                <w14:textFill>
                  <w14:solidFill>
                    <w14:schemeClr w14:val="tx1"/>
                  </w14:solidFill>
                </w14:textFill>
              </w:rPr>
              <w:t>不设置评价范围</w:t>
            </w:r>
          </w:p>
        </w:tc>
      </w:tr>
    </w:tbl>
    <w:p w14:paraId="4A7569C5">
      <w:pPr>
        <w:spacing w:line="480" w:lineRule="exact"/>
        <w:ind w:firstLine="480" w:firstLineChars="200"/>
        <w:rPr>
          <w:color w:val="000000" w:themeColor="text1"/>
          <w:sz w:val="24"/>
          <w:szCs w:val="24"/>
          <w14:textFill>
            <w14:solidFill>
              <w14:schemeClr w14:val="tx1"/>
            </w14:solidFill>
          </w14:textFill>
        </w:rPr>
      </w:pPr>
      <w:bookmarkStart w:id="206" w:name="_Toc6805"/>
      <w:bookmarkStart w:id="207" w:name="_Toc6991"/>
      <w:r>
        <w:rPr>
          <w:color w:val="000000" w:themeColor="text1"/>
          <w:sz w:val="24"/>
          <w:szCs w:val="24"/>
          <w14:textFill>
            <w14:solidFill>
              <w14:schemeClr w14:val="tx1"/>
            </w14:solidFill>
          </w14:textFill>
        </w:rPr>
        <w:t>项目评价范围图</w:t>
      </w:r>
      <w:r>
        <w:rPr>
          <w:rFonts w:hint="eastAsia"/>
          <w:color w:val="000000" w:themeColor="text1"/>
          <w:sz w:val="24"/>
          <w:szCs w:val="24"/>
          <w14:textFill>
            <w14:solidFill>
              <w14:schemeClr w14:val="tx1"/>
            </w14:solidFill>
          </w14:textFill>
        </w:rPr>
        <w:t>见图2.5-1。</w:t>
      </w:r>
    </w:p>
    <w:p w14:paraId="6A221A89">
      <w:pPr>
        <w:pStyle w:val="3"/>
        <w:jc w:val="left"/>
        <w:rPr>
          <w:bCs/>
          <w:color w:val="000000" w:themeColor="text1"/>
          <w:kern w:val="2"/>
          <w:szCs w:val="32"/>
          <w14:textFill>
            <w14:solidFill>
              <w14:schemeClr w14:val="tx1"/>
            </w14:solidFill>
          </w14:textFill>
        </w:rPr>
      </w:pPr>
      <w:bookmarkStart w:id="208" w:name="_Toc111767544"/>
      <w:bookmarkStart w:id="209" w:name="_Toc27232"/>
      <w:r>
        <w:rPr>
          <w:bCs/>
          <w:color w:val="000000" w:themeColor="text1"/>
          <w:kern w:val="2"/>
          <w:szCs w:val="32"/>
          <w14:textFill>
            <w14:solidFill>
              <w14:schemeClr w14:val="tx1"/>
            </w14:solidFill>
          </w14:textFill>
        </w:rPr>
        <w:t>2.</w:t>
      </w:r>
      <w:r>
        <w:rPr>
          <w:rFonts w:hint="eastAsia"/>
          <w:bCs/>
          <w:color w:val="000000" w:themeColor="text1"/>
          <w:kern w:val="2"/>
          <w:szCs w:val="32"/>
          <w14:textFill>
            <w14:solidFill>
              <w14:schemeClr w14:val="tx1"/>
            </w14:solidFill>
          </w14:textFill>
        </w:rPr>
        <w:t>6</w:t>
      </w:r>
      <w:r>
        <w:rPr>
          <w:bCs/>
          <w:color w:val="000000" w:themeColor="text1"/>
          <w:kern w:val="2"/>
          <w:szCs w:val="32"/>
          <w14:textFill>
            <w14:solidFill>
              <w14:schemeClr w14:val="tx1"/>
            </w14:solidFill>
          </w14:textFill>
        </w:rPr>
        <w:t>评价重点</w:t>
      </w:r>
      <w:bookmarkEnd w:id="204"/>
      <w:bookmarkEnd w:id="205"/>
      <w:bookmarkEnd w:id="206"/>
      <w:bookmarkEnd w:id="207"/>
      <w:bookmarkEnd w:id="208"/>
      <w:bookmarkEnd w:id="209"/>
    </w:p>
    <w:p w14:paraId="74A7ED32">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根据本项目污染物排放性质及其排放方式、排放特点，结合矿区周围环境特征，确定本次评价的重点是</w:t>
      </w:r>
      <w:r>
        <w:rPr>
          <w:color w:val="000000" w:themeColor="text1"/>
          <w:sz w:val="24"/>
          <w14:textFill>
            <w14:solidFill>
              <w14:schemeClr w14:val="tx1"/>
            </w14:solidFill>
          </w14:textFill>
        </w:rPr>
        <w:t>在工程分析的基础上，</w:t>
      </w:r>
      <w:r>
        <w:rPr>
          <w:color w:val="000000" w:themeColor="text1"/>
          <w:kern w:val="0"/>
          <w:sz w:val="24"/>
          <w14:textFill>
            <w14:solidFill>
              <w14:schemeClr w14:val="tx1"/>
            </w14:solidFill>
          </w14:textFill>
        </w:rPr>
        <w:t>以</w:t>
      </w:r>
      <w:r>
        <w:rPr>
          <w:rFonts w:hint="eastAsia"/>
          <w:color w:val="000000" w:themeColor="text1"/>
          <w:kern w:val="0"/>
          <w:sz w:val="24"/>
          <w:lang w:val="en-US" w:eastAsia="zh-CN"/>
          <w14:textFill>
            <w14:solidFill>
              <w14:schemeClr w14:val="tx1"/>
            </w14:solidFill>
          </w14:textFill>
        </w:rPr>
        <w:t>大气环境</w:t>
      </w:r>
      <w:r>
        <w:rPr>
          <w:color w:val="000000" w:themeColor="text1"/>
          <w:kern w:val="0"/>
          <w:sz w:val="24"/>
          <w14:textFill>
            <w14:solidFill>
              <w14:schemeClr w14:val="tx1"/>
            </w14:solidFill>
          </w14:textFill>
        </w:rPr>
        <w:t>预测与影响分析、</w:t>
      </w:r>
      <w:r>
        <w:rPr>
          <w:color w:val="000000" w:themeColor="text1"/>
          <w:sz w:val="24"/>
          <w:szCs w:val="24"/>
          <w14:textFill>
            <w14:solidFill>
              <w14:schemeClr w14:val="tx1"/>
            </w14:solidFill>
          </w14:textFill>
        </w:rPr>
        <w:t>地下水环境影响评价、</w:t>
      </w:r>
      <w:r>
        <w:rPr>
          <w:color w:val="000000" w:themeColor="text1"/>
          <w:kern w:val="0"/>
          <w:sz w:val="24"/>
          <w14:textFill>
            <w14:solidFill>
              <w14:schemeClr w14:val="tx1"/>
            </w14:solidFill>
          </w14:textFill>
        </w:rPr>
        <w:t>固体废物处理处置分析、环境风险分析、选址合理性分析</w:t>
      </w:r>
      <w:r>
        <w:rPr>
          <w:color w:val="000000" w:themeColor="text1"/>
          <w:sz w:val="24"/>
          <w14:textFill>
            <w14:solidFill>
              <w14:schemeClr w14:val="tx1"/>
            </w14:solidFill>
          </w14:textFill>
        </w:rPr>
        <w:t>，同时关注影响范围内公众对本项目的意见和建议。</w:t>
      </w:r>
    </w:p>
    <w:p w14:paraId="3411DE12">
      <w:pPr>
        <w:pStyle w:val="3"/>
        <w:jc w:val="left"/>
        <w:rPr>
          <w:bCs/>
          <w:color w:val="000000" w:themeColor="text1"/>
          <w:kern w:val="2"/>
          <w:szCs w:val="32"/>
          <w14:textFill>
            <w14:solidFill>
              <w14:schemeClr w14:val="tx1"/>
            </w14:solidFill>
          </w14:textFill>
        </w:rPr>
      </w:pPr>
      <w:bookmarkStart w:id="210" w:name="_Toc32291"/>
      <w:bookmarkStart w:id="211" w:name="_Toc31751"/>
      <w:bookmarkStart w:id="212" w:name="_Toc9226"/>
      <w:bookmarkStart w:id="213" w:name="_Toc19426"/>
      <w:bookmarkStart w:id="214" w:name="_Toc2971"/>
      <w:bookmarkStart w:id="215" w:name="_Toc3248"/>
      <w:bookmarkStart w:id="216" w:name="_Toc1768"/>
      <w:bookmarkStart w:id="217" w:name="_Toc5560"/>
      <w:bookmarkStart w:id="218" w:name="_Toc32352"/>
      <w:bookmarkStart w:id="219" w:name="_Toc22620"/>
      <w:bookmarkStart w:id="220" w:name="_Toc10668"/>
      <w:bookmarkStart w:id="221" w:name="_Toc15615"/>
      <w:bookmarkStart w:id="222" w:name="_Toc13331"/>
      <w:bookmarkStart w:id="223" w:name="_Toc484105092"/>
      <w:bookmarkStart w:id="224" w:name="_Toc111767545"/>
      <w:bookmarkStart w:id="225" w:name="_Toc444604310"/>
      <w:bookmarkStart w:id="226" w:name="_Toc493523096"/>
      <w:bookmarkStart w:id="227" w:name="_Toc2585"/>
      <w:bookmarkStart w:id="228" w:name="_Toc3493"/>
      <w:bookmarkStart w:id="229" w:name="_Toc5173"/>
      <w:r>
        <w:rPr>
          <w:bCs/>
          <w:color w:val="000000" w:themeColor="text1"/>
          <w:kern w:val="2"/>
          <w:szCs w:val="32"/>
          <w14:textFill>
            <w14:solidFill>
              <w14:schemeClr w14:val="tx1"/>
            </w14:solidFill>
          </w14:textFill>
        </w:rPr>
        <w:t>2.</w:t>
      </w:r>
      <w:r>
        <w:rPr>
          <w:rFonts w:hint="eastAsia"/>
          <w:bCs/>
          <w:color w:val="000000" w:themeColor="text1"/>
          <w:kern w:val="2"/>
          <w:szCs w:val="32"/>
          <w14:textFill>
            <w14:solidFill>
              <w14:schemeClr w14:val="tx1"/>
            </w14:solidFill>
          </w14:textFill>
        </w:rPr>
        <w:t>7</w:t>
      </w:r>
      <w:r>
        <w:rPr>
          <w:bCs/>
          <w:color w:val="000000" w:themeColor="text1"/>
          <w:kern w:val="2"/>
          <w:szCs w:val="32"/>
          <w14:textFill>
            <w14:solidFill>
              <w14:schemeClr w14:val="tx1"/>
            </w14:solidFill>
          </w14:textFill>
        </w:rPr>
        <w:t>主要环境保护目标和环境敏感目标</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42127A6C">
      <w:pPr>
        <w:pStyle w:val="4"/>
        <w:spacing w:before="60" w:after="60" w:line="480" w:lineRule="exact"/>
        <w:rPr>
          <w:color w:val="000000" w:themeColor="text1"/>
          <w:kern w:val="2"/>
          <w14:textFill>
            <w14:solidFill>
              <w14:schemeClr w14:val="tx1"/>
            </w14:solidFill>
          </w14:textFill>
        </w:rPr>
      </w:pPr>
      <w:bookmarkStart w:id="230" w:name="_Toc12567"/>
      <w:bookmarkStart w:id="231" w:name="_Toc1369030257"/>
      <w:bookmarkStart w:id="232" w:name="_Toc22431"/>
      <w:bookmarkStart w:id="233" w:name="_Toc3084"/>
      <w:bookmarkStart w:id="234" w:name="_Toc24177"/>
      <w:bookmarkStart w:id="235" w:name="_Toc10590"/>
      <w:bookmarkStart w:id="236" w:name="_Toc11136"/>
      <w:bookmarkStart w:id="237" w:name="_Toc12254"/>
      <w:bookmarkStart w:id="238" w:name="_Toc23933"/>
      <w:bookmarkStart w:id="239" w:name="_Toc5941"/>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7</w:t>
      </w:r>
      <w:r>
        <w:rPr>
          <w:color w:val="000000" w:themeColor="text1"/>
          <w:kern w:val="2"/>
          <w14:textFill>
            <w14:solidFill>
              <w14:schemeClr w14:val="tx1"/>
            </w14:solidFill>
          </w14:textFill>
        </w:rPr>
        <w:t>.1主要环境保护目标</w:t>
      </w:r>
      <w:bookmarkEnd w:id="230"/>
      <w:bookmarkEnd w:id="231"/>
      <w:bookmarkEnd w:id="232"/>
      <w:bookmarkEnd w:id="233"/>
      <w:bookmarkEnd w:id="234"/>
      <w:bookmarkEnd w:id="235"/>
      <w:bookmarkEnd w:id="236"/>
      <w:bookmarkEnd w:id="237"/>
      <w:bookmarkEnd w:id="238"/>
      <w:bookmarkEnd w:id="239"/>
    </w:p>
    <w:p w14:paraId="26A9A8D1">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（1）大气环境</w:t>
      </w:r>
    </w:p>
    <w:p w14:paraId="5FC541C9">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保护评价区环境空气，保证</w:t>
      </w:r>
      <w:r>
        <w:rPr>
          <w:rFonts w:hint="eastAsia"/>
          <w:color w:val="000000" w:themeColor="text1"/>
          <w:sz w:val="24"/>
          <w:szCs w:val="24"/>
          <w:lang w:val="en-US" w:eastAsia="zh-CN"/>
          <w14:textFill>
            <w14:solidFill>
              <w14:schemeClr w14:val="tx1"/>
            </w14:solidFill>
          </w14:textFill>
        </w:rPr>
        <w:t>基本因子</w:t>
      </w:r>
      <w:r>
        <w:rPr>
          <w:rFonts w:hint="eastAsia"/>
          <w:color w:val="000000" w:themeColor="text1"/>
          <w:sz w:val="24"/>
          <w:szCs w:val="24"/>
          <w14:textFill>
            <w14:solidFill>
              <w14:schemeClr w14:val="tx1"/>
            </w14:solidFill>
          </w14:textFill>
        </w:rPr>
        <w:t>不因本项目而降低区域环境空气质量现状级别—《环境空气质量标准》（GB3095-20</w:t>
      </w:r>
      <w:r>
        <w:rPr>
          <w:rFonts w:hint="eastAsia"/>
          <w:color w:val="000000" w:themeColor="text1"/>
          <w:sz w:val="24"/>
          <w:szCs w:val="24"/>
          <w:lang w:val="en-US" w:eastAsia="zh-CN"/>
          <w14:textFill>
            <w14:solidFill>
              <w14:schemeClr w14:val="tx1"/>
            </w14:solidFill>
          </w14:textFill>
        </w:rPr>
        <w:t>26</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过渡阶段</w:t>
      </w:r>
      <w:r>
        <w:rPr>
          <w:rFonts w:hint="eastAsia"/>
          <w:color w:val="000000" w:themeColor="text1"/>
          <w:sz w:val="24"/>
          <w:szCs w:val="24"/>
          <w14:textFill>
            <w14:solidFill>
              <w14:schemeClr w14:val="tx1"/>
            </w14:solidFill>
          </w14:textFill>
        </w:rPr>
        <w:t>二级</w:t>
      </w:r>
      <w:r>
        <w:rPr>
          <w:rFonts w:hint="eastAsia"/>
          <w:color w:val="000000" w:themeColor="text1"/>
          <w:sz w:val="24"/>
          <w:szCs w:val="24"/>
          <w:lang w:val="en-US" w:eastAsia="zh-CN"/>
          <w14:textFill>
            <w14:solidFill>
              <w14:schemeClr w14:val="tx1"/>
            </w14:solidFill>
          </w14:textFill>
        </w:rPr>
        <w:t>浓度限值，保证其他因子</w:t>
      </w:r>
      <w:r>
        <w:rPr>
          <w:rFonts w:hint="eastAsia"/>
          <w:color w:val="000000" w:themeColor="text1"/>
          <w:sz w:val="24"/>
          <w:szCs w:val="24"/>
          <w14:textFill>
            <w14:solidFill>
              <w14:schemeClr w14:val="tx1"/>
            </w14:solidFill>
          </w14:textFill>
        </w:rPr>
        <w:t>不因本项目而降低区域环境空气质量现状级别—《环境空气质量标准》（GB3095-20</w:t>
      </w:r>
      <w:r>
        <w:rPr>
          <w:rFonts w:hint="eastAsia"/>
          <w:color w:val="000000" w:themeColor="text1"/>
          <w:sz w:val="24"/>
          <w:szCs w:val="24"/>
          <w:lang w:val="en-US" w:eastAsia="zh-CN"/>
          <w14:textFill>
            <w14:solidFill>
              <w14:schemeClr w14:val="tx1"/>
            </w14:solidFill>
          </w14:textFill>
        </w:rPr>
        <w:t>26</w:t>
      </w:r>
      <w:r>
        <w:rPr>
          <w:rFonts w:hint="eastAsia"/>
          <w:color w:val="000000" w:themeColor="text1"/>
          <w:sz w:val="24"/>
          <w:szCs w:val="24"/>
          <w14:textFill>
            <w14:solidFill>
              <w14:schemeClr w14:val="tx1"/>
            </w14:solidFill>
          </w14:textFill>
        </w:rPr>
        <w:t>）二级</w:t>
      </w:r>
      <w:r>
        <w:rPr>
          <w:rFonts w:hint="eastAsia"/>
          <w:color w:val="000000" w:themeColor="text1"/>
          <w:sz w:val="24"/>
          <w:szCs w:val="24"/>
          <w:lang w:val="en-US" w:eastAsia="zh-CN"/>
          <w14:textFill>
            <w14:solidFill>
              <w14:schemeClr w14:val="tx1"/>
            </w14:solidFill>
          </w14:textFill>
        </w:rPr>
        <w:t>浓度限值</w:t>
      </w:r>
      <w:r>
        <w:rPr>
          <w:rFonts w:hint="eastAsia"/>
          <w:color w:val="000000" w:themeColor="text1"/>
          <w:sz w:val="24"/>
          <w:szCs w:val="24"/>
          <w14:textFill>
            <w14:solidFill>
              <w14:schemeClr w14:val="tx1"/>
            </w14:solidFill>
          </w14:textFill>
        </w:rPr>
        <w:t>。应确保评价区域内的大气环境质量不受本项目排放大气污染物的明显影响。</w:t>
      </w:r>
    </w:p>
    <w:p w14:paraId="6B56532B">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（2）声环境</w:t>
      </w:r>
    </w:p>
    <w:p w14:paraId="6B7B0A3E">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控制厂界噪声满足《工业企业厂界环境噪声排放标准》（GB12348-2008）中2类标准。确保本项目区域声环境依旧满足《声环境质量标准》（GB3096-2008）中的2类区要求。</w:t>
      </w:r>
    </w:p>
    <w:p w14:paraId="161AFE83">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（3）水环境</w:t>
      </w:r>
    </w:p>
    <w:p w14:paraId="6E678762">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经现场踏勘，评价区域及周边无地表水体。</w:t>
      </w:r>
    </w:p>
    <w:p w14:paraId="4D95F438">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地下水</w:t>
      </w:r>
      <w:r>
        <w:rPr>
          <w:rFonts w:hint="eastAsia"/>
          <w:color w:val="000000" w:themeColor="text1"/>
          <w:sz w:val="24"/>
          <w:szCs w:val="24"/>
          <w14:textFill>
            <w14:solidFill>
              <w14:schemeClr w14:val="tx1"/>
            </w14:solidFill>
          </w14:textFill>
        </w:rPr>
        <w:t>环境保护目标为</w:t>
      </w:r>
      <w:r>
        <w:rPr>
          <w:color w:val="000000" w:themeColor="text1"/>
          <w:sz w:val="24"/>
          <w14:textFill>
            <w14:solidFill>
              <w14:schemeClr w14:val="tx1"/>
            </w14:solidFill>
          </w14:textFill>
        </w:rPr>
        <w:t>保护矿区上游及下游区域地下水水质，保证不因</w:t>
      </w: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而降低区域地下水环境质量现状级别《地下水质量标准》（GB/T14848-2017）Ⅲ类标准。</w:t>
      </w:r>
    </w:p>
    <w:p w14:paraId="579AF2FE">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（4）环境风险保护目标</w:t>
      </w:r>
    </w:p>
    <w:p w14:paraId="0D0E251B">
      <w:pPr>
        <w:spacing w:line="480" w:lineRule="exact"/>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降低环境风险发生概率，保证环境风险发生时能够得到及时控制，</w:t>
      </w:r>
      <w:r>
        <w:rPr>
          <w:rFonts w:hint="default" w:ascii="Times New Roman" w:hAnsi="Times New Roman" w:eastAsia="宋体" w:cs="Times New Roman"/>
          <w:color w:val="000000" w:themeColor="text1"/>
          <w:sz w:val="24"/>
          <w:szCs w:val="24"/>
          <w14:textFill>
            <w14:solidFill>
              <w14:schemeClr w14:val="tx1"/>
            </w14:solidFill>
          </w14:textFill>
        </w:rPr>
        <w:t>保护矿区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土壤及地下水环境</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具体的环境风险保护目标为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矿区上游及下游区域地下水。</w:t>
      </w:r>
    </w:p>
    <w:p w14:paraId="4E1A331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（5）土壤环境</w:t>
      </w:r>
    </w:p>
    <w:p w14:paraId="5509B5B8">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保护项目区土壤环境，保证不因本项目而降低区域土壤环境质量现状级别</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《土壤环境质量 建设用地土壤污染风险管控标准》（GB36600-2018）中的第二类筛选值标准。</w:t>
      </w:r>
    </w:p>
    <w:p w14:paraId="3955CA84">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（6）生态环境</w:t>
      </w:r>
    </w:p>
    <w:p w14:paraId="7777B0E6">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保护项目区生态环境，将生态环境影响降低到最小</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具体保护目标为评价范围内的植被、野生动物</w:t>
      </w:r>
      <w:r>
        <w:rPr>
          <w:rFonts w:hint="eastAsia" w:cs="Times New Roman"/>
          <w:color w:val="000000" w:themeColor="text1"/>
          <w:sz w:val="24"/>
          <w:szCs w:val="24"/>
          <w:lang w:val="en-US" w:eastAsia="zh-CN"/>
          <w14:textFill>
            <w14:solidFill>
              <w14:schemeClr w14:val="tx1"/>
            </w14:solidFill>
          </w14:textFill>
        </w:rPr>
        <w:t>、戈壁砾幕层</w:t>
      </w:r>
      <w:r>
        <w:rPr>
          <w:color w:val="000000" w:themeColor="text1"/>
          <w:sz w:val="24"/>
          <w:szCs w:val="24"/>
          <w14:textFill>
            <w14:solidFill>
              <w14:schemeClr w14:val="tx1"/>
            </w14:solidFill>
          </w14:textFill>
        </w:rPr>
        <w:t>。</w:t>
      </w:r>
    </w:p>
    <w:p w14:paraId="78329427">
      <w:pPr>
        <w:pStyle w:val="4"/>
        <w:rPr>
          <w:color w:val="000000" w:themeColor="text1"/>
          <w:sz w:val="32"/>
          <w14:textFill>
            <w14:solidFill>
              <w14:schemeClr w14:val="tx1"/>
            </w14:solidFill>
          </w14:textFill>
        </w:rPr>
      </w:pPr>
      <w:bookmarkStart w:id="240" w:name="_Toc14964"/>
      <w:bookmarkStart w:id="241" w:name="_Toc1151735441"/>
      <w:bookmarkStart w:id="242" w:name="_Toc9345"/>
      <w:bookmarkStart w:id="243" w:name="_Toc20745"/>
      <w:bookmarkStart w:id="244" w:name="_Toc13444"/>
      <w:bookmarkStart w:id="245" w:name="_Toc22268"/>
      <w:bookmarkStart w:id="246" w:name="_Toc23360"/>
      <w:bookmarkStart w:id="247" w:name="_Toc1056"/>
      <w:bookmarkStart w:id="248" w:name="_Toc10484"/>
      <w:bookmarkStart w:id="249" w:name="_Toc14966"/>
      <w:r>
        <w:rPr>
          <w:color w:val="000000" w:themeColor="text1"/>
          <w:sz w:val="32"/>
          <w14:textFill>
            <w14:solidFill>
              <w14:schemeClr w14:val="tx1"/>
            </w14:solidFill>
          </w14:textFill>
        </w:rPr>
        <w:t>2.</w:t>
      </w:r>
      <w:r>
        <w:rPr>
          <w:rFonts w:hint="eastAsia"/>
          <w:color w:val="000000" w:themeColor="text1"/>
          <w:sz w:val="32"/>
          <w14:textFill>
            <w14:solidFill>
              <w14:schemeClr w14:val="tx1"/>
            </w14:solidFill>
          </w14:textFill>
        </w:rPr>
        <w:t>7</w:t>
      </w:r>
      <w:r>
        <w:rPr>
          <w:color w:val="000000" w:themeColor="text1"/>
          <w:sz w:val="32"/>
          <w14:textFill>
            <w14:solidFill>
              <w14:schemeClr w14:val="tx1"/>
            </w14:solidFill>
          </w14:textFill>
        </w:rPr>
        <w:t>.2环境敏感目标分布</w:t>
      </w:r>
      <w:bookmarkEnd w:id="240"/>
      <w:bookmarkEnd w:id="241"/>
      <w:bookmarkEnd w:id="242"/>
      <w:bookmarkEnd w:id="243"/>
      <w:bookmarkEnd w:id="244"/>
      <w:bookmarkEnd w:id="245"/>
      <w:bookmarkEnd w:id="246"/>
      <w:bookmarkEnd w:id="247"/>
      <w:bookmarkEnd w:id="248"/>
      <w:bookmarkEnd w:id="249"/>
    </w:p>
    <w:p w14:paraId="5A15A4F6">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本项目敏感目标分布情况见表2.7-1。</w:t>
      </w:r>
    </w:p>
    <w:p w14:paraId="6D9AF1E2">
      <w:pPr>
        <w:pStyle w:val="183"/>
        <w:widowControl w:val="0"/>
        <w:spacing w:after="0" w:line="480" w:lineRule="exact"/>
        <w:ind w:firstLine="0" w:firstLineChars="0"/>
        <w:rPr>
          <w:rFonts w:ascii="Times New Roman" w:hAnsi="Times New Roman" w:eastAsia="宋体"/>
          <w:b/>
          <w:bCs/>
          <w:snapToGrid w:val="0"/>
          <w:color w:val="000000" w:themeColor="text1"/>
          <w:sz w:val="24"/>
          <w:szCs w:val="24"/>
          <w:lang w:val="zh-CN"/>
          <w14:textFill>
            <w14:solidFill>
              <w14:schemeClr w14:val="tx1"/>
            </w14:solidFill>
          </w14:textFill>
        </w:rPr>
      </w:pPr>
      <w:r>
        <w:rPr>
          <w:rFonts w:ascii="Times New Roman" w:hAnsi="Times New Roman" w:eastAsia="宋体"/>
          <w:b/>
          <w:bCs/>
          <w:snapToGrid w:val="0"/>
          <w:color w:val="000000" w:themeColor="text1"/>
          <w:sz w:val="24"/>
          <w:szCs w:val="24"/>
          <w:lang w:val="zh-CN"/>
          <w14:textFill>
            <w14:solidFill>
              <w14:schemeClr w14:val="tx1"/>
            </w14:solidFill>
          </w14:textFill>
        </w:rPr>
        <w:t>表</w:t>
      </w:r>
      <w:r>
        <w:rPr>
          <w:rFonts w:ascii="Times New Roman" w:hAnsi="Times New Roman" w:eastAsia="宋体"/>
          <w:b/>
          <w:bCs/>
          <w:snapToGrid w:val="0"/>
          <w:color w:val="000000" w:themeColor="text1"/>
          <w:sz w:val="24"/>
          <w:szCs w:val="24"/>
          <w14:textFill>
            <w14:solidFill>
              <w14:schemeClr w14:val="tx1"/>
            </w14:solidFill>
          </w14:textFill>
        </w:rPr>
        <w:t>2</w:t>
      </w:r>
      <w:r>
        <w:rPr>
          <w:rFonts w:ascii="Times New Roman" w:hAnsi="Times New Roman" w:eastAsia="宋体"/>
          <w:b/>
          <w:bCs/>
          <w:snapToGrid w:val="0"/>
          <w:color w:val="000000" w:themeColor="text1"/>
          <w:sz w:val="24"/>
          <w:szCs w:val="24"/>
          <w:lang w:val="zh-CN"/>
          <w14:textFill>
            <w14:solidFill>
              <w14:schemeClr w14:val="tx1"/>
            </w14:solidFill>
          </w14:textFill>
        </w:rPr>
        <w:t>.</w:t>
      </w:r>
      <w:r>
        <w:rPr>
          <w:rFonts w:hint="eastAsia" w:ascii="Times New Roman" w:hAnsi="Times New Roman" w:eastAsia="宋体"/>
          <w:b/>
          <w:bCs/>
          <w:snapToGrid w:val="0"/>
          <w:color w:val="000000" w:themeColor="text1"/>
          <w:sz w:val="24"/>
          <w:szCs w:val="24"/>
          <w14:textFill>
            <w14:solidFill>
              <w14:schemeClr w14:val="tx1"/>
            </w14:solidFill>
          </w14:textFill>
        </w:rPr>
        <w:t>7</w:t>
      </w:r>
      <w:r>
        <w:rPr>
          <w:rFonts w:ascii="Times New Roman" w:hAnsi="Times New Roman" w:eastAsia="宋体"/>
          <w:b/>
          <w:bCs/>
          <w:snapToGrid w:val="0"/>
          <w:color w:val="000000" w:themeColor="text1"/>
          <w:sz w:val="24"/>
          <w:szCs w:val="24"/>
          <w:lang w:val="zh-CN"/>
          <w14:textFill>
            <w14:solidFill>
              <w14:schemeClr w14:val="tx1"/>
            </w14:solidFill>
          </w14:textFill>
        </w:rPr>
        <w:t>-1</w:t>
      </w:r>
      <w:r>
        <w:rPr>
          <w:rFonts w:ascii="Times New Roman" w:hAnsi="Times New Roman" w:eastAsia="宋体"/>
          <w:b/>
          <w:bCs/>
          <w:snapToGrid w:val="0"/>
          <w:color w:val="000000" w:themeColor="text1"/>
          <w:sz w:val="24"/>
          <w:szCs w:val="24"/>
          <w14:textFill>
            <w14:solidFill>
              <w14:schemeClr w14:val="tx1"/>
            </w14:solidFill>
          </w14:textFill>
        </w:rPr>
        <w:t xml:space="preserve">    </w:t>
      </w:r>
      <w:r>
        <w:rPr>
          <w:rFonts w:ascii="Times New Roman" w:hAnsi="Times New Roman" w:eastAsia="宋体"/>
          <w:b/>
          <w:bCs/>
          <w:snapToGrid w:val="0"/>
          <w:color w:val="000000" w:themeColor="text1"/>
          <w:sz w:val="24"/>
          <w:szCs w:val="24"/>
          <w:lang w:val="zh-CN"/>
          <w14:textFill>
            <w14:solidFill>
              <w14:schemeClr w14:val="tx1"/>
            </w14:solidFill>
          </w14:textFill>
        </w:rPr>
        <w:t>本项目的环境敏感目标</w:t>
      </w:r>
    </w:p>
    <w:tbl>
      <w:tblPr>
        <w:tblStyle w:val="79"/>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7"/>
        <w:gridCol w:w="1515"/>
        <w:gridCol w:w="1379"/>
        <w:gridCol w:w="4478"/>
      </w:tblGrid>
      <w:tr w14:paraId="50283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73" w:type="pct"/>
            <w:tcBorders>
              <w:right w:val="single" w:color="auto" w:sz="4" w:space="0"/>
            </w:tcBorders>
            <w:noWrap w:val="0"/>
            <w:vAlign w:val="center"/>
          </w:tcPr>
          <w:p w14:paraId="03BB35E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环境要素</w:t>
            </w:r>
          </w:p>
        </w:tc>
        <w:tc>
          <w:tcPr>
            <w:tcW w:w="889" w:type="pct"/>
            <w:tcBorders>
              <w:left w:val="single" w:color="auto" w:sz="4" w:space="0"/>
            </w:tcBorders>
            <w:noWrap w:val="0"/>
            <w:vAlign w:val="center"/>
          </w:tcPr>
          <w:p w14:paraId="388558E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809" w:type="pct"/>
            <w:noWrap w:val="0"/>
            <w:vAlign w:val="center"/>
          </w:tcPr>
          <w:p w14:paraId="2E69459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相对位置</w:t>
            </w:r>
          </w:p>
        </w:tc>
        <w:tc>
          <w:tcPr>
            <w:tcW w:w="2627" w:type="pct"/>
            <w:noWrap w:val="0"/>
            <w:vAlign w:val="center"/>
          </w:tcPr>
          <w:p w14:paraId="7E76356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保护目标</w:t>
            </w:r>
          </w:p>
        </w:tc>
      </w:tr>
      <w:tr w14:paraId="57F30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3" w:type="pct"/>
            <w:tcBorders>
              <w:right w:val="single" w:color="auto" w:sz="4" w:space="0"/>
            </w:tcBorders>
            <w:noWrap w:val="0"/>
            <w:vAlign w:val="center"/>
          </w:tcPr>
          <w:p w14:paraId="2DC7F82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w:t>
            </w:r>
          </w:p>
        </w:tc>
        <w:tc>
          <w:tcPr>
            <w:tcW w:w="889" w:type="pct"/>
            <w:tcBorders>
              <w:left w:val="single" w:color="auto" w:sz="4" w:space="0"/>
            </w:tcBorders>
            <w:noWrap w:val="0"/>
            <w:vAlign w:val="center"/>
          </w:tcPr>
          <w:p w14:paraId="68F840EF">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项目区</w:t>
            </w:r>
            <w:r>
              <w:rPr>
                <w:rFonts w:hint="default" w:ascii="Times New Roman" w:hAnsi="Times New Roman" w:eastAsia="宋体" w:cs="Times New Roman"/>
                <w:color w:val="000000" w:themeColor="text1"/>
                <w:sz w:val="21"/>
                <w:szCs w:val="21"/>
                <w14:textFill>
                  <w14:solidFill>
                    <w14:schemeClr w14:val="tx1"/>
                  </w14:solidFill>
                </w14:textFill>
              </w:rPr>
              <w:t>域</w:t>
            </w:r>
          </w:p>
        </w:tc>
        <w:tc>
          <w:tcPr>
            <w:tcW w:w="809" w:type="pct"/>
            <w:noWrap w:val="0"/>
            <w:vAlign w:val="center"/>
          </w:tcPr>
          <w:p w14:paraId="6729DA4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2627" w:type="pct"/>
            <w:noWrap w:val="0"/>
            <w:vAlign w:val="center"/>
          </w:tcPr>
          <w:p w14:paraId="030A927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《环境空气质量标准》（GB3095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w:t>
            </w:r>
            <w:r>
              <w:rPr>
                <w:rFonts w:hint="eastAsia" w:cs="Times New Roman"/>
                <w:color w:val="000000" w:themeColor="text1"/>
                <w:sz w:val="21"/>
                <w:szCs w:val="21"/>
                <w:lang w:val="en-US" w:eastAsia="zh-CN"/>
                <w14:textFill>
                  <w14:solidFill>
                    <w14:schemeClr w14:val="tx1"/>
                  </w14:solidFill>
                </w14:textFill>
              </w:rPr>
              <w:t>26</w:t>
            </w:r>
            <w:r>
              <w:rPr>
                <w:rFonts w:hint="default" w:ascii="Times New Roman" w:hAnsi="Times New Roman" w:eastAsia="宋体" w:cs="Times New Roman"/>
                <w:color w:val="000000" w:themeColor="text1"/>
                <w:sz w:val="21"/>
                <w:szCs w:val="21"/>
                <w14:textFill>
                  <w14:solidFill>
                    <w14:schemeClr w14:val="tx1"/>
                  </w14:solidFill>
                </w14:textFill>
              </w:rPr>
              <w:t>）中的</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过渡阶段</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二级</w:t>
            </w:r>
            <w:r>
              <w:rPr>
                <w:rFonts w:hint="eastAsia" w:cs="Times New Roman"/>
                <w:color w:val="000000" w:themeColor="text1"/>
                <w:sz w:val="21"/>
                <w:szCs w:val="21"/>
                <w:lang w:val="en-US" w:eastAsia="zh-CN"/>
                <w14:textFill>
                  <w14:solidFill>
                    <w14:schemeClr w14:val="tx1"/>
                  </w14:solidFill>
                </w14:textFill>
              </w:rPr>
              <w:t>浓度</w:t>
            </w:r>
            <w:r>
              <w:rPr>
                <w:rFonts w:hint="default" w:ascii="Times New Roman" w:hAnsi="Times New Roman" w:eastAsia="宋体" w:cs="Times New Roman"/>
                <w:color w:val="000000" w:themeColor="text1"/>
                <w:sz w:val="21"/>
                <w:szCs w:val="21"/>
                <w14:textFill>
                  <w14:solidFill>
                    <w14:schemeClr w14:val="tx1"/>
                  </w14:solidFill>
                </w14:textFill>
              </w:rPr>
              <w:t>标准</w:t>
            </w:r>
          </w:p>
        </w:tc>
      </w:tr>
      <w:tr w14:paraId="4B362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3" w:type="pct"/>
            <w:tcBorders>
              <w:right w:val="single" w:color="auto" w:sz="4" w:space="0"/>
            </w:tcBorders>
            <w:noWrap w:val="0"/>
            <w:vAlign w:val="center"/>
          </w:tcPr>
          <w:p w14:paraId="5EECEF2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889" w:type="pct"/>
            <w:tcBorders>
              <w:left w:val="single" w:color="auto" w:sz="4" w:space="0"/>
            </w:tcBorders>
            <w:noWrap w:val="0"/>
            <w:vAlign w:val="center"/>
          </w:tcPr>
          <w:p w14:paraId="0ACD66DB">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项目区域</w:t>
            </w:r>
          </w:p>
        </w:tc>
        <w:tc>
          <w:tcPr>
            <w:tcW w:w="809" w:type="pct"/>
            <w:noWrap w:val="0"/>
            <w:vAlign w:val="center"/>
          </w:tcPr>
          <w:p w14:paraId="158D4DA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评价区域</w:t>
            </w:r>
          </w:p>
        </w:tc>
        <w:tc>
          <w:tcPr>
            <w:tcW w:w="2627" w:type="pct"/>
            <w:noWrap w:val="0"/>
            <w:vAlign w:val="center"/>
          </w:tcPr>
          <w:p w14:paraId="0B6C3CF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《地下水质量标准》（GB/T14848-2017）Ⅲ类</w:t>
            </w:r>
          </w:p>
        </w:tc>
      </w:tr>
      <w:tr w14:paraId="5A832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3" w:type="pct"/>
            <w:tcBorders>
              <w:right w:val="single" w:color="auto" w:sz="4" w:space="0"/>
            </w:tcBorders>
            <w:noWrap w:val="0"/>
            <w:vAlign w:val="center"/>
          </w:tcPr>
          <w:p w14:paraId="51AAA35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889" w:type="pct"/>
            <w:tcBorders>
              <w:left w:val="single" w:color="auto" w:sz="4" w:space="0"/>
              <w:right w:val="single" w:color="auto" w:sz="4" w:space="0"/>
            </w:tcBorders>
            <w:noWrap w:val="0"/>
            <w:vAlign w:val="center"/>
          </w:tcPr>
          <w:p w14:paraId="59A258A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区域</w:t>
            </w:r>
          </w:p>
        </w:tc>
        <w:tc>
          <w:tcPr>
            <w:tcW w:w="809" w:type="pct"/>
            <w:tcBorders>
              <w:left w:val="single" w:color="auto" w:sz="4" w:space="0"/>
            </w:tcBorders>
            <w:noWrap w:val="0"/>
            <w:vAlign w:val="center"/>
          </w:tcPr>
          <w:p w14:paraId="0AEA4CB5">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厂界外</w:t>
            </w:r>
            <w:r>
              <w:rPr>
                <w:rFonts w:hint="eastAsia"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14:textFill>
                  <w14:solidFill>
                    <w14:schemeClr w14:val="tx1"/>
                  </w14:solidFill>
                </w14:textFill>
              </w:rPr>
              <w:t>范围内</w:t>
            </w:r>
          </w:p>
        </w:tc>
        <w:tc>
          <w:tcPr>
            <w:tcW w:w="2627" w:type="pct"/>
            <w:noWrap w:val="0"/>
            <w:vAlign w:val="center"/>
          </w:tcPr>
          <w:p w14:paraId="3108273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《声环境质量标准》（GB3096-2008）中的2类</w:t>
            </w:r>
          </w:p>
        </w:tc>
      </w:tr>
      <w:tr w14:paraId="6B4DC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3" w:type="pct"/>
            <w:tcBorders>
              <w:right w:val="single" w:color="auto" w:sz="4" w:space="0"/>
            </w:tcBorders>
            <w:noWrap w:val="0"/>
            <w:vAlign w:val="center"/>
          </w:tcPr>
          <w:p w14:paraId="27EA6EE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土壤环境</w:t>
            </w:r>
          </w:p>
        </w:tc>
        <w:tc>
          <w:tcPr>
            <w:tcW w:w="889" w:type="pct"/>
            <w:tcBorders>
              <w:right w:val="single" w:color="auto" w:sz="4" w:space="0"/>
            </w:tcBorders>
            <w:noWrap w:val="0"/>
            <w:vAlign w:val="center"/>
          </w:tcPr>
          <w:p w14:paraId="68A3579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w:t>
            </w:r>
          </w:p>
        </w:tc>
        <w:tc>
          <w:tcPr>
            <w:tcW w:w="809" w:type="pct"/>
            <w:tcBorders>
              <w:left w:val="single" w:color="auto" w:sz="4" w:space="0"/>
            </w:tcBorders>
            <w:noWrap w:val="0"/>
            <w:vAlign w:val="center"/>
          </w:tcPr>
          <w:p w14:paraId="50752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区用地范围外延2km</w:t>
            </w:r>
          </w:p>
        </w:tc>
        <w:tc>
          <w:tcPr>
            <w:tcW w:w="2627" w:type="pct"/>
            <w:noWrap w:val="0"/>
            <w:vAlign w:val="center"/>
          </w:tcPr>
          <w:p w14:paraId="16BA01C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《土壤环境质量 建设用地土壤风险管控标准（试行）》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GB36600-2018</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中的第二类用地筛选值</w:t>
            </w:r>
          </w:p>
        </w:tc>
      </w:tr>
      <w:tr w14:paraId="5A26F4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3" w:type="pct"/>
            <w:tcBorders>
              <w:right w:val="single" w:color="auto" w:sz="4" w:space="0"/>
            </w:tcBorders>
            <w:noWrap w:val="0"/>
            <w:vAlign w:val="center"/>
          </w:tcPr>
          <w:p w14:paraId="28A219E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生态环境</w:t>
            </w:r>
          </w:p>
        </w:tc>
        <w:tc>
          <w:tcPr>
            <w:tcW w:w="889" w:type="pct"/>
            <w:tcBorders>
              <w:right w:val="single" w:color="auto" w:sz="4" w:space="0"/>
            </w:tcBorders>
            <w:noWrap w:val="0"/>
            <w:vAlign w:val="center"/>
          </w:tcPr>
          <w:p w14:paraId="7E94DC2A">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影响范围内的植被、野生动物、生态空间</w:t>
            </w:r>
            <w:r>
              <w:rPr>
                <w:rFonts w:hint="eastAsia" w:ascii="Times New Roman" w:hAnsi="Times New Roman" w:eastAsia="宋体" w:cs="Times New Roman"/>
                <w:color w:val="000000" w:themeColor="text1"/>
                <w:sz w:val="21"/>
                <w:szCs w:val="21"/>
                <w:lang w:eastAsia="zh-CN"/>
                <w14:textFill>
                  <w14:solidFill>
                    <w14:schemeClr w14:val="tx1"/>
                  </w14:solidFill>
                </w14:textFill>
              </w:rPr>
              <w:t>、戈壁砾幕层</w:t>
            </w:r>
            <w:r>
              <w:rPr>
                <w:rFonts w:hint="default" w:ascii="Times New Roman" w:hAnsi="Times New Roman" w:eastAsia="宋体" w:cs="Times New Roman"/>
                <w:color w:val="000000" w:themeColor="text1"/>
                <w:sz w:val="21"/>
                <w:szCs w:val="21"/>
                <w14:textFill>
                  <w14:solidFill>
                    <w14:schemeClr w14:val="tx1"/>
                  </w14:solidFill>
                </w14:textFill>
              </w:rPr>
              <w:t>等</w:t>
            </w:r>
          </w:p>
        </w:tc>
        <w:tc>
          <w:tcPr>
            <w:tcW w:w="809" w:type="pct"/>
            <w:tcBorders>
              <w:left w:val="single" w:color="auto" w:sz="4" w:space="0"/>
            </w:tcBorders>
            <w:noWrap w:val="0"/>
            <w:vAlign w:val="center"/>
          </w:tcPr>
          <w:p w14:paraId="3B647DFE">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评价区域</w:t>
            </w:r>
          </w:p>
        </w:tc>
        <w:tc>
          <w:tcPr>
            <w:tcW w:w="2627" w:type="pct"/>
            <w:noWrap w:val="0"/>
            <w:vAlign w:val="center"/>
          </w:tcPr>
          <w:p w14:paraId="24370519">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将生态环境影响降低到最小</w:t>
            </w:r>
          </w:p>
        </w:tc>
      </w:tr>
      <w:tr w14:paraId="341DA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3" w:type="pct"/>
            <w:tcBorders>
              <w:right w:val="single" w:color="auto" w:sz="4" w:space="0"/>
            </w:tcBorders>
            <w:noWrap w:val="0"/>
            <w:vAlign w:val="center"/>
          </w:tcPr>
          <w:p w14:paraId="2995B79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w:t>
            </w:r>
          </w:p>
        </w:tc>
        <w:tc>
          <w:tcPr>
            <w:tcW w:w="889" w:type="pct"/>
            <w:tcBorders>
              <w:left w:val="single" w:color="auto" w:sz="4" w:space="0"/>
            </w:tcBorders>
            <w:noWrap w:val="0"/>
            <w:vAlign w:val="center"/>
          </w:tcPr>
          <w:p w14:paraId="16EE270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矿区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上游、下游地下水</w:t>
            </w:r>
          </w:p>
        </w:tc>
        <w:tc>
          <w:tcPr>
            <w:tcW w:w="809" w:type="pct"/>
            <w:noWrap w:val="0"/>
            <w:vAlign w:val="center"/>
          </w:tcPr>
          <w:p w14:paraId="0BC0606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评价区域</w:t>
            </w:r>
          </w:p>
        </w:tc>
        <w:tc>
          <w:tcPr>
            <w:tcW w:w="2627" w:type="pct"/>
            <w:noWrap w:val="0"/>
            <w:vAlign w:val="center"/>
          </w:tcPr>
          <w:p w14:paraId="62B4D814">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降低环境风险发生概率，保证环境风险发生时能够得到及时控制，保护办公生活区人员</w:t>
            </w:r>
          </w:p>
        </w:tc>
      </w:tr>
    </w:tbl>
    <w:p w14:paraId="11835A7E">
      <w:pPr>
        <w:pStyle w:val="3"/>
        <w:jc w:val="left"/>
        <w:rPr>
          <w:bCs/>
          <w:color w:val="000000" w:themeColor="text1"/>
          <w:kern w:val="2"/>
          <w:szCs w:val="32"/>
          <w14:textFill>
            <w14:solidFill>
              <w14:schemeClr w14:val="tx1"/>
            </w14:solidFill>
          </w14:textFill>
        </w:rPr>
      </w:pPr>
      <w:bookmarkStart w:id="250" w:name="_Toc7455"/>
      <w:bookmarkStart w:id="251" w:name="_Toc18407"/>
      <w:bookmarkStart w:id="252" w:name="_Toc111767546"/>
      <w:bookmarkStart w:id="253" w:name="_Toc23274"/>
      <w:bookmarkStart w:id="254" w:name="_Toc1525"/>
      <w:bookmarkStart w:id="255" w:name="_Toc12819"/>
      <w:bookmarkStart w:id="256" w:name="_Toc7595"/>
      <w:bookmarkStart w:id="257" w:name="_Toc26471"/>
      <w:bookmarkStart w:id="258" w:name="_Toc5636"/>
      <w:bookmarkStart w:id="259" w:name="_Toc5611"/>
      <w:bookmarkStart w:id="260" w:name="_Toc8166"/>
      <w:bookmarkStart w:id="261" w:name="_Toc1947446476"/>
      <w:bookmarkStart w:id="262" w:name="_Toc22696"/>
      <w:bookmarkStart w:id="263" w:name="_Toc12273"/>
      <w:bookmarkStart w:id="264" w:name="_Toc7239"/>
      <w:bookmarkStart w:id="265" w:name="_Toc26746"/>
      <w:bookmarkStart w:id="266" w:name="_Toc8101"/>
      <w:r>
        <w:rPr>
          <w:bCs/>
          <w:color w:val="000000" w:themeColor="text1"/>
          <w:kern w:val="2"/>
          <w:szCs w:val="32"/>
          <w14:textFill>
            <w14:solidFill>
              <w14:schemeClr w14:val="tx1"/>
            </w14:solidFill>
          </w14:textFill>
        </w:rPr>
        <w:t>2.</w:t>
      </w:r>
      <w:r>
        <w:rPr>
          <w:rFonts w:hint="eastAsia"/>
          <w:bCs/>
          <w:color w:val="000000" w:themeColor="text1"/>
          <w:kern w:val="2"/>
          <w:szCs w:val="32"/>
          <w14:textFill>
            <w14:solidFill>
              <w14:schemeClr w14:val="tx1"/>
            </w14:solidFill>
          </w14:textFill>
        </w:rPr>
        <w:t>8</w:t>
      </w:r>
      <w:r>
        <w:rPr>
          <w:bCs/>
          <w:color w:val="000000" w:themeColor="text1"/>
          <w:kern w:val="2"/>
          <w:szCs w:val="32"/>
          <w14:textFill>
            <w14:solidFill>
              <w14:schemeClr w14:val="tx1"/>
            </w14:solidFill>
          </w14:textFill>
        </w:rPr>
        <w:t>评价时段</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1FF83D29">
      <w:pPr>
        <w:spacing w:line="480" w:lineRule="exact"/>
        <w:ind w:firstLine="480" w:firstLineChars="200"/>
        <w:rPr>
          <w:rFonts w:hint="eastAsia"/>
          <w:color w:val="000000" w:themeColor="text1"/>
          <w:sz w:val="24"/>
          <w:szCs w:val="24"/>
          <w14:textFill>
            <w14:solidFill>
              <w14:schemeClr w14:val="tx1"/>
            </w14:solidFill>
          </w14:textFill>
        </w:rPr>
        <w:sectPr>
          <w:footerReference r:id="rId20" w:type="default"/>
          <w:footerReference r:id="rId21"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000000" w:themeColor="text1"/>
          <w:sz w:val="24"/>
          <w:szCs w:val="24"/>
          <w14:textFill>
            <w14:solidFill>
              <w14:schemeClr w14:val="tx1"/>
            </w14:solidFill>
          </w14:textFill>
        </w:rPr>
        <w:t>本项目评价时段考虑施工期、运营期和闭矿期。本项目基建期</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年，生产期</w:t>
      </w:r>
      <w:r>
        <w:rPr>
          <w:rFonts w:hint="eastAsia"/>
          <w:color w:val="000000" w:themeColor="text1"/>
          <w:sz w:val="24"/>
          <w:szCs w:val="24"/>
          <w:lang w:val="en-US" w:eastAsia="zh-CN"/>
          <w14:textFill>
            <w14:solidFill>
              <w14:schemeClr w14:val="tx1"/>
            </w14:solidFill>
          </w14:textFill>
        </w:rPr>
        <w:t>13.31</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约13年4个月</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，基建工程完成后，投产即达产。施工期即基建期，项目运营期即生产期；闭矿期为废石堆场封场后1～2年。</w:t>
      </w:r>
    </w:p>
    <w:p w14:paraId="7EB8F523">
      <w:pPr>
        <w:pStyle w:val="2"/>
        <w:keepNext/>
        <w:keepLines/>
        <w:spacing w:before="0" w:after="0" w:line="720" w:lineRule="exact"/>
        <w:jc w:val="both"/>
        <w:rPr>
          <w:rFonts w:hint="eastAsia"/>
          <w:color w:val="000000" w:themeColor="text1"/>
          <w:szCs w:val="36"/>
          <w14:textFill>
            <w14:solidFill>
              <w14:schemeClr w14:val="tx1"/>
            </w14:solidFill>
          </w14:textFill>
        </w:rPr>
      </w:pPr>
      <w:bookmarkStart w:id="267" w:name="_Toc111767547"/>
      <w:bookmarkStart w:id="268" w:name="_Toc13114"/>
      <w:bookmarkStart w:id="269" w:name="_Toc13559"/>
      <w:bookmarkStart w:id="270" w:name="_Toc8678"/>
      <w:r>
        <w:rPr>
          <w:rFonts w:hint="eastAsia"/>
          <w:color w:val="000000" w:themeColor="text1"/>
          <w:szCs w:val="36"/>
          <w14:textFill>
            <w14:solidFill>
              <w14:schemeClr w14:val="tx1"/>
            </w14:solidFill>
          </w14:textFill>
        </w:rPr>
        <w:t>3建设项目工程分析</w:t>
      </w:r>
      <w:bookmarkEnd w:id="267"/>
      <w:bookmarkEnd w:id="268"/>
      <w:bookmarkEnd w:id="269"/>
      <w:bookmarkEnd w:id="270"/>
    </w:p>
    <w:p w14:paraId="7C6BFCD9">
      <w:pPr>
        <w:spacing w:line="480" w:lineRule="exact"/>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哈密市西成矿业有限责任公司目前持有矿权为M1033铁矿，采矿许可证编号：C6500002010122120107454（有效期为2023年12月22日至2028年12月22日）</w:t>
      </w:r>
      <w:r>
        <w:rPr>
          <w:rFonts w:hint="eastAsia"/>
          <w:color w:val="000000" w:themeColor="text1"/>
          <w:sz w:val="24"/>
          <w:szCs w:val="24"/>
          <w:lang w:eastAsia="zh-CN"/>
          <w14:textFill>
            <w14:solidFill>
              <w14:schemeClr w14:val="tx1"/>
            </w14:solidFill>
          </w14:textFill>
        </w:rPr>
        <w:t>。</w:t>
      </w:r>
    </w:p>
    <w:p w14:paraId="2E4E9B06">
      <w:pPr>
        <w:pStyle w:val="3"/>
        <w:jc w:val="left"/>
        <w:rPr>
          <w:bCs/>
          <w:color w:val="000000" w:themeColor="text1"/>
          <w:kern w:val="2"/>
          <w:szCs w:val="32"/>
          <w14:textFill>
            <w14:solidFill>
              <w14:schemeClr w14:val="tx1"/>
            </w14:solidFill>
          </w14:textFill>
        </w:rPr>
      </w:pPr>
      <w:bookmarkStart w:id="271" w:name="_Toc26577"/>
      <w:bookmarkStart w:id="272" w:name="_Toc30821"/>
      <w:bookmarkStart w:id="273" w:name="_Toc111767549"/>
      <w:bookmarkStart w:id="274" w:name="_Toc2840"/>
      <w:r>
        <w:rPr>
          <w:rFonts w:hint="eastAsia"/>
          <w:bCs/>
          <w:color w:val="000000" w:themeColor="text1"/>
          <w:kern w:val="2"/>
          <w:szCs w:val="32"/>
          <w14:textFill>
            <w14:solidFill>
              <w14:schemeClr w14:val="tx1"/>
            </w14:solidFill>
          </w14:textFill>
        </w:rPr>
        <w:t>3.</w:t>
      </w:r>
      <w:r>
        <w:rPr>
          <w:bCs/>
          <w:color w:val="000000" w:themeColor="text1"/>
          <w:kern w:val="2"/>
          <w:szCs w:val="32"/>
          <w14:textFill>
            <w14:solidFill>
              <w14:schemeClr w14:val="tx1"/>
            </w14:solidFill>
          </w14:textFill>
        </w:rPr>
        <w:t>1</w:t>
      </w:r>
      <w:r>
        <w:rPr>
          <w:rFonts w:hint="eastAsia"/>
          <w:bCs/>
          <w:color w:val="000000" w:themeColor="text1"/>
          <w:kern w:val="2"/>
          <w:szCs w:val="32"/>
          <w14:textFill>
            <w14:solidFill>
              <w14:schemeClr w14:val="tx1"/>
            </w14:solidFill>
          </w14:textFill>
        </w:rPr>
        <w:t>现有工程</w:t>
      </w:r>
      <w:bookmarkEnd w:id="271"/>
      <w:bookmarkEnd w:id="272"/>
      <w:r>
        <w:rPr>
          <w:rFonts w:hint="eastAsia"/>
          <w:bCs/>
          <w:color w:val="000000" w:themeColor="text1"/>
          <w:kern w:val="2"/>
          <w:szCs w:val="32"/>
          <w14:textFill>
            <w14:solidFill>
              <w14:schemeClr w14:val="tx1"/>
            </w14:solidFill>
          </w14:textFill>
        </w:rPr>
        <w:t>概况</w:t>
      </w:r>
      <w:bookmarkEnd w:id="273"/>
      <w:bookmarkEnd w:id="274"/>
    </w:p>
    <w:p w14:paraId="3F57F9A4">
      <w:pPr>
        <w:pStyle w:val="4"/>
        <w:spacing w:before="60" w:after="60" w:line="480" w:lineRule="exact"/>
        <w:rPr>
          <w:color w:val="000000" w:themeColor="text1"/>
          <w:kern w:val="2"/>
          <w14:textFill>
            <w14:solidFill>
              <w14:schemeClr w14:val="tx1"/>
            </w14:solidFill>
          </w14:textFill>
        </w:rPr>
      </w:pPr>
      <w:bookmarkStart w:id="275" w:name="_Toc9722"/>
      <w:bookmarkStart w:id="276" w:name="_Toc111767548"/>
      <w:bookmarkStart w:id="277" w:name="_Toc30975"/>
      <w:r>
        <w:rPr>
          <w:rFonts w:hint="eastAsia"/>
          <w:color w:val="000000" w:themeColor="text1"/>
          <w:kern w:val="2"/>
          <w14:textFill>
            <w14:solidFill>
              <w14:schemeClr w14:val="tx1"/>
            </w14:solidFill>
          </w14:textFill>
        </w:rPr>
        <w:t>3.1</w:t>
      </w: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现有工程环保手续履行情况</w:t>
      </w:r>
      <w:bookmarkEnd w:id="275"/>
      <w:bookmarkEnd w:id="276"/>
      <w:bookmarkEnd w:id="277"/>
    </w:p>
    <w:p w14:paraId="68D340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s="宋体"/>
          <w:color w:val="000000" w:themeColor="text1"/>
          <w:kern w:val="0"/>
          <w:sz w:val="24"/>
          <w:szCs w:val="21"/>
          <w:lang w:eastAsia="zh-CN"/>
          <w14:textFill>
            <w14:solidFill>
              <w14:schemeClr w14:val="tx1"/>
            </w14:solidFill>
          </w14:textFill>
        </w:rPr>
      </w:pPr>
      <w:r>
        <w:rPr>
          <w:rFonts w:hint="eastAsia"/>
          <w:color w:val="000000" w:themeColor="text1"/>
          <w:sz w:val="24"/>
          <w:szCs w:val="24"/>
          <w14:textFill>
            <w14:solidFill>
              <w14:schemeClr w14:val="tx1"/>
            </w14:solidFill>
          </w14:textFill>
        </w:rPr>
        <w:t>2006年8月，西成矿业委托新疆昌吉回族自治州水利科学技术研究所</w:t>
      </w:r>
      <w:r>
        <w:rPr>
          <w:rFonts w:hint="eastAsia"/>
          <w:color w:val="000000" w:themeColor="text1"/>
          <w:sz w:val="24"/>
          <w:szCs w:val="24"/>
          <w:lang w:eastAsia="zh-CN"/>
          <w14:textFill>
            <w14:solidFill>
              <w14:schemeClr w14:val="tx1"/>
            </w14:solidFill>
          </w14:textFill>
        </w:rPr>
        <w:t>同时</w:t>
      </w:r>
      <w:r>
        <w:rPr>
          <w:rFonts w:hint="eastAsia"/>
          <w:color w:val="000000" w:themeColor="text1"/>
          <w:sz w:val="24"/>
          <w:szCs w:val="24"/>
          <w14:textFill>
            <w14:solidFill>
              <w14:schemeClr w14:val="tx1"/>
            </w14:solidFill>
          </w14:textFill>
        </w:rPr>
        <w:t>编制完成了</w:t>
      </w:r>
      <w:r>
        <w:rPr>
          <w:rFonts w:hint="eastAsia"/>
          <w:color w:val="000000" w:themeColor="text1"/>
          <w:sz w:val="24"/>
          <w:szCs w:val="24"/>
          <w:lang w:eastAsia="zh-CN"/>
          <w14:textFill>
            <w14:solidFill>
              <w14:schemeClr w14:val="tx1"/>
            </w14:solidFill>
          </w14:textFill>
        </w:rPr>
        <w:t>《哈密市西成矿业有限责任公司</w:t>
      </w:r>
      <w:r>
        <w:rPr>
          <w:rFonts w:hint="eastAsia"/>
          <w:color w:val="000000" w:themeColor="text1"/>
          <w:sz w:val="24"/>
          <w:szCs w:val="24"/>
          <w:lang w:val="en-US" w:eastAsia="zh-CN"/>
          <w14:textFill>
            <w14:solidFill>
              <w14:schemeClr w14:val="tx1"/>
            </w14:solidFill>
          </w14:textFill>
        </w:rPr>
        <w:t>M1033矿年产30万吨铁矿采矿项目环境影响报告表</w:t>
      </w:r>
      <w:r>
        <w:rPr>
          <w:rFonts w:hint="eastAsia"/>
          <w:color w:val="000000" w:themeColor="text1"/>
          <w:sz w:val="24"/>
          <w:szCs w:val="24"/>
          <w:lang w:eastAsia="zh-CN"/>
          <w14:textFill>
            <w14:solidFill>
              <w14:schemeClr w14:val="tx1"/>
            </w14:solidFill>
          </w14:textFill>
        </w:rPr>
        <w:t>》（补做环评）及</w:t>
      </w:r>
      <w:r>
        <w:rPr>
          <w:rFonts w:hint="eastAsia"/>
          <w:color w:val="000000" w:themeColor="text1"/>
          <w:sz w:val="24"/>
          <w:szCs w:val="24"/>
          <w14:textFill>
            <w14:solidFill>
              <w14:schemeClr w14:val="tx1"/>
            </w14:solidFill>
          </w14:textFill>
        </w:rPr>
        <w:t>《哈密市西成矿业有限责任公司年产30万吨铁精粉项目环境影响报告表》；2006年9月20日，原哈密地区环境保护局以</w:t>
      </w:r>
      <w:r>
        <w:rPr>
          <w:rFonts w:hint="eastAsia"/>
          <w:color w:val="000000" w:themeColor="text1"/>
          <w:sz w:val="24"/>
          <w:szCs w:val="24"/>
          <w:lang w:eastAsia="zh-CN"/>
          <w14:textFill>
            <w14:solidFill>
              <w14:schemeClr w14:val="tx1"/>
            </w14:solidFill>
          </w14:textFill>
        </w:rPr>
        <w:t>《关于哈密市西成矿业有限责任公司</w:t>
      </w:r>
      <w:r>
        <w:rPr>
          <w:rFonts w:hint="eastAsia"/>
          <w:color w:val="000000" w:themeColor="text1"/>
          <w:sz w:val="24"/>
          <w:szCs w:val="24"/>
          <w:lang w:val="en-US" w:eastAsia="zh-CN"/>
          <w14:textFill>
            <w14:solidFill>
              <w14:schemeClr w14:val="tx1"/>
            </w14:solidFill>
          </w14:textFill>
        </w:rPr>
        <w:t>M1033矿年产30万吨铁矿采矿建设项目</w:t>
      </w:r>
      <w:r>
        <w:rPr>
          <w:rFonts w:hint="eastAsia"/>
          <w:color w:val="000000" w:themeColor="text1"/>
          <w:sz w:val="24"/>
          <w:szCs w:val="24"/>
          <w:lang w:eastAsia="zh-CN"/>
          <w14:textFill>
            <w14:solidFill>
              <w14:schemeClr w14:val="tx1"/>
            </w14:solidFill>
          </w14:textFill>
        </w:rPr>
        <w:t>环境影响报告表的批复》（哈地环审批字〔2006〕</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号）及</w:t>
      </w:r>
      <w:r>
        <w:rPr>
          <w:rFonts w:hint="eastAsia"/>
          <w:color w:val="000000" w:themeColor="text1"/>
          <w:sz w:val="24"/>
          <w:szCs w:val="24"/>
          <w14:textFill>
            <w14:solidFill>
              <w14:schemeClr w14:val="tx1"/>
            </w14:solidFill>
          </w14:textFill>
        </w:rPr>
        <w:t>《关于哈密市西成矿业有限责任公司年产30万吨铁精粉建设项目环境影响报告表的批复》（哈地环审批字〔2006〕</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号）予以批复</w:t>
      </w:r>
      <w:r>
        <w:rPr>
          <w:rFonts w:hint="eastAsia" w:cs="宋体"/>
          <w:color w:val="000000" w:themeColor="text1"/>
          <w:kern w:val="0"/>
          <w:sz w:val="24"/>
          <w:szCs w:val="21"/>
          <w:lang w:eastAsia="zh-CN"/>
          <w14:textFill>
            <w14:solidFill>
              <w14:schemeClr w14:val="tx1"/>
            </w14:solidFill>
          </w14:textFill>
        </w:rPr>
        <w:t>。</w:t>
      </w:r>
    </w:p>
    <w:p w14:paraId="286B10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cs="宋体"/>
          <w:color w:val="000000" w:themeColor="text1"/>
          <w:kern w:val="0"/>
          <w:sz w:val="24"/>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哈密市西成矿业有限责任公司已建工程环保手续履行情况一览表见表</w:t>
      </w:r>
      <w:r>
        <w:rPr>
          <w:rFonts w:cs="宋体"/>
          <w:color w:val="000000" w:themeColor="text1"/>
          <w:kern w:val="0"/>
          <w:sz w:val="24"/>
          <w:szCs w:val="21"/>
          <w14:textFill>
            <w14:solidFill>
              <w14:schemeClr w14:val="tx1"/>
            </w14:solidFill>
          </w14:textFill>
        </w:rPr>
        <w:t>3.1-1</w:t>
      </w:r>
      <w:r>
        <w:rPr>
          <w:rFonts w:hint="eastAsia" w:cs="宋体"/>
          <w:color w:val="000000" w:themeColor="text1"/>
          <w:kern w:val="0"/>
          <w:sz w:val="24"/>
          <w:szCs w:val="21"/>
          <w14:textFill>
            <w14:solidFill>
              <w14:schemeClr w14:val="tx1"/>
            </w14:solidFill>
          </w14:textFill>
        </w:rPr>
        <w:t>。</w:t>
      </w:r>
    </w:p>
    <w:p w14:paraId="7A9727EB">
      <w:pPr>
        <w:pStyle w:val="183"/>
        <w:widowControl w:val="0"/>
        <w:spacing w:after="0" w:line="480" w:lineRule="exact"/>
        <w:ind w:firstLine="0" w:firstLineChars="0"/>
        <w:rPr>
          <w:rFonts w:ascii="Times New Roman" w:hAnsi="Times New Roman" w:eastAsia="宋体"/>
          <w:b/>
          <w:bCs/>
          <w:snapToGrid w:val="0"/>
          <w:color w:val="000000" w:themeColor="text1"/>
          <w:sz w:val="24"/>
          <w:szCs w:val="24"/>
          <w:lang w:val="zh-CN"/>
          <w14:textFill>
            <w14:solidFill>
              <w14:schemeClr w14:val="tx1"/>
            </w14:solidFill>
          </w14:textFill>
        </w:rPr>
      </w:pPr>
      <w:r>
        <w:rPr>
          <w:rFonts w:hint="eastAsia" w:ascii="Times New Roman" w:hAnsi="Times New Roman" w:eastAsia="宋体"/>
          <w:b/>
          <w:bCs/>
          <w:snapToGrid w:val="0"/>
          <w:color w:val="000000" w:themeColor="text1"/>
          <w:sz w:val="24"/>
          <w:szCs w:val="24"/>
          <w:lang w:val="zh-CN"/>
          <w14:textFill>
            <w14:solidFill>
              <w14:schemeClr w14:val="tx1"/>
            </w14:solidFill>
          </w14:textFill>
        </w:rPr>
        <w:t>表</w:t>
      </w:r>
      <w:r>
        <w:rPr>
          <w:rFonts w:ascii="Times New Roman" w:hAnsi="Times New Roman" w:eastAsia="宋体"/>
          <w:b/>
          <w:bCs/>
          <w:snapToGrid w:val="0"/>
          <w:color w:val="000000" w:themeColor="text1"/>
          <w:sz w:val="24"/>
          <w:szCs w:val="24"/>
          <w:lang w:val="zh-CN"/>
          <w14:textFill>
            <w14:solidFill>
              <w14:schemeClr w14:val="tx1"/>
            </w14:solidFill>
          </w14:textFill>
        </w:rPr>
        <w:t xml:space="preserve">3.1-1    </w:t>
      </w:r>
      <w:r>
        <w:rPr>
          <w:rFonts w:hint="eastAsia" w:ascii="Times New Roman" w:hAnsi="Times New Roman" w:eastAsia="宋体"/>
          <w:b/>
          <w:bCs/>
          <w:snapToGrid w:val="0"/>
          <w:color w:val="000000" w:themeColor="text1"/>
          <w:sz w:val="24"/>
          <w:szCs w:val="24"/>
          <w:lang w:val="zh-CN"/>
          <w14:textFill>
            <w14:solidFill>
              <w14:schemeClr w14:val="tx1"/>
            </w14:solidFill>
          </w14:textFill>
        </w:rPr>
        <w:t>已建工程环保手续履行情况一览表</w:t>
      </w:r>
    </w:p>
    <w:tbl>
      <w:tblPr>
        <w:tblStyle w:val="7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758"/>
        <w:gridCol w:w="3534"/>
        <w:gridCol w:w="1151"/>
        <w:gridCol w:w="1603"/>
      </w:tblGrid>
      <w:tr w14:paraId="4A97B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279" w:type="pct"/>
            <w:noWrap w:val="0"/>
            <w:vAlign w:val="center"/>
          </w:tcPr>
          <w:p w14:paraId="3D88DCB2">
            <w:pPr>
              <w:pStyle w:val="607"/>
              <w:keepNext w:val="0"/>
              <w:keepLines w:val="0"/>
              <w:suppressLineNumbers w:val="0"/>
              <w:adjustRightInd/>
              <w:snapToGrid/>
              <w:spacing w:before="0" w:beforeAutospacing="0" w:after="0" w:afterAutospacing="0" w:line="240" w:lineRule="auto"/>
              <w:ind w:left="0" w:right="0"/>
              <w:rPr>
                <w:rFonts w:hint="default" w:ascii="Times New Roman" w:hAnsi="Times New Roman" w:cs="Times New Roman"/>
                <w:b/>
                <w:bCs/>
                <w:color w:val="000000" w:themeColor="text1"/>
                <w:szCs w:val="20"/>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1031" w:type="pct"/>
            <w:noWrap w:val="0"/>
            <w:vAlign w:val="center"/>
          </w:tcPr>
          <w:p w14:paraId="3320C5D9">
            <w:pPr>
              <w:pStyle w:val="607"/>
              <w:keepNext w:val="0"/>
              <w:keepLines w:val="0"/>
              <w:suppressLineNumbers w:val="0"/>
              <w:adjustRightInd/>
              <w:snapToGrid/>
              <w:spacing w:before="0" w:beforeAutospacing="0" w:after="0" w:afterAutospacing="0" w:line="240" w:lineRule="auto"/>
              <w:ind w:left="0" w:right="0"/>
              <w:rPr>
                <w:rFonts w:hint="default" w:ascii="Times New Roman" w:hAnsi="Times New Roman" w:cs="Times New Roman"/>
                <w:b/>
                <w:bCs/>
                <w:color w:val="000000" w:themeColor="text1"/>
                <w:szCs w:val="20"/>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项目名称</w:t>
            </w:r>
          </w:p>
        </w:tc>
        <w:tc>
          <w:tcPr>
            <w:tcW w:w="2072" w:type="pct"/>
            <w:noWrap w:val="0"/>
            <w:vAlign w:val="center"/>
          </w:tcPr>
          <w:p w14:paraId="66A4D35D">
            <w:pPr>
              <w:pStyle w:val="607"/>
              <w:keepNext w:val="0"/>
              <w:keepLines w:val="0"/>
              <w:suppressLineNumbers w:val="0"/>
              <w:adjustRightInd/>
              <w:snapToGrid/>
              <w:spacing w:before="0" w:beforeAutospacing="0" w:after="0" w:afterAutospacing="0" w:line="240" w:lineRule="auto"/>
              <w:ind w:left="0" w:right="0"/>
              <w:rPr>
                <w:rFonts w:hint="default" w:ascii="Times New Roman" w:hAnsi="Times New Roman" w:cs="Times New Roman"/>
                <w:b/>
                <w:bCs/>
                <w:color w:val="000000" w:themeColor="text1"/>
                <w:szCs w:val="20"/>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环评手续</w:t>
            </w:r>
          </w:p>
        </w:tc>
        <w:tc>
          <w:tcPr>
            <w:tcW w:w="675" w:type="pct"/>
            <w:noWrap w:val="0"/>
            <w:vAlign w:val="center"/>
          </w:tcPr>
          <w:p w14:paraId="74820B54">
            <w:pPr>
              <w:pStyle w:val="607"/>
              <w:keepNext w:val="0"/>
              <w:keepLines w:val="0"/>
              <w:suppressLineNumbers w:val="0"/>
              <w:adjustRightInd/>
              <w:snapToGrid/>
              <w:spacing w:before="0" w:beforeAutospacing="0" w:after="0" w:afterAutospacing="0" w:line="240" w:lineRule="auto"/>
              <w:ind w:left="0" w:right="0"/>
              <w:rPr>
                <w:rFonts w:hint="default" w:ascii="Times New Roman" w:hAnsi="Times New Roman" w:cs="Times New Roman"/>
                <w:b/>
                <w:bCs/>
                <w:color w:val="000000" w:themeColor="text1"/>
                <w:szCs w:val="20"/>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竣工环境保护验收</w:t>
            </w:r>
          </w:p>
        </w:tc>
        <w:tc>
          <w:tcPr>
            <w:tcW w:w="940" w:type="pct"/>
            <w:noWrap w:val="0"/>
            <w:vAlign w:val="center"/>
          </w:tcPr>
          <w:p w14:paraId="5FDCCBB9">
            <w:pPr>
              <w:pStyle w:val="607"/>
              <w:keepNext w:val="0"/>
              <w:keepLines w:val="0"/>
              <w:suppressLineNumbers w:val="0"/>
              <w:adjustRightInd/>
              <w:snapToGrid/>
              <w:spacing w:before="0" w:beforeAutospacing="0" w:after="0" w:afterAutospacing="0" w:line="240" w:lineRule="auto"/>
              <w:ind w:left="0" w:right="0"/>
              <w:rPr>
                <w:rFonts w:hint="default" w:ascii="Times New Roman" w:hAnsi="Times New Roman" w:cs="Times New Roman"/>
                <w:b/>
                <w:bCs/>
                <w:color w:val="000000" w:themeColor="text1"/>
                <w:szCs w:val="20"/>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生产情况</w:t>
            </w:r>
          </w:p>
        </w:tc>
      </w:tr>
      <w:tr w14:paraId="7DCB7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9" w:type="pct"/>
            <w:noWrap w:val="0"/>
            <w:vAlign w:val="center"/>
          </w:tcPr>
          <w:p w14:paraId="352957EF">
            <w:pPr>
              <w:pStyle w:val="607"/>
              <w:keepNext w:val="0"/>
              <w:keepLines w:val="0"/>
              <w:suppressLineNumbers w:val="0"/>
              <w:adjustRightInd/>
              <w:snapToGrid/>
              <w:spacing w:before="0" w:beforeAutospacing="0" w:after="0" w:afterAutospacing="0" w:line="240" w:lineRule="auto"/>
              <w:ind w:left="0" w:right="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031" w:type="pct"/>
            <w:noWrap w:val="0"/>
            <w:vAlign w:val="center"/>
          </w:tcPr>
          <w:p w14:paraId="560553C2">
            <w:pPr>
              <w:pStyle w:val="607"/>
              <w:keepNext w:val="0"/>
              <w:keepLines w:val="0"/>
              <w:suppressLineNumbers w:val="0"/>
              <w:adjustRightInd/>
              <w:snapToGrid/>
              <w:spacing w:before="0" w:beforeAutospacing="0" w:after="0" w:afterAutospacing="0" w:line="240" w:lineRule="auto"/>
              <w:ind w:left="0" w:right="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lang w:eastAsia="zh-CN"/>
                <w14:textFill>
                  <w14:solidFill>
                    <w14:schemeClr w14:val="tx1"/>
                  </w14:solidFill>
                </w14:textFill>
              </w:rPr>
              <w:t>哈密市西成矿业有限责任公司</w:t>
            </w:r>
            <w:r>
              <w:rPr>
                <w:rFonts w:hint="default" w:ascii="Times New Roman" w:hAnsi="Times New Roman" w:cs="Times New Roman"/>
                <w:color w:val="000000" w:themeColor="text1"/>
                <w:szCs w:val="20"/>
                <w:lang w:val="en-US" w:eastAsia="zh-CN"/>
                <w14:textFill>
                  <w14:solidFill>
                    <w14:schemeClr w14:val="tx1"/>
                  </w14:solidFill>
                </w14:textFill>
              </w:rPr>
              <w:t>M1033矿年产30万吨铁矿采矿建设项目</w:t>
            </w:r>
          </w:p>
        </w:tc>
        <w:tc>
          <w:tcPr>
            <w:tcW w:w="2072" w:type="pct"/>
            <w:noWrap w:val="0"/>
            <w:vAlign w:val="center"/>
          </w:tcPr>
          <w:p w14:paraId="79D3C232">
            <w:pPr>
              <w:pStyle w:val="607"/>
              <w:keepNext w:val="0"/>
              <w:keepLines w:val="0"/>
              <w:suppressLineNumbers w:val="0"/>
              <w:adjustRightInd/>
              <w:snapToGrid/>
              <w:spacing w:before="0" w:beforeAutospacing="0" w:after="0" w:afterAutospacing="0" w:line="240" w:lineRule="auto"/>
              <w:ind w:left="0" w:right="0"/>
              <w:rPr>
                <w:rFonts w:hint="default" w:ascii="Times New Roman" w:hAnsi="Times New Roman" w:cs="Times New Roman"/>
                <w:color w:val="000000" w:themeColor="text1"/>
                <w:szCs w:val="20"/>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2006年9月20日，取得《关于</w:t>
            </w:r>
            <w:r>
              <w:rPr>
                <w:rFonts w:hint="eastAsia" w:ascii="Times New Roman" w:hAnsi="Times New Roman" w:cs="Times New Roman"/>
                <w:color w:val="000000" w:themeColor="text1"/>
                <w:szCs w:val="20"/>
                <w:lang w:eastAsia="zh-CN"/>
                <w14:textFill>
                  <w14:solidFill>
                    <w14:schemeClr w14:val="tx1"/>
                  </w14:solidFill>
                </w14:textFill>
              </w:rPr>
              <w:t>哈密市西成矿业有限责任公司</w:t>
            </w:r>
            <w:r>
              <w:rPr>
                <w:rFonts w:hint="eastAsia" w:ascii="Times New Roman" w:hAnsi="Times New Roman" w:cs="Times New Roman"/>
                <w:color w:val="000000" w:themeColor="text1"/>
                <w:szCs w:val="20"/>
                <w:lang w:val="en-US" w:eastAsia="zh-CN"/>
                <w14:textFill>
                  <w14:solidFill>
                    <w14:schemeClr w14:val="tx1"/>
                  </w14:solidFill>
                </w14:textFill>
              </w:rPr>
              <w:t>M1033矿年产30万吨铁矿采矿建设项目</w:t>
            </w:r>
            <w:r>
              <w:rPr>
                <w:rFonts w:hint="eastAsia" w:ascii="Times New Roman" w:hAnsi="Times New Roman" w:cs="Times New Roman"/>
                <w:color w:val="000000" w:themeColor="text1"/>
                <w:szCs w:val="20"/>
                <w14:textFill>
                  <w14:solidFill>
                    <w14:schemeClr w14:val="tx1"/>
                  </w14:solidFill>
                </w14:textFill>
              </w:rPr>
              <w:t>环境影响报告表的批复》（哈地环审批字〔2006〕</w:t>
            </w:r>
            <w:r>
              <w:rPr>
                <w:rFonts w:hint="eastAsia" w:ascii="Times New Roman" w:hAnsi="Times New Roman" w:cs="Times New Roman"/>
                <w:color w:val="000000" w:themeColor="text1"/>
                <w:szCs w:val="20"/>
                <w:lang w:val="en-US" w:eastAsia="zh-CN"/>
                <w14:textFill>
                  <w14:solidFill>
                    <w14:schemeClr w14:val="tx1"/>
                  </w14:solidFill>
                </w14:textFill>
              </w:rPr>
              <w:t>3</w:t>
            </w:r>
            <w:r>
              <w:rPr>
                <w:rFonts w:hint="eastAsia" w:ascii="Times New Roman" w:hAnsi="Times New Roman" w:cs="Times New Roman"/>
                <w:color w:val="000000" w:themeColor="text1"/>
                <w:szCs w:val="20"/>
                <w14:textFill>
                  <w14:solidFill>
                    <w14:schemeClr w14:val="tx1"/>
                  </w14:solidFill>
                </w14:textFill>
              </w:rPr>
              <w:t>号）</w:t>
            </w:r>
          </w:p>
        </w:tc>
        <w:tc>
          <w:tcPr>
            <w:tcW w:w="675" w:type="pct"/>
            <w:noWrap w:val="0"/>
            <w:vAlign w:val="center"/>
          </w:tcPr>
          <w:p w14:paraId="0BE99CD3">
            <w:pPr>
              <w:pStyle w:val="607"/>
              <w:keepNext w:val="0"/>
              <w:keepLines w:val="0"/>
              <w:suppressLineNumbers w:val="0"/>
              <w:adjustRightInd/>
              <w:snapToGrid/>
              <w:spacing w:before="0" w:beforeAutospacing="0" w:after="0" w:afterAutospacing="0" w:line="240" w:lineRule="auto"/>
              <w:ind w:left="0" w:leftChars="0" w:right="0" w:rightChars="0"/>
              <w:rPr>
                <w:rFonts w:hint="eastAsia" w:ascii="Times New Roman" w:hAnsi="Times New Roman" w:cs="Times New Roman"/>
                <w:color w:val="000000" w:themeColor="text1"/>
                <w:szCs w:val="20"/>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未验收</w:t>
            </w:r>
          </w:p>
        </w:tc>
        <w:tc>
          <w:tcPr>
            <w:tcW w:w="940" w:type="pct"/>
            <w:noWrap w:val="0"/>
            <w:vAlign w:val="center"/>
          </w:tcPr>
          <w:p w14:paraId="08F2FED0">
            <w:pPr>
              <w:pStyle w:val="607"/>
              <w:keepNext w:val="0"/>
              <w:keepLines w:val="0"/>
              <w:suppressLineNumbers w:val="0"/>
              <w:adjustRightInd/>
              <w:snapToGrid/>
              <w:spacing w:before="0" w:beforeAutospacing="0" w:after="0" w:afterAutospacing="0" w:line="240" w:lineRule="auto"/>
              <w:ind w:left="0" w:leftChars="0" w:right="0" w:rightChars="0"/>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仅进行试生产，未投产运行</w:t>
            </w:r>
            <w:r>
              <w:rPr>
                <w:rFonts w:hint="eastAsia" w:cs="Times New Roman"/>
                <w:color w:val="000000" w:themeColor="text1"/>
                <w:szCs w:val="20"/>
                <w:lang w:eastAsia="zh-CN"/>
                <w14:textFill>
                  <w14:solidFill>
                    <w14:schemeClr w14:val="tx1"/>
                  </w14:solidFill>
                </w14:textFill>
              </w:rPr>
              <w:t>。</w:t>
            </w:r>
            <w:r>
              <w:rPr>
                <w:rFonts w:hint="eastAsia" w:cs="Times New Roman"/>
                <w:color w:val="000000" w:themeColor="text1"/>
                <w:szCs w:val="20"/>
                <w:lang w:val="en-US" w:eastAsia="zh-CN"/>
                <w14:textFill>
                  <w14:solidFill>
                    <w14:schemeClr w14:val="tx1"/>
                  </w14:solidFill>
                </w14:textFill>
              </w:rPr>
              <w:t>企业拟按照重大变动重新报批项目环评。</w:t>
            </w:r>
          </w:p>
        </w:tc>
      </w:tr>
      <w:tr w14:paraId="092FD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9" w:type="pct"/>
            <w:noWrap w:val="0"/>
            <w:vAlign w:val="center"/>
          </w:tcPr>
          <w:p w14:paraId="7A2B452E">
            <w:pPr>
              <w:pStyle w:val="607"/>
              <w:keepNext w:val="0"/>
              <w:keepLines w:val="0"/>
              <w:suppressLineNumbers w:val="0"/>
              <w:adjustRightInd/>
              <w:snapToGrid/>
              <w:spacing w:before="0" w:beforeAutospacing="0" w:after="0" w:afterAutospacing="0" w:line="240" w:lineRule="auto"/>
              <w:ind w:left="0" w:right="0"/>
              <w:rPr>
                <w:rFonts w:hint="eastAsia" w:ascii="Times New Roman" w:hAnsi="Times New Roman" w:eastAsia="宋体" w:cs="Times New Roman"/>
                <w:color w:val="000000" w:themeColor="text1"/>
                <w:lang w:val="en-US" w:eastAsia="zh-CN"/>
                <w14:textFill>
                  <w14:solidFill>
                    <w14:schemeClr w14:val="tx1"/>
                  </w14:solidFill>
                </w14:textFill>
              </w:rPr>
            </w:pPr>
            <w:bookmarkStart w:id="278" w:name="_Toc21989"/>
            <w:r>
              <w:rPr>
                <w:rFonts w:hint="eastAsia" w:cs="Times New Roman"/>
                <w:color w:val="000000" w:themeColor="text1"/>
                <w:lang w:val="en-US" w:eastAsia="zh-CN"/>
                <w14:textFill>
                  <w14:solidFill>
                    <w14:schemeClr w14:val="tx1"/>
                  </w14:solidFill>
                </w14:textFill>
              </w:rPr>
              <w:t>2</w:t>
            </w:r>
          </w:p>
        </w:tc>
        <w:tc>
          <w:tcPr>
            <w:tcW w:w="1031" w:type="pct"/>
            <w:noWrap w:val="0"/>
            <w:vAlign w:val="center"/>
          </w:tcPr>
          <w:p w14:paraId="2170597E">
            <w:pPr>
              <w:pStyle w:val="607"/>
              <w:keepNext w:val="0"/>
              <w:keepLines w:val="0"/>
              <w:suppressLineNumbers w:val="0"/>
              <w:adjustRightInd/>
              <w:snapToGrid/>
              <w:spacing w:before="0" w:beforeAutospacing="0" w:after="0" w:afterAutospacing="0" w:line="240" w:lineRule="auto"/>
              <w:ind w:left="0" w:leftChars="0" w:right="0" w:rightChars="0"/>
              <w:rPr>
                <w:rFonts w:hint="eastAsia" w:ascii="Times New Roman" w:hAnsi="Times New Roman" w:cs="Times New Roman"/>
                <w:color w:val="000000" w:themeColor="text1"/>
                <w:szCs w:val="20"/>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哈密市西成矿业有限责任公司年产30万吨铁精粉建设项目</w:t>
            </w:r>
          </w:p>
        </w:tc>
        <w:tc>
          <w:tcPr>
            <w:tcW w:w="2072" w:type="pct"/>
            <w:noWrap w:val="0"/>
            <w:vAlign w:val="center"/>
          </w:tcPr>
          <w:p w14:paraId="51F63C60">
            <w:pPr>
              <w:pStyle w:val="607"/>
              <w:keepNext w:val="0"/>
              <w:keepLines w:val="0"/>
              <w:suppressLineNumbers w:val="0"/>
              <w:adjustRightInd/>
              <w:snapToGrid/>
              <w:spacing w:before="0" w:beforeAutospacing="0" w:after="0" w:afterAutospacing="0" w:line="240" w:lineRule="auto"/>
              <w:ind w:left="0" w:leftChars="0" w:right="0" w:rightChars="0"/>
              <w:rPr>
                <w:rFonts w:hint="eastAsia" w:ascii="Times New Roman" w:hAnsi="Times New Roman" w:cs="Times New Roman"/>
                <w:color w:val="000000" w:themeColor="text1"/>
                <w:szCs w:val="20"/>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2006年9月20日，取得《关于哈密市西成矿业有限责任公司年产30万吨铁精粉建设项目环境影响报告表的批复》（哈地环审批字〔2006〕</w:t>
            </w:r>
            <w:r>
              <w:rPr>
                <w:rFonts w:hint="eastAsia" w:ascii="Times New Roman" w:hAnsi="Times New Roman" w:cs="Times New Roman"/>
                <w:color w:val="000000" w:themeColor="text1"/>
                <w:szCs w:val="20"/>
                <w:lang w:val="en-US" w:eastAsia="zh-CN"/>
                <w14:textFill>
                  <w14:solidFill>
                    <w14:schemeClr w14:val="tx1"/>
                  </w14:solidFill>
                </w14:textFill>
              </w:rPr>
              <w:t>4</w:t>
            </w:r>
            <w:r>
              <w:rPr>
                <w:rFonts w:hint="eastAsia" w:ascii="Times New Roman" w:hAnsi="Times New Roman" w:cs="Times New Roman"/>
                <w:color w:val="000000" w:themeColor="text1"/>
                <w:szCs w:val="20"/>
                <w14:textFill>
                  <w14:solidFill>
                    <w14:schemeClr w14:val="tx1"/>
                  </w14:solidFill>
                </w14:textFill>
              </w:rPr>
              <w:t>号）</w:t>
            </w:r>
          </w:p>
        </w:tc>
        <w:tc>
          <w:tcPr>
            <w:tcW w:w="675" w:type="pct"/>
            <w:noWrap w:val="0"/>
            <w:vAlign w:val="center"/>
          </w:tcPr>
          <w:p w14:paraId="2FC6D555">
            <w:pPr>
              <w:pStyle w:val="607"/>
              <w:keepNext w:val="0"/>
              <w:keepLines w:val="0"/>
              <w:suppressLineNumbers w:val="0"/>
              <w:adjustRightInd/>
              <w:snapToGrid/>
              <w:spacing w:before="0" w:beforeAutospacing="0" w:after="0" w:afterAutospacing="0" w:line="240" w:lineRule="auto"/>
              <w:ind w:left="0" w:leftChars="0" w:right="0" w:rightChars="0"/>
              <w:rPr>
                <w:rFonts w:hint="eastAsia" w:ascii="Times New Roman" w:hAnsi="Times New Roman" w:cs="Times New Roman"/>
                <w:color w:val="000000" w:themeColor="text1"/>
                <w:szCs w:val="20"/>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未验收</w:t>
            </w:r>
          </w:p>
        </w:tc>
        <w:tc>
          <w:tcPr>
            <w:tcW w:w="940" w:type="pct"/>
            <w:noWrap w:val="0"/>
            <w:vAlign w:val="center"/>
          </w:tcPr>
          <w:p w14:paraId="004B1CF2">
            <w:pPr>
              <w:pStyle w:val="607"/>
              <w:keepNext w:val="0"/>
              <w:keepLines w:val="0"/>
              <w:suppressLineNumbers w:val="0"/>
              <w:adjustRightInd/>
              <w:snapToGrid/>
              <w:spacing w:before="0" w:beforeAutospacing="0" w:after="0" w:afterAutospacing="0" w:line="240" w:lineRule="auto"/>
              <w:ind w:left="0" w:leftChars="0" w:right="0" w:rightChars="0"/>
              <w:rPr>
                <w:rFonts w:hint="eastAsia" w:ascii="Times New Roman" w:hAnsi="Times New Roman" w:cs="Times New Roman"/>
                <w:color w:val="000000" w:themeColor="text1"/>
                <w:szCs w:val="20"/>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仅进行试生产，未投产运行</w:t>
            </w:r>
            <w:r>
              <w:rPr>
                <w:rFonts w:hint="eastAsia" w:cs="Times New Roman"/>
                <w:color w:val="000000" w:themeColor="text1"/>
                <w:szCs w:val="20"/>
                <w:lang w:eastAsia="zh-CN"/>
                <w14:textFill>
                  <w14:solidFill>
                    <w14:schemeClr w14:val="tx1"/>
                  </w14:solidFill>
                </w14:textFill>
              </w:rPr>
              <w:t>。</w:t>
            </w:r>
            <w:r>
              <w:rPr>
                <w:rFonts w:hint="eastAsia" w:cs="Times New Roman"/>
                <w:color w:val="000000" w:themeColor="text1"/>
                <w:szCs w:val="20"/>
                <w:lang w:val="en-US" w:eastAsia="zh-CN"/>
                <w14:textFill>
                  <w14:solidFill>
                    <w14:schemeClr w14:val="tx1"/>
                  </w14:solidFill>
                </w14:textFill>
              </w:rPr>
              <w:t>因项目停产，现不具备验收条件。</w:t>
            </w:r>
          </w:p>
        </w:tc>
      </w:tr>
    </w:tbl>
    <w:p w14:paraId="12BB61B2">
      <w:pPr>
        <w:pStyle w:val="4"/>
        <w:spacing w:before="60" w:after="60" w:line="480" w:lineRule="exact"/>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1.2</w:t>
      </w:r>
      <w:r>
        <w:rPr>
          <w:rFonts w:hint="eastAsia"/>
          <w:color w:val="000000" w:themeColor="text1"/>
          <w:kern w:val="2"/>
          <w14:textFill>
            <w14:solidFill>
              <w14:schemeClr w14:val="tx1"/>
            </w14:solidFill>
          </w14:textFill>
        </w:rPr>
        <w:t>现有工程基本情况</w:t>
      </w:r>
      <w:bookmarkEnd w:id="278"/>
    </w:p>
    <w:p w14:paraId="47E96EB9">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哈密市西成矿业有限责任公司新疆哈密市M1033铁矿</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km范围内有3</w:t>
      </w:r>
      <w:r>
        <w:rPr>
          <w:rFonts w:hint="eastAsia"/>
          <w:color w:val="000000" w:themeColor="text1"/>
          <w:sz w:val="24"/>
          <w:szCs w:val="24"/>
          <w:lang w:val="en-US" w:eastAsia="zh-CN"/>
          <w14:textFill>
            <w14:solidFill>
              <w14:schemeClr w14:val="tx1"/>
            </w14:solidFill>
          </w14:textFill>
        </w:rPr>
        <w:t>座</w:t>
      </w:r>
      <w:r>
        <w:rPr>
          <w:rFonts w:hint="eastAsia"/>
          <w:color w:val="000000" w:themeColor="text1"/>
          <w:sz w:val="24"/>
          <w:szCs w:val="24"/>
          <w14:textFill>
            <w14:solidFill>
              <w14:schemeClr w14:val="tx1"/>
            </w14:solidFill>
          </w14:textFill>
        </w:rPr>
        <w:t>矿山分布，均分布于矿山东侧，自西向东分别是新疆哈密市M</w:t>
      </w:r>
      <w:r>
        <w:rPr>
          <w:color w:val="000000" w:themeColor="text1"/>
          <w:sz w:val="24"/>
          <w:szCs w:val="24"/>
          <w14:textFill>
            <w14:solidFill>
              <w14:schemeClr w14:val="tx1"/>
            </w14:solidFill>
          </w14:textFill>
        </w:rPr>
        <w:t>1033</w:t>
      </w:r>
      <w:r>
        <w:rPr>
          <w:rFonts w:hint="eastAsia"/>
          <w:color w:val="000000" w:themeColor="text1"/>
          <w:sz w:val="24"/>
          <w:szCs w:val="24"/>
          <w14:textFill>
            <w14:solidFill>
              <w14:schemeClr w14:val="tx1"/>
            </w14:solidFill>
          </w14:textFill>
        </w:rPr>
        <w:t>铁矿西矿区铁矿、哈密市宏盛矿业有限责任公司新疆哈密M</w:t>
      </w:r>
      <w:r>
        <w:rPr>
          <w:color w:val="000000" w:themeColor="text1"/>
          <w:sz w:val="24"/>
          <w:szCs w:val="24"/>
          <w14:textFill>
            <w14:solidFill>
              <w14:schemeClr w14:val="tx1"/>
            </w14:solidFill>
          </w14:textFill>
        </w:rPr>
        <w:t>1033</w:t>
      </w:r>
      <w:r>
        <w:rPr>
          <w:rFonts w:hint="eastAsia"/>
          <w:color w:val="000000" w:themeColor="text1"/>
          <w:sz w:val="24"/>
          <w:szCs w:val="24"/>
          <w14:textFill>
            <w14:solidFill>
              <w14:schemeClr w14:val="tx1"/>
            </w14:solidFill>
          </w14:textFill>
        </w:rPr>
        <w:t>铁矿、哈密市龙诚工贸有限责任公司新疆哈密M</w:t>
      </w:r>
      <w:r>
        <w:rPr>
          <w:color w:val="000000" w:themeColor="text1"/>
          <w:sz w:val="24"/>
          <w:szCs w:val="24"/>
          <w14:textFill>
            <w14:solidFill>
              <w14:schemeClr w14:val="tx1"/>
            </w14:solidFill>
          </w14:textFill>
        </w:rPr>
        <w:t>1033</w:t>
      </w:r>
      <w:r>
        <w:rPr>
          <w:rFonts w:hint="eastAsia"/>
          <w:color w:val="000000" w:themeColor="text1"/>
          <w:sz w:val="24"/>
          <w:szCs w:val="24"/>
          <w14:textFill>
            <w14:solidFill>
              <w14:schemeClr w14:val="tx1"/>
            </w14:solidFill>
          </w14:textFill>
        </w:rPr>
        <w:t>铁矿东矿（M</w:t>
      </w:r>
      <w:r>
        <w:rPr>
          <w:color w:val="000000" w:themeColor="text1"/>
          <w:sz w:val="24"/>
          <w:szCs w:val="24"/>
          <w14:textFill>
            <w14:solidFill>
              <w14:schemeClr w14:val="tx1"/>
            </w14:solidFill>
          </w14:textFill>
        </w:rPr>
        <w:t>1053</w:t>
      </w:r>
      <w:r>
        <w:rPr>
          <w:rFonts w:hint="eastAsia"/>
          <w:color w:val="000000" w:themeColor="text1"/>
          <w:sz w:val="24"/>
          <w:szCs w:val="24"/>
          <w14:textFill>
            <w14:solidFill>
              <w14:schemeClr w14:val="tx1"/>
            </w14:solidFill>
          </w14:textFill>
        </w:rPr>
        <w:t>、M</w:t>
      </w:r>
      <w:r>
        <w:rPr>
          <w:color w:val="000000" w:themeColor="text1"/>
          <w:sz w:val="24"/>
          <w:szCs w:val="24"/>
          <w14:textFill>
            <w14:solidFill>
              <w14:schemeClr w14:val="tx1"/>
            </w14:solidFill>
          </w14:textFill>
        </w:rPr>
        <w:t>1035</w:t>
      </w:r>
      <w:r>
        <w:rPr>
          <w:rFonts w:hint="eastAsia"/>
          <w:color w:val="000000" w:themeColor="text1"/>
          <w:sz w:val="24"/>
          <w:szCs w:val="24"/>
          <w14:textFill>
            <w14:solidFill>
              <w14:schemeClr w14:val="tx1"/>
            </w14:solidFill>
          </w14:textFill>
        </w:rPr>
        <w:t>）。周边矿山分布位置关系见图3</w:t>
      </w:r>
      <w:r>
        <w:rPr>
          <w:color w:val="000000" w:themeColor="text1"/>
          <w:sz w:val="24"/>
          <w:szCs w:val="24"/>
          <w14:textFill>
            <w14:solidFill>
              <w14:schemeClr w14:val="tx1"/>
            </w14:solidFill>
          </w14:textFill>
        </w:rPr>
        <w:t>.1-1</w:t>
      </w:r>
      <w:r>
        <w:rPr>
          <w:rFonts w:hint="eastAsia"/>
          <w:color w:val="000000" w:themeColor="text1"/>
          <w:sz w:val="24"/>
          <w:szCs w:val="24"/>
          <w14:textFill>
            <w14:solidFill>
              <w14:schemeClr w14:val="tx1"/>
            </w14:solidFill>
          </w14:textFill>
        </w:rPr>
        <w:t>。</w:t>
      </w:r>
    </w:p>
    <w:p w14:paraId="47EB0F57">
      <w:pPr>
        <w:rPr>
          <w:b/>
          <w:color w:val="000000" w:themeColor="text1"/>
          <w14:textFill>
            <w14:solidFill>
              <w14:schemeClr w14:val="tx1"/>
            </w14:solidFill>
          </w14:textFill>
        </w:rPr>
      </w:pPr>
    </w:p>
    <w:p w14:paraId="50969BC0">
      <w:pPr>
        <w:rPr>
          <w:b/>
          <w:color w:val="000000" w:themeColor="text1"/>
          <w14:textFill>
            <w14:solidFill>
              <w14:schemeClr w14:val="tx1"/>
            </w14:solidFill>
          </w14:textFill>
        </w:rPr>
      </w:pPr>
    </w:p>
    <w:p w14:paraId="45689507">
      <w:pPr>
        <w:rPr>
          <w:b/>
          <w:color w:val="000000" w:themeColor="text1"/>
          <w14:textFill>
            <w14:solidFill>
              <w14:schemeClr w14:val="tx1"/>
            </w14:solidFill>
          </w14:textFill>
        </w:rPr>
      </w:pPr>
    </w:p>
    <w:p w14:paraId="4CCA2C3E">
      <w:pPr>
        <w:rPr>
          <w:b/>
          <w:color w:val="000000" w:themeColor="text1"/>
          <w14:textFill>
            <w14:solidFill>
              <w14:schemeClr w14:val="tx1"/>
            </w14:solidFill>
          </w14:textFill>
        </w:rPr>
      </w:pPr>
    </w:p>
    <w:p w14:paraId="255F2A4C">
      <w:pPr>
        <w:rPr>
          <w:b/>
          <w:color w:val="000000" w:themeColor="text1"/>
          <w14:textFill>
            <w14:solidFill>
              <w14:schemeClr w14:val="tx1"/>
            </w14:solidFill>
          </w14:textFill>
        </w:rPr>
      </w:pPr>
    </w:p>
    <w:p w14:paraId="088A0227">
      <w:pPr>
        <w:rPr>
          <w:b/>
          <w:color w:val="000000" w:themeColor="text1"/>
          <w14:textFill>
            <w14:solidFill>
              <w14:schemeClr w14:val="tx1"/>
            </w14:solidFill>
          </w14:textFill>
        </w:rPr>
      </w:pPr>
    </w:p>
    <w:p w14:paraId="3D10DF7F">
      <w:pPr>
        <w:rPr>
          <w:b/>
          <w:color w:val="000000" w:themeColor="text1"/>
          <w14:textFill>
            <w14:solidFill>
              <w14:schemeClr w14:val="tx1"/>
            </w14:solidFill>
          </w14:textFill>
        </w:rPr>
      </w:pPr>
    </w:p>
    <w:p w14:paraId="421C5C47">
      <w:pPr>
        <w:rPr>
          <w:b/>
          <w:color w:val="000000" w:themeColor="text1"/>
          <w14:textFill>
            <w14:solidFill>
              <w14:schemeClr w14:val="tx1"/>
            </w14:solidFill>
          </w14:textFill>
        </w:rPr>
      </w:pPr>
    </w:p>
    <w:p w14:paraId="3D418A69">
      <w:pPr>
        <w:rPr>
          <w:b/>
          <w:color w:val="000000" w:themeColor="text1"/>
          <w14:textFill>
            <w14:solidFill>
              <w14:schemeClr w14:val="tx1"/>
            </w14:solidFill>
          </w14:textFill>
        </w:rPr>
      </w:pPr>
    </w:p>
    <w:p w14:paraId="20A5B25B">
      <w:pPr>
        <w:rPr>
          <w:b/>
          <w:color w:val="000000" w:themeColor="text1"/>
          <w14:textFill>
            <w14:solidFill>
              <w14:schemeClr w14:val="tx1"/>
            </w14:solidFill>
          </w14:textFill>
        </w:rPr>
      </w:pPr>
    </w:p>
    <w:p w14:paraId="500CB617">
      <w:pPr>
        <w:rPr>
          <w:b/>
          <w:color w:val="000000" w:themeColor="text1"/>
          <w14:textFill>
            <w14:solidFill>
              <w14:schemeClr w14:val="tx1"/>
            </w14:solidFill>
          </w14:textFill>
        </w:rPr>
      </w:pPr>
    </w:p>
    <w:p w14:paraId="5E0D71F7">
      <w:pPr>
        <w:spacing w:line="480" w:lineRule="exact"/>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图3</w:t>
      </w:r>
      <w:r>
        <w:rPr>
          <w:b/>
          <w:color w:val="000000" w:themeColor="text1"/>
          <w:sz w:val="24"/>
          <w:szCs w:val="24"/>
          <w14:textFill>
            <w14:solidFill>
              <w14:schemeClr w14:val="tx1"/>
            </w14:solidFill>
          </w14:textFill>
        </w:rPr>
        <w:t xml:space="preserve">.1-1    </w:t>
      </w:r>
      <w:r>
        <w:rPr>
          <w:rFonts w:hint="eastAsia"/>
          <w:b/>
          <w:color w:val="000000" w:themeColor="text1"/>
          <w:sz w:val="24"/>
          <w:szCs w:val="24"/>
          <w14:textFill>
            <w14:solidFill>
              <w14:schemeClr w14:val="tx1"/>
            </w14:solidFill>
          </w14:textFill>
        </w:rPr>
        <w:t>相邻矿山位置关系图</w:t>
      </w:r>
    </w:p>
    <w:p w14:paraId="07F629F2">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.1.2.1</w:t>
      </w:r>
      <w:r>
        <w:rPr>
          <w:rFonts w:hint="eastAsia" w:ascii="Times New Roman" w:hAnsi="Times New Roman"/>
          <w:bCs w:val="0"/>
          <w:color w:val="000000" w:themeColor="text1"/>
          <w:kern w:val="2"/>
          <w:szCs w:val="24"/>
          <w14:textFill>
            <w14:solidFill>
              <w14:schemeClr w14:val="tx1"/>
            </w14:solidFill>
          </w14:textFill>
        </w:rPr>
        <w:t>矿山开采历史</w:t>
      </w:r>
    </w:p>
    <w:p w14:paraId="092F31EF">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001</w:t>
      </w:r>
      <w:r>
        <w:rPr>
          <w:rFonts w:hint="eastAsia"/>
          <w:color w:val="000000" w:themeColor="text1"/>
          <w:sz w:val="24"/>
          <w:szCs w:val="24"/>
          <w14:textFill>
            <w14:solidFill>
              <w14:schemeClr w14:val="tx1"/>
            </w14:solidFill>
          </w14:textFill>
        </w:rPr>
        <w:t>年，矿区西部设有探井6口，分别为1、2、3、4、5、6号探井，其中2、4、5、6号井均没有见矿，1号井、3号井见矿1-5号矿体。2</w:t>
      </w:r>
      <w:r>
        <w:rPr>
          <w:color w:val="000000" w:themeColor="text1"/>
          <w:sz w:val="24"/>
          <w:szCs w:val="24"/>
          <w14:textFill>
            <w14:solidFill>
              <w14:schemeClr w14:val="tx1"/>
            </w14:solidFill>
          </w14:textFill>
        </w:rPr>
        <w:t>010</w:t>
      </w:r>
      <w:r>
        <w:rPr>
          <w:rFonts w:hint="eastAsia"/>
          <w:color w:val="000000" w:themeColor="text1"/>
          <w:sz w:val="24"/>
          <w:szCs w:val="24"/>
          <w14:textFill>
            <w14:solidFill>
              <w14:schemeClr w14:val="tx1"/>
            </w14:solidFill>
          </w14:textFill>
        </w:rPr>
        <w:t>年，西成矿业对矿山6口探井全部进行了回填治理。地面设施全部拆除清理，对地面进行了平整处理。</w:t>
      </w:r>
    </w:p>
    <w:p w14:paraId="0A6741A1">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001</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007</w:t>
      </w:r>
      <w:r>
        <w:rPr>
          <w:rFonts w:hint="eastAsia"/>
          <w:color w:val="000000" w:themeColor="text1"/>
          <w:sz w:val="24"/>
          <w:szCs w:val="24"/>
          <w14:textFill>
            <w14:solidFill>
              <w14:schemeClr w14:val="tx1"/>
            </w14:solidFill>
          </w14:textFill>
        </w:rPr>
        <w:t>年6月30日，矿山完成了部分地面设施及地下巷道等设施的建设工程，采用竖井开拓，主、副井已经开拓至1030m水平，完成了1187m、1144m、1080m、1030m中段水平的开拓工程，现状1187m中段因维护不及时，巷道坍塌严重，已无法进入。</w:t>
      </w:r>
    </w:p>
    <w:p w14:paraId="4655AAD0">
      <w:pPr>
        <w:spacing w:line="480" w:lineRule="exact"/>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2007年以前矿山共动用</w:t>
      </w:r>
      <w:r>
        <w:rPr>
          <w:rFonts w:hint="eastAsia"/>
          <w:color w:val="000000" w:themeColor="text1"/>
          <w:sz w:val="24"/>
          <w:szCs w:val="24"/>
          <w14:textFill>
            <w14:solidFill>
              <w14:schemeClr w14:val="tx1"/>
            </w14:solidFill>
          </w14:textFill>
        </w:rPr>
        <w:t>矿石量</w:t>
      </w:r>
      <w:r>
        <w:rPr>
          <w:rFonts w:hint="eastAsia"/>
          <w:color w:val="000000" w:themeColor="text1"/>
          <w:sz w:val="24"/>
          <w:szCs w:val="24"/>
          <w:lang w:val="en-US" w:eastAsia="zh-CN"/>
          <w14:textFill>
            <w14:solidFill>
              <w14:schemeClr w14:val="tx1"/>
            </w14:solidFill>
          </w14:textFill>
        </w:rPr>
        <w:t>191.32万吨</w:t>
      </w:r>
      <w:r>
        <w:rPr>
          <w:rFonts w:hint="eastAsia"/>
          <w:color w:val="000000" w:themeColor="text1"/>
          <w:sz w:val="24"/>
          <w:szCs w:val="24"/>
          <w14:textFill>
            <w14:solidFill>
              <w14:schemeClr w14:val="tx1"/>
            </w14:solidFill>
          </w14:textFill>
        </w:rPr>
        <w:t>。</w:t>
      </w:r>
    </w:p>
    <w:p w14:paraId="709C2C9F">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2008～2012年，矿山处于停产状态。</w:t>
      </w:r>
    </w:p>
    <w:p w14:paraId="744F8114">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w:t>
      </w:r>
      <w:r>
        <w:rPr>
          <w:color w:val="000000" w:themeColor="text1"/>
          <w:sz w:val="24"/>
          <w:szCs w:val="24"/>
          <w14:textFill>
            <w14:solidFill>
              <w14:schemeClr w14:val="tx1"/>
            </w14:solidFill>
          </w14:textFill>
        </w:rPr>
        <w:t>13</w:t>
      </w:r>
      <w:r>
        <w:rPr>
          <w:rFonts w:hint="eastAsia"/>
          <w:color w:val="000000" w:themeColor="text1"/>
          <w:sz w:val="24"/>
          <w:szCs w:val="24"/>
          <w14:textFill>
            <w14:solidFill>
              <w14:schemeClr w14:val="tx1"/>
            </w14:solidFill>
          </w14:textFill>
        </w:rPr>
        <w:t>～2014年，矿山对1144m、1080m、1030m中段做恢复生产前的技术改造及清理工作，其中，三中段1080m标高和四中段1030m标高作为回风巷道使用，同时作为矿山开拓工程进行了基建建设并作为以后采矿巷道对矿体Ⅰ-3、Ⅰ-5、Ⅲ-1号进行采矿；2013～2014年矿山共计动用矿石量53.75万吨。</w:t>
      </w:r>
    </w:p>
    <w:p w14:paraId="394C8E4B">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2015</w:t>
      </w:r>
      <w:r>
        <w:rPr>
          <w:rFonts w:hint="eastAsia"/>
          <w:color w:val="000000" w:themeColor="text1"/>
          <w:sz w:val="24"/>
          <w:szCs w:val="24"/>
          <w14:textFill>
            <w14:solidFill>
              <w14:schemeClr w14:val="tx1"/>
            </w14:solidFill>
          </w14:textFill>
        </w:rPr>
        <w:t>年至今，矿山处于停产状态。</w:t>
      </w:r>
    </w:p>
    <w:p w14:paraId="689226CC">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1.2</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现有工程项目组成</w:t>
      </w:r>
    </w:p>
    <w:p w14:paraId="25813F73">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西成矿业</w:t>
      </w:r>
      <w:r>
        <w:rPr>
          <w:color w:val="000000" w:themeColor="text1"/>
          <w:sz w:val="24"/>
          <w:szCs w:val="24"/>
          <w14:textFill>
            <w14:solidFill>
              <w14:schemeClr w14:val="tx1"/>
            </w14:solidFill>
          </w14:textFill>
        </w:rPr>
        <w:t>M1033</w:t>
      </w:r>
      <w:r>
        <w:rPr>
          <w:rFonts w:hint="eastAsia"/>
          <w:color w:val="000000" w:themeColor="text1"/>
          <w:sz w:val="24"/>
          <w:szCs w:val="24"/>
          <w14:textFill>
            <w14:solidFill>
              <w14:schemeClr w14:val="tx1"/>
            </w14:solidFill>
          </w14:textFill>
        </w:rPr>
        <w:t>铁矿采矿工程200</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年开工，矿山生产规模</w:t>
      </w:r>
      <w:r>
        <w:rPr>
          <w:rFonts w:hint="eastAsia"/>
          <w:color w:val="000000" w:themeColor="text1"/>
          <w:sz w:val="24"/>
          <w:szCs w:val="24"/>
          <w:lang w:val="en-US" w:eastAsia="zh-CN"/>
          <w14:textFill>
            <w14:solidFill>
              <w14:schemeClr w14:val="tx1"/>
            </w14:solidFill>
          </w14:textFill>
        </w:rPr>
        <w:t>30</w:t>
      </w:r>
      <w:r>
        <w:rPr>
          <w:rFonts w:hint="eastAsia"/>
          <w:color w:val="000000" w:themeColor="text1"/>
          <w:sz w:val="24"/>
          <w:szCs w:val="24"/>
          <w14:textFill>
            <w14:solidFill>
              <w14:schemeClr w14:val="tx1"/>
            </w14:solidFill>
          </w14:textFill>
        </w:rPr>
        <w:t>万吨/年，建设规模为“小型矿山”。经现场实地调查，矿山已建工程包括办公生活区、主竖井工业广场、副竖井工业广场、风井场地、矿山选矿厂、粗选破碎厂、矿山尾矿库、爆破器材库、</w:t>
      </w:r>
      <w:r>
        <w:rPr>
          <w:rFonts w:hint="eastAsia"/>
          <w:color w:val="000000" w:themeColor="text1"/>
          <w:sz w:val="24"/>
          <w:szCs w:val="24"/>
          <w:lang w:eastAsia="zh-CN"/>
          <w14:textFill>
            <w14:solidFill>
              <w14:schemeClr w14:val="tx1"/>
            </w14:solidFill>
          </w14:textFill>
        </w:rPr>
        <w:t>废石堆场</w:t>
      </w:r>
      <w:r>
        <w:rPr>
          <w:rFonts w:hint="eastAsia"/>
          <w:color w:val="000000" w:themeColor="text1"/>
          <w:sz w:val="24"/>
          <w:szCs w:val="24"/>
          <w14:textFill>
            <w14:solidFill>
              <w14:schemeClr w14:val="tx1"/>
            </w14:solidFill>
          </w14:textFill>
        </w:rPr>
        <w:t>、辅助生产区、垃圾填埋场、矿区道路。矿区面积1.0401km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，土地类型为其他草地、采矿用地、裸岩石砾地、农村道路。现有工程组成包括主体工程、辅助工程、公用工程、环保工程及储运工程，详见表3.</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。现有工程布局见图3.</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p>
    <w:p w14:paraId="3461C6C7">
      <w:pPr>
        <w:pStyle w:val="999"/>
        <w:spacing w:line="480" w:lineRule="exact"/>
        <w:ind w:firstLine="0" w:firstLineChars="0"/>
        <w:jc w:val="center"/>
        <w:rPr>
          <w:rFonts w:cs="Times New Roman"/>
          <w:b/>
          <w:color w:val="000000" w:themeColor="text1"/>
          <w:szCs w:val="24"/>
          <w:lang w:val="zh-CN"/>
          <w14:textFill>
            <w14:solidFill>
              <w14:schemeClr w14:val="tx1"/>
            </w14:solidFill>
          </w14:textFill>
        </w:rPr>
      </w:pPr>
      <w:r>
        <w:rPr>
          <w:rFonts w:cs="Times New Roman"/>
          <w:b/>
          <w:color w:val="000000" w:themeColor="text1"/>
          <w:szCs w:val="24"/>
          <w:lang w:val="zh-CN"/>
          <w14:textFill>
            <w14:solidFill>
              <w14:schemeClr w14:val="tx1"/>
            </w14:solidFill>
          </w14:textFill>
        </w:rPr>
        <w:t>表</w:t>
      </w:r>
      <w:r>
        <w:rPr>
          <w:rFonts w:hint="eastAsia" w:cs="Times New Roman"/>
          <w:b/>
          <w:color w:val="000000" w:themeColor="text1"/>
          <w:szCs w:val="24"/>
          <w14:textFill>
            <w14:solidFill>
              <w14:schemeClr w14:val="tx1"/>
            </w14:solidFill>
          </w14:textFill>
        </w:rPr>
        <w:t>3</w:t>
      </w:r>
      <w:r>
        <w:rPr>
          <w:rFonts w:cs="Times New Roman"/>
          <w:b/>
          <w:color w:val="000000" w:themeColor="text1"/>
          <w:szCs w:val="24"/>
          <w:lang w:val="zh-CN"/>
          <w14:textFill>
            <w14:solidFill>
              <w14:schemeClr w14:val="tx1"/>
            </w14:solidFill>
          </w14:textFill>
        </w:rPr>
        <w:t>.</w:t>
      </w:r>
      <w:r>
        <w:rPr>
          <w:rFonts w:cs="Times New Roman"/>
          <w:b/>
          <w:color w:val="000000" w:themeColor="text1"/>
          <w:szCs w:val="24"/>
          <w14:textFill>
            <w14:solidFill>
              <w14:schemeClr w14:val="tx1"/>
            </w14:solidFill>
          </w14:textFill>
        </w:rPr>
        <w:t>1</w:t>
      </w:r>
      <w:r>
        <w:rPr>
          <w:rFonts w:cs="Times New Roman"/>
          <w:b/>
          <w:color w:val="000000" w:themeColor="text1"/>
          <w:szCs w:val="24"/>
          <w:lang w:val="zh-CN"/>
          <w14:textFill>
            <w14:solidFill>
              <w14:schemeClr w14:val="tx1"/>
            </w14:solidFill>
          </w14:textFill>
        </w:rPr>
        <w:t>-2</w:t>
      </w:r>
      <w:r>
        <w:rPr>
          <w:rFonts w:cs="Times New Roman"/>
          <w:b/>
          <w:color w:val="000000" w:themeColor="text1"/>
          <w:szCs w:val="24"/>
          <w14:textFill>
            <w14:solidFill>
              <w14:schemeClr w14:val="tx1"/>
            </w14:solidFill>
          </w14:textFill>
        </w:rPr>
        <w:t xml:space="preserve">    现有工程项目组成一览表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1132"/>
        <w:gridCol w:w="6858"/>
      </w:tblGrid>
      <w:tr w14:paraId="1EF39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312" w:type="pct"/>
            <w:noWrap w:val="0"/>
            <w:vAlign w:val="center"/>
          </w:tcPr>
          <w:p w14:paraId="2C6E023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序号</w:t>
            </w:r>
          </w:p>
        </w:tc>
        <w:tc>
          <w:tcPr>
            <w:tcW w:w="664" w:type="pct"/>
            <w:noWrap w:val="0"/>
            <w:vAlign w:val="center"/>
          </w:tcPr>
          <w:p w14:paraId="21982C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名称</w:t>
            </w:r>
          </w:p>
        </w:tc>
        <w:tc>
          <w:tcPr>
            <w:tcW w:w="4023" w:type="pct"/>
            <w:noWrap w:val="0"/>
            <w:vAlign w:val="center"/>
          </w:tcPr>
          <w:p w14:paraId="163F86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建设内容</w:t>
            </w:r>
          </w:p>
        </w:tc>
      </w:tr>
      <w:tr w14:paraId="7540B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13F70E1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一</w:t>
            </w:r>
          </w:p>
        </w:tc>
        <w:tc>
          <w:tcPr>
            <w:tcW w:w="4687" w:type="pct"/>
            <w:gridSpan w:val="2"/>
            <w:noWrap w:val="0"/>
            <w:vAlign w:val="center"/>
          </w:tcPr>
          <w:p w14:paraId="5B61266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主体工程</w:t>
            </w:r>
          </w:p>
        </w:tc>
      </w:tr>
      <w:tr w14:paraId="2D0AD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vMerge w:val="restart"/>
            <w:noWrap w:val="0"/>
            <w:vAlign w:val="center"/>
          </w:tcPr>
          <w:p w14:paraId="3C25C9D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p>
        </w:tc>
        <w:tc>
          <w:tcPr>
            <w:tcW w:w="664" w:type="pct"/>
            <w:vMerge w:val="restart"/>
            <w:noWrap w:val="0"/>
            <w:vAlign w:val="center"/>
          </w:tcPr>
          <w:p w14:paraId="4889FFB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井巷工程</w:t>
            </w:r>
          </w:p>
        </w:tc>
        <w:tc>
          <w:tcPr>
            <w:tcW w:w="4023" w:type="pct"/>
            <w:noWrap w:val="0"/>
            <w:vAlign w:val="center"/>
          </w:tcPr>
          <w:p w14:paraId="12DDD9D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箕斗井（主</w:t>
            </w:r>
            <w:r>
              <w:rPr>
                <w:rFonts w:hint="default" w:ascii="Times New Roman" w:hAnsi="Times New Roman" w:cs="Times New Roman"/>
                <w:color w:val="000000" w:themeColor="text1"/>
                <w14:textFill>
                  <w14:solidFill>
                    <w14:schemeClr w14:val="tx1"/>
                  </w14:solidFill>
                </w14:textFill>
              </w:rPr>
              <w:t>井</w:t>
            </w:r>
            <w:r>
              <w:rPr>
                <w:rFonts w:hint="eastAsia" w:ascii="Times New Roman" w:hAnsi="Times New Roman" w:cs="Times New Roman"/>
                <w:color w:val="000000" w:themeColor="text1"/>
                <w14:textFill>
                  <w14:solidFill>
                    <w14:schemeClr w14:val="tx1"/>
                  </w14:solidFill>
                </w14:textFill>
              </w:rPr>
              <w:t>），采用</w:t>
            </w: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mm砼支护形式，</w:t>
            </w:r>
            <w:r>
              <w:rPr>
                <w:rFonts w:hint="eastAsia" w:ascii="Times New Roman" w:hAnsi="Times New Roman" w:cs="Times New Roman"/>
                <w:color w:val="000000" w:themeColor="text1"/>
                <w14:textFill>
                  <w14:solidFill>
                    <w14:schemeClr w14:val="tx1"/>
                  </w14:solidFill>
                </w14:textFill>
              </w:rPr>
              <w:t>井筒</w:t>
            </w:r>
            <w:r>
              <w:rPr>
                <w:rFonts w:hint="default" w:ascii="Times New Roman" w:hAnsi="Times New Roman" w:cs="Times New Roman"/>
                <w:color w:val="000000" w:themeColor="text1"/>
                <w14:textFill>
                  <w14:solidFill>
                    <w14:schemeClr w14:val="tx1"/>
                  </w14:solidFill>
                </w14:textFill>
              </w:rPr>
              <w:t>净直径4.20m，</w:t>
            </w:r>
            <w:r>
              <w:rPr>
                <w:rFonts w:hint="eastAsia" w:ascii="Times New Roman" w:hAnsi="Times New Roman" w:cs="Times New Roman"/>
                <w:color w:val="000000" w:themeColor="text1"/>
                <w14:textFill>
                  <w14:solidFill>
                    <w14:schemeClr w14:val="tx1"/>
                  </w14:solidFill>
                </w14:textFill>
              </w:rPr>
              <w:t>净断面</w:t>
            </w:r>
            <w:r>
              <w:rPr>
                <w:rFonts w:hint="default" w:ascii="Times New Roman" w:hAnsi="Times New Roman" w:cs="Times New Roman"/>
                <w:color w:val="000000" w:themeColor="text1"/>
                <w14:textFill>
                  <w14:solidFill>
                    <w14:schemeClr w14:val="tx1"/>
                  </w14:solidFill>
                </w14:textFill>
              </w:rPr>
              <w:t>13.85</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，掘进断面</w:t>
            </w:r>
            <w:r>
              <w:rPr>
                <w:rFonts w:hint="default" w:ascii="Times New Roman" w:hAnsi="Times New Roman" w:cs="Times New Roman"/>
                <w:color w:val="000000" w:themeColor="text1"/>
                <w14:textFill>
                  <w14:solidFill>
                    <w14:schemeClr w14:val="tx1"/>
                  </w14:solidFill>
                </w14:textFill>
              </w:rPr>
              <w:t>18.09</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，深度230m（含井窝25m），断面为圆形，井筒内装备一套4.0m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翻转式箕斗配平衡锤的提升系统，</w:t>
            </w:r>
            <w:r>
              <w:rPr>
                <w:rFonts w:hint="default" w:ascii="Times New Roman" w:hAnsi="Times New Roman" w:cs="Times New Roman"/>
                <w:color w:val="000000" w:themeColor="text1"/>
                <w14:textFill>
                  <w14:solidFill>
                    <w14:schemeClr w14:val="tx1"/>
                  </w14:solidFill>
                </w14:textFill>
              </w:rPr>
              <w:t>承担全部矿石的提升任务</w:t>
            </w:r>
            <w:r>
              <w:rPr>
                <w:rFonts w:hint="eastAsia" w:ascii="Times New Roman" w:hAnsi="Times New Roman" w:cs="Times New Roman"/>
                <w:color w:val="000000" w:themeColor="text1"/>
                <w14:textFill>
                  <w14:solidFill>
                    <w14:schemeClr w14:val="tx1"/>
                  </w14:solidFill>
                </w14:textFill>
              </w:rPr>
              <w:t>。箕斗</w:t>
            </w:r>
            <w:r>
              <w:rPr>
                <w:rFonts w:hint="default" w:ascii="Times New Roman" w:hAnsi="Times New Roman" w:cs="Times New Roman"/>
                <w:color w:val="000000" w:themeColor="text1"/>
                <w14:textFill>
                  <w14:solidFill>
                    <w14:schemeClr w14:val="tx1"/>
                  </w14:solidFill>
                </w14:textFill>
              </w:rPr>
              <w:t>竖井中心坐标：X=</w:t>
            </w:r>
            <w:r>
              <w:rPr>
                <w:rFonts w:hint="eastAsia"/>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、Y=</w:t>
            </w:r>
            <w:r>
              <w:rPr>
                <w:rFonts w:hint="eastAsia"/>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，井口标高1238m</w:t>
            </w:r>
            <w:r>
              <w:rPr>
                <w:rFonts w:hint="eastAsia" w:ascii="Times New Roman" w:hAnsi="Times New Roman" w:cs="Times New Roman"/>
                <w:color w:val="000000" w:themeColor="text1"/>
                <w14:textFill>
                  <w14:solidFill>
                    <w14:schemeClr w14:val="tx1"/>
                  </w14:solidFill>
                </w14:textFill>
              </w:rPr>
              <w:t>。</w:t>
            </w:r>
          </w:p>
        </w:tc>
      </w:tr>
      <w:tr w14:paraId="3CD493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vMerge w:val="continue"/>
            <w:noWrap w:val="0"/>
            <w:vAlign w:val="center"/>
          </w:tcPr>
          <w:p w14:paraId="2883003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664" w:type="pct"/>
            <w:vMerge w:val="continue"/>
            <w:noWrap w:val="0"/>
            <w:vAlign w:val="center"/>
          </w:tcPr>
          <w:p w14:paraId="5E2C4D0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p>
        </w:tc>
        <w:tc>
          <w:tcPr>
            <w:tcW w:w="4023" w:type="pct"/>
            <w:noWrap w:val="0"/>
            <w:vAlign w:val="center"/>
          </w:tcPr>
          <w:p w14:paraId="49AB231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罐笼井（副</w:t>
            </w:r>
            <w:r>
              <w:rPr>
                <w:rFonts w:hint="default" w:ascii="Times New Roman" w:hAnsi="Times New Roman" w:cs="Times New Roman"/>
                <w:color w:val="000000" w:themeColor="text1"/>
                <w14:textFill>
                  <w14:solidFill>
                    <w14:schemeClr w14:val="tx1"/>
                  </w14:solidFill>
                </w14:textFill>
              </w:rPr>
              <w:t>井</w:t>
            </w:r>
            <w:r>
              <w:rPr>
                <w:rFonts w:hint="eastAsia" w:ascii="Times New Roman" w:hAnsi="Times New Roman" w:cs="Times New Roman"/>
                <w:color w:val="000000" w:themeColor="text1"/>
                <w14:textFill>
                  <w14:solidFill>
                    <w14:schemeClr w14:val="tx1"/>
                  </w14:solidFill>
                </w14:textFill>
              </w:rPr>
              <w:t>），井筒</w:t>
            </w:r>
            <w:r>
              <w:rPr>
                <w:rFonts w:hint="default" w:ascii="Times New Roman" w:hAnsi="Times New Roman" w:cs="Times New Roman"/>
                <w:color w:val="000000" w:themeColor="text1"/>
                <w14:textFill>
                  <w14:solidFill>
                    <w14:schemeClr w14:val="tx1"/>
                  </w14:solidFill>
                </w14:textFill>
              </w:rPr>
              <w:t>净直径5m，</w:t>
            </w:r>
            <w:r>
              <w:rPr>
                <w:rFonts w:hint="eastAsia" w:ascii="Times New Roman" w:hAnsi="Times New Roman" w:cs="Times New Roman"/>
                <w:color w:val="000000" w:themeColor="text1"/>
                <w14:textFill>
                  <w14:solidFill>
                    <w14:schemeClr w14:val="tx1"/>
                  </w14:solidFill>
                </w14:textFill>
              </w:rPr>
              <w:t>净断面1</w:t>
            </w:r>
            <w:r>
              <w:rPr>
                <w:rFonts w:hint="default" w:ascii="Times New Roman" w:hAnsi="Times New Roman" w:cs="Times New Roman"/>
                <w:color w:val="000000" w:themeColor="text1"/>
                <w14:textFill>
                  <w14:solidFill>
                    <w14:schemeClr w14:val="tx1"/>
                  </w14:solidFill>
                </w14:textFill>
              </w:rPr>
              <w:t>9.63</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，掘进断面2</w:t>
            </w:r>
            <w:r>
              <w:rPr>
                <w:rFonts w:hint="default" w:ascii="Times New Roman" w:hAnsi="Times New Roman" w:cs="Times New Roman"/>
                <w:color w:val="000000" w:themeColor="text1"/>
                <w14:textFill>
                  <w14:solidFill>
                    <w14:schemeClr w14:val="tx1"/>
                  </w14:solidFill>
                </w14:textFill>
              </w:rPr>
              <w:t>4.62</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深度225m（含井窝15m），断面为圆形，井筒内装备一套5</w:t>
            </w:r>
            <w:r>
              <w:rPr>
                <w:rFonts w:hint="default" w:ascii="Times New Roman" w:hAnsi="Times New Roman" w:cs="Times New Roman"/>
                <w:color w:val="000000" w:themeColor="text1"/>
                <w:vertAlign w:val="superscript"/>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单绳</w:t>
            </w:r>
            <w:r>
              <w:rPr>
                <w:rFonts w:hint="eastAsia" w:ascii="Times New Roman" w:hAnsi="Times New Roman" w:cs="Times New Roman"/>
                <w:color w:val="000000" w:themeColor="text1"/>
                <w14:textFill>
                  <w14:solidFill>
                    <w14:schemeClr w14:val="tx1"/>
                  </w14:solidFill>
                </w14:textFill>
              </w:rPr>
              <w:t>单</w:t>
            </w:r>
            <w:r>
              <w:rPr>
                <w:rFonts w:hint="default" w:ascii="Times New Roman" w:hAnsi="Times New Roman" w:cs="Times New Roman"/>
                <w:color w:val="000000" w:themeColor="text1"/>
                <w14:textFill>
                  <w14:solidFill>
                    <w14:schemeClr w14:val="tx1"/>
                  </w14:solidFill>
                </w14:textFill>
              </w:rPr>
              <w:t>层罐笼配平衡锤的提升系统</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承担全部废石</w:t>
            </w:r>
            <w:r>
              <w:rPr>
                <w:rFonts w:hint="eastAsia" w:ascii="Times New Roman" w:hAnsi="Times New Roman" w:cs="Times New Roman"/>
                <w:color w:val="000000" w:themeColor="text1"/>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人员、设备、材料的提升任务</w:t>
            </w:r>
            <w:r>
              <w:rPr>
                <w:rFonts w:hint="eastAsia" w:ascii="Times New Roman" w:hAnsi="Times New Roman" w:cs="Times New Roman"/>
                <w:color w:val="000000" w:themeColor="text1"/>
                <w14:textFill>
                  <w14:solidFill>
                    <w14:schemeClr w14:val="tx1"/>
                  </w14:solidFill>
                </w14:textFill>
              </w:rPr>
              <w:t>。罐笼</w:t>
            </w:r>
            <w:r>
              <w:rPr>
                <w:rFonts w:hint="default" w:ascii="Times New Roman" w:hAnsi="Times New Roman" w:cs="Times New Roman"/>
                <w:color w:val="000000" w:themeColor="text1"/>
                <w14:textFill>
                  <w14:solidFill>
                    <w14:schemeClr w14:val="tx1"/>
                  </w14:solidFill>
                </w14:textFill>
              </w:rPr>
              <w:t>竖井</w:t>
            </w:r>
            <w:r>
              <w:rPr>
                <w:rFonts w:hint="eastAsia" w:ascii="Times New Roman" w:hAnsi="Times New Roman" w:cs="Times New Roman"/>
                <w:color w:val="000000" w:themeColor="text1"/>
                <w14:textFill>
                  <w14:solidFill>
                    <w14:schemeClr w14:val="tx1"/>
                  </w14:solidFill>
                </w14:textFill>
              </w:rPr>
              <w:t>井筒</w:t>
            </w:r>
            <w:r>
              <w:rPr>
                <w:rFonts w:hint="default" w:ascii="Times New Roman" w:hAnsi="Times New Roman" w:cs="Times New Roman"/>
                <w:color w:val="000000" w:themeColor="text1"/>
                <w14:textFill>
                  <w14:solidFill>
                    <w14:schemeClr w14:val="tx1"/>
                  </w14:solidFill>
                </w14:textFill>
              </w:rPr>
              <w:t>中心坐标：X=</w:t>
            </w:r>
            <w:r>
              <w:rPr>
                <w:rFonts w:hint="eastAsia"/>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、Y=</w:t>
            </w:r>
            <w:r>
              <w:rPr>
                <w:rFonts w:hint="eastAsia"/>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，井口标高1240m</w:t>
            </w:r>
            <w:r>
              <w:rPr>
                <w:rFonts w:hint="eastAsia" w:ascii="Times New Roman" w:hAnsi="Times New Roman" w:cs="Times New Roman"/>
                <w:color w:val="000000" w:themeColor="text1"/>
                <w14:textFill>
                  <w14:solidFill>
                    <w14:schemeClr w14:val="tx1"/>
                  </w14:solidFill>
                </w14:textFill>
              </w:rPr>
              <w:t>。</w:t>
            </w:r>
          </w:p>
        </w:tc>
      </w:tr>
      <w:tr w14:paraId="6F3EC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vMerge w:val="continue"/>
            <w:noWrap w:val="0"/>
            <w:vAlign w:val="center"/>
          </w:tcPr>
          <w:p w14:paraId="4A29060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664" w:type="pct"/>
            <w:vMerge w:val="continue"/>
            <w:noWrap w:val="0"/>
            <w:vAlign w:val="center"/>
          </w:tcPr>
          <w:p w14:paraId="7138743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4023" w:type="pct"/>
            <w:noWrap w:val="0"/>
            <w:vAlign w:val="center"/>
          </w:tcPr>
          <w:p w14:paraId="4CF63FE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4个中段</w:t>
            </w:r>
            <w:r>
              <w:rPr>
                <w:rFonts w:hint="eastAsia" w:ascii="Times New Roman" w:hAnsi="Times New Roman" w:cs="Times New Roman"/>
                <w:color w:val="000000" w:themeColor="text1"/>
                <w14:textFill>
                  <w14:solidFill>
                    <w14:schemeClr w14:val="tx1"/>
                  </w14:solidFill>
                </w14:textFill>
              </w:rPr>
              <w:t>巷道</w:t>
            </w:r>
            <w:r>
              <w:rPr>
                <w:rFonts w:hint="default" w:ascii="Times New Roman" w:hAnsi="Times New Roman" w:cs="Times New Roman"/>
                <w:color w:val="000000" w:themeColor="text1"/>
                <w14:textFill>
                  <w14:solidFill>
                    <w14:schemeClr w14:val="tx1"/>
                  </w14:solidFill>
                </w14:textFill>
              </w:rPr>
              <w:t>，各中段标高分别为1187m、1144m、1080m</w:t>
            </w:r>
            <w:r>
              <w:rPr>
                <w:rFonts w:hint="eastAsia"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070</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14:textFill>
                  <w14:solidFill>
                    <w14:schemeClr w14:val="tx1"/>
                  </w14:solidFill>
                </w14:textFill>
              </w:rPr>
              <w:t>、1030m。</w:t>
            </w:r>
            <w:r>
              <w:rPr>
                <w:rFonts w:hint="eastAsia" w:ascii="Times New Roman" w:hAnsi="Times New Roman" w:cs="Times New Roman"/>
                <w:color w:val="000000" w:themeColor="text1"/>
                <w14:textFill>
                  <w14:solidFill>
                    <w14:schemeClr w14:val="tx1"/>
                  </w14:solidFill>
                </w14:textFill>
              </w:rPr>
              <w:t>各中段均采用7</w:t>
            </w:r>
            <w:r>
              <w:rPr>
                <w:rFonts w:hint="default" w:ascii="Times New Roman" w:hAnsi="Times New Roman" w:cs="Times New Roman"/>
                <w:color w:val="000000" w:themeColor="text1"/>
                <w14:textFill>
                  <w14:solidFill>
                    <w14:schemeClr w14:val="tx1"/>
                  </w14:solidFill>
                </w14:textFill>
              </w:rPr>
              <w:t>0</w:t>
            </w:r>
            <w:r>
              <w:rPr>
                <w:rFonts w:hint="eastAsia" w:ascii="Times New Roman" w:hAnsi="Times New Roman" w:cs="Times New Roman"/>
                <w:color w:val="000000" w:themeColor="text1"/>
                <w14:textFill>
                  <w14:solidFill>
                    <w14:schemeClr w14:val="tx1"/>
                  </w14:solidFill>
                </w14:textFill>
              </w:rPr>
              <w:t>mm喷砼支护形式，净断面均为7</w:t>
            </w:r>
            <w:r>
              <w:rPr>
                <w:rFonts w:hint="default" w:ascii="Times New Roman" w:hAnsi="Times New Roman" w:cs="Times New Roman"/>
                <w:color w:val="000000" w:themeColor="text1"/>
                <w14:textFill>
                  <w14:solidFill>
                    <w14:schemeClr w14:val="tx1"/>
                  </w14:solidFill>
                </w14:textFill>
              </w:rPr>
              <w:t>.46</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，掘进断面均为8</w:t>
            </w:r>
            <w:r>
              <w:rPr>
                <w:rFonts w:hint="default" w:ascii="Times New Roman" w:hAnsi="Times New Roman" w:cs="Times New Roman"/>
                <w:color w:val="000000" w:themeColor="text1"/>
                <w14:textFill>
                  <w14:solidFill>
                    <w14:schemeClr w14:val="tx1"/>
                  </w14:solidFill>
                </w14:textFill>
              </w:rPr>
              <w:t>.68</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tc>
      </w:tr>
      <w:tr w14:paraId="647EC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39896D0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w:t>
            </w:r>
          </w:p>
        </w:tc>
        <w:tc>
          <w:tcPr>
            <w:tcW w:w="664" w:type="pct"/>
            <w:noWrap w:val="0"/>
            <w:vAlign w:val="center"/>
          </w:tcPr>
          <w:p w14:paraId="0DA67E0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排水系统</w:t>
            </w:r>
          </w:p>
        </w:tc>
        <w:tc>
          <w:tcPr>
            <w:tcW w:w="4023" w:type="pct"/>
            <w:noWrap w:val="0"/>
            <w:vAlign w:val="center"/>
          </w:tcPr>
          <w:p w14:paraId="613F9B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采用集中排水，水仓和泵房设在</w:t>
            </w:r>
            <w:r>
              <w:rPr>
                <w:rFonts w:hint="default" w:ascii="Times New Roman" w:hAnsi="Times New Roman" w:cs="Times New Roman"/>
                <w:color w:val="000000" w:themeColor="text1"/>
                <w14:textFill>
                  <w14:solidFill>
                    <w14:schemeClr w14:val="tx1"/>
                  </w14:solidFill>
                </w14:textFill>
              </w:rPr>
              <w:t>900m中段井底车场附近，最大排水高度340m。井下涌水抽排至</w:t>
            </w:r>
            <w:r>
              <w:rPr>
                <w:rFonts w:hint="eastAsia" w:ascii="Times New Roman" w:hAnsi="Times New Roman" w:cs="Times New Roman"/>
                <w:color w:val="000000" w:themeColor="text1"/>
                <w14:textFill>
                  <w14:solidFill>
                    <w14:schemeClr w14:val="tx1"/>
                  </w14:solidFill>
                </w14:textFill>
              </w:rPr>
              <w:t>地表</w:t>
            </w:r>
            <w:r>
              <w:rPr>
                <w:rFonts w:hint="default" w:ascii="Times New Roman" w:hAnsi="Times New Roman" w:cs="Times New Roman"/>
                <w:color w:val="000000" w:themeColor="text1"/>
                <w14:textFill>
                  <w14:solidFill>
                    <w14:schemeClr w14:val="tx1"/>
                  </w14:solidFill>
                </w14:textFill>
              </w:rPr>
              <w:t>1240m</w:t>
            </w:r>
            <w:r>
              <w:rPr>
                <w:rFonts w:hint="eastAsia" w:cs="Times New Roman"/>
                <w:color w:val="000000" w:themeColor="text1"/>
                <w:lang w:eastAsia="zh-CN"/>
                <w14:textFill>
                  <w14:solidFill>
                    <w14:schemeClr w14:val="tx1"/>
                  </w14:solidFill>
                </w14:textFill>
              </w:rPr>
              <w:t>沉淀</w:t>
            </w:r>
            <w:r>
              <w:rPr>
                <w:rFonts w:hint="eastAsia" w:ascii="Times New Roman" w:hAnsi="Times New Roman" w:cs="Times New Roman"/>
                <w:color w:val="000000" w:themeColor="text1"/>
                <w14:textFill>
                  <w14:solidFill>
                    <w14:schemeClr w14:val="tx1"/>
                  </w14:solidFill>
                </w14:textFill>
              </w:rPr>
              <w:t>池。</w:t>
            </w:r>
          </w:p>
        </w:tc>
      </w:tr>
      <w:tr w14:paraId="51BC2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445CA15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二</w:t>
            </w:r>
          </w:p>
        </w:tc>
        <w:tc>
          <w:tcPr>
            <w:tcW w:w="4687" w:type="pct"/>
            <w:gridSpan w:val="2"/>
            <w:noWrap w:val="0"/>
            <w:vAlign w:val="center"/>
          </w:tcPr>
          <w:p w14:paraId="4C6D72C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辅助工程</w:t>
            </w:r>
          </w:p>
        </w:tc>
      </w:tr>
      <w:tr w14:paraId="73A1D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683ADDA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p>
        </w:tc>
        <w:tc>
          <w:tcPr>
            <w:tcW w:w="664" w:type="pct"/>
            <w:noWrap w:val="0"/>
            <w:vAlign w:val="center"/>
          </w:tcPr>
          <w:p w14:paraId="19DE973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主竖井工业广场</w:t>
            </w:r>
          </w:p>
        </w:tc>
        <w:tc>
          <w:tcPr>
            <w:tcW w:w="4023" w:type="pct"/>
            <w:noWrap w:val="0"/>
            <w:vAlign w:val="center"/>
          </w:tcPr>
          <w:p w14:paraId="642BEFD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宋体" w:hAnsi="Times New Roman" w:cs="Times New Roman"/>
                <w:color w:val="000000" w:themeColor="text1"/>
                <w14:textFill>
                  <w14:solidFill>
                    <w14:schemeClr w14:val="tx1"/>
                  </w14:solidFill>
                </w14:textFill>
              </w:rPr>
              <w:t>包括主竖井、空压机房、信号室、竖井值班室、卷扬机房、综合值班室。总建筑面积为</w:t>
            </w:r>
            <w:r>
              <w:rPr>
                <w:rFonts w:hint="default" w:ascii="Times New Roman" w:hAnsi="Times New Roman" w:cs="Times New Roman"/>
                <w:color w:val="000000" w:themeColor="text1"/>
                <w14:textFill>
                  <w14:solidFill>
                    <w14:schemeClr w14:val="tx1"/>
                  </w14:solidFill>
                </w14:textFill>
              </w:rPr>
              <w:t>1900m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宋体" w:hAnsi="Times New Roman" w:cs="Times New Roman"/>
                <w:color w:val="000000" w:themeColor="text1"/>
                <w14:textFill>
                  <w14:solidFill>
                    <w14:schemeClr w14:val="tx1"/>
                  </w14:solidFill>
                </w14:textFill>
              </w:rPr>
              <w:t>，</w:t>
            </w:r>
            <w:r>
              <w:rPr>
                <w:rFonts w:hint="eastAsia" w:ascii="Times New Roman" w:hAnsi="Times New Roman" w:cs="Times New Roman"/>
                <w:bCs/>
                <w:color w:val="000000" w:themeColor="text1"/>
                <w14:textFill>
                  <w14:solidFill>
                    <w14:schemeClr w14:val="tx1"/>
                  </w14:solidFill>
                </w14:textFill>
              </w:rPr>
              <w:t>结构为钢结构及砖混结构</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包含地面硬化场地。</w:t>
            </w:r>
          </w:p>
        </w:tc>
      </w:tr>
      <w:tr w14:paraId="0EBDE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4E53F38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p>
        </w:tc>
        <w:tc>
          <w:tcPr>
            <w:tcW w:w="664" w:type="pct"/>
            <w:noWrap w:val="0"/>
            <w:vAlign w:val="center"/>
          </w:tcPr>
          <w:p w14:paraId="704AA58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副竖井工业广场</w:t>
            </w:r>
          </w:p>
        </w:tc>
        <w:tc>
          <w:tcPr>
            <w:tcW w:w="4023" w:type="pct"/>
            <w:noWrap w:val="0"/>
            <w:vAlign w:val="center"/>
          </w:tcPr>
          <w:p w14:paraId="6BC1E03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包括副竖井、空压机房、信号室、竖井值班室、卷扬机房、综合值班室、生活区至井口廊道。总建筑面积为1700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，结构为钢结构及砖混结构，包含地面硬化场地。</w:t>
            </w:r>
          </w:p>
        </w:tc>
      </w:tr>
      <w:tr w14:paraId="04F9D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4C032EC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p>
        </w:tc>
        <w:tc>
          <w:tcPr>
            <w:tcW w:w="664" w:type="pct"/>
            <w:noWrap w:val="0"/>
            <w:vAlign w:val="center"/>
          </w:tcPr>
          <w:p w14:paraId="586F664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pacing w:val="-6"/>
                <w:kern w:val="0"/>
                <w:szCs w:val="21"/>
                <w14:textFill>
                  <w14:solidFill>
                    <w14:schemeClr w14:val="tx1"/>
                  </w14:solidFill>
                </w14:textFill>
              </w:rPr>
              <w:t>生活办公区</w:t>
            </w:r>
          </w:p>
        </w:tc>
        <w:tc>
          <w:tcPr>
            <w:tcW w:w="4023" w:type="pct"/>
            <w:noWrap w:val="0"/>
            <w:vAlign w:val="center"/>
          </w:tcPr>
          <w:p w14:paraId="43CB64B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包括办公楼、职工宿舍、食堂、澡堂、厕所、污水处理站等，建筑结构为1层砖混结构及1层板房，办公生活区地面为水泥硬化，建筑面积约1700m</w:t>
            </w:r>
            <w:r>
              <w:rPr>
                <w:rFonts w:hint="default" w:ascii="Times New Roman" w:hAnsi="Times New Roman" w:cs="Times New Roman"/>
                <w:color w:val="000000" w:themeColor="text1"/>
                <w:spacing w:val="-6"/>
                <w:kern w:val="0"/>
                <w:szCs w:val="21"/>
                <w:vertAlign w:val="superscript"/>
                <w14:textFill>
                  <w14:solidFill>
                    <w14:schemeClr w14:val="tx1"/>
                  </w14:solidFill>
                </w14:textFill>
              </w:rPr>
              <w:t>2</w:t>
            </w:r>
            <w:r>
              <w:rPr>
                <w:rFonts w:hint="eastAsia" w:ascii="Times New Roman" w:hAnsi="Times New Roman" w:cs="Times New Roman"/>
                <w:color w:val="000000" w:themeColor="text1"/>
                <w:spacing w:val="-6"/>
                <w:kern w:val="0"/>
                <w:szCs w:val="21"/>
                <w14:textFill>
                  <w14:solidFill>
                    <w14:schemeClr w14:val="tx1"/>
                  </w14:solidFill>
                </w14:textFill>
              </w:rPr>
              <w:t>。</w:t>
            </w:r>
          </w:p>
        </w:tc>
      </w:tr>
      <w:tr w14:paraId="02BC9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27A1E60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p>
        </w:tc>
        <w:tc>
          <w:tcPr>
            <w:tcW w:w="664" w:type="pct"/>
            <w:noWrap w:val="0"/>
            <w:vAlign w:val="center"/>
          </w:tcPr>
          <w:p w14:paraId="0806614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pacing w:val="-6"/>
                <w:kern w:val="0"/>
                <w:szCs w:val="21"/>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辅助生产区</w:t>
            </w:r>
          </w:p>
        </w:tc>
        <w:tc>
          <w:tcPr>
            <w:tcW w:w="4023" w:type="pct"/>
            <w:noWrap w:val="0"/>
            <w:vAlign w:val="center"/>
          </w:tcPr>
          <w:p w14:paraId="4C6C859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6"/>
                <w:kern w:val="0"/>
                <w:szCs w:val="21"/>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总占地面积约0.6hm</w:t>
            </w:r>
            <w:r>
              <w:rPr>
                <w:rFonts w:hint="default" w:ascii="Times New Roman" w:hAnsi="Times New Roman" w:cs="Times New Roman"/>
                <w:color w:val="000000" w:themeColor="text1"/>
                <w:spacing w:val="-6"/>
                <w:kern w:val="0"/>
                <w:szCs w:val="21"/>
                <w:vertAlign w:val="superscript"/>
                <w14:textFill>
                  <w14:solidFill>
                    <w14:schemeClr w14:val="tx1"/>
                  </w14:solidFill>
                </w14:textFill>
              </w:rPr>
              <w:t>2</w:t>
            </w:r>
            <w:r>
              <w:rPr>
                <w:rFonts w:hint="eastAsia" w:ascii="Times New Roman" w:hAnsi="Times New Roman" w:cs="Times New Roman"/>
                <w:color w:val="000000" w:themeColor="text1"/>
                <w:spacing w:val="-6"/>
                <w:kern w:val="0"/>
                <w:szCs w:val="21"/>
                <w14:textFill>
                  <w14:solidFill>
                    <w14:schemeClr w14:val="tx1"/>
                  </w14:solidFill>
                </w14:textFill>
              </w:rPr>
              <w:t>，其中包括机电设备、设施修理厂、库房等。总建筑面积为0.15hm</w:t>
            </w:r>
            <w:r>
              <w:rPr>
                <w:rFonts w:hint="default" w:ascii="Times New Roman" w:hAnsi="Times New Roman" w:cs="Times New Roman"/>
                <w:color w:val="000000" w:themeColor="text1"/>
                <w:spacing w:val="-6"/>
                <w:kern w:val="0"/>
                <w:szCs w:val="21"/>
                <w:vertAlign w:val="superscript"/>
                <w14:textFill>
                  <w14:solidFill>
                    <w14:schemeClr w14:val="tx1"/>
                  </w14:solidFill>
                </w14:textFill>
              </w:rPr>
              <w:t>2</w:t>
            </w:r>
            <w:r>
              <w:rPr>
                <w:rFonts w:hint="eastAsia" w:ascii="Times New Roman" w:hAnsi="Times New Roman" w:cs="Times New Roman"/>
                <w:color w:val="000000" w:themeColor="text1"/>
                <w:spacing w:val="-6"/>
                <w:kern w:val="0"/>
                <w:szCs w:val="21"/>
                <w14:textFill>
                  <w14:solidFill>
                    <w14:schemeClr w14:val="tx1"/>
                  </w14:solidFill>
                </w14:textFill>
              </w:rPr>
              <w:t>，建筑均为砖混结构。</w:t>
            </w:r>
          </w:p>
        </w:tc>
      </w:tr>
      <w:tr w14:paraId="2947D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447E341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5</w:t>
            </w:r>
          </w:p>
        </w:tc>
        <w:tc>
          <w:tcPr>
            <w:tcW w:w="664" w:type="pct"/>
            <w:noWrap w:val="0"/>
            <w:vAlign w:val="center"/>
          </w:tcPr>
          <w:p w14:paraId="0E5126F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6"/>
                <w:kern w:val="0"/>
                <w:szCs w:val="21"/>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矿石堆场</w:t>
            </w:r>
          </w:p>
        </w:tc>
        <w:tc>
          <w:tcPr>
            <w:tcW w:w="4023" w:type="pct"/>
            <w:noWrap w:val="0"/>
            <w:vAlign w:val="center"/>
          </w:tcPr>
          <w:p w14:paraId="74F889D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6"/>
                <w:kern w:val="0"/>
                <w:szCs w:val="21"/>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主竖井工业广场南侧建有2处矿石堆，矿石堆1占地面积0.92h</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spacing w:val="-6"/>
                <w:kern w:val="0"/>
                <w:szCs w:val="21"/>
                <w14:textFill>
                  <w14:solidFill>
                    <w14:schemeClr w14:val="tx1"/>
                  </w14:solidFill>
                </w14:textFill>
              </w:rPr>
              <w:t>，堆高约4m；现状矿石堆2占地面积1.03h</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spacing w:val="-6"/>
                <w:kern w:val="0"/>
                <w:szCs w:val="21"/>
                <w14:textFill>
                  <w14:solidFill>
                    <w14:schemeClr w14:val="tx1"/>
                  </w14:solidFill>
                </w14:textFill>
              </w:rPr>
              <w:t>，堆高约4m。</w:t>
            </w:r>
          </w:p>
        </w:tc>
      </w:tr>
      <w:tr w14:paraId="52C46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32BD69B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6</w:t>
            </w:r>
          </w:p>
        </w:tc>
        <w:tc>
          <w:tcPr>
            <w:tcW w:w="664" w:type="pct"/>
            <w:noWrap w:val="0"/>
            <w:vAlign w:val="center"/>
          </w:tcPr>
          <w:p w14:paraId="47B6419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废石堆场</w:t>
            </w:r>
          </w:p>
        </w:tc>
        <w:tc>
          <w:tcPr>
            <w:tcW w:w="4023" w:type="pct"/>
            <w:noWrap w:val="0"/>
            <w:vAlign w:val="center"/>
          </w:tcPr>
          <w:p w14:paraId="2B512880">
            <w:pPr>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处废石堆场，均位于主竖井、副竖井工业广场南侧，总占地面积</w:t>
            </w:r>
            <w:r>
              <w:rPr>
                <w:rFonts w:hint="default" w:ascii="Times New Roman" w:hAnsi="Times New Roman" w:cs="Times New Roman"/>
                <w:color w:val="000000" w:themeColor="text1"/>
                <w14:textFill>
                  <w14:solidFill>
                    <w14:schemeClr w14:val="tx1"/>
                  </w14:solidFill>
                </w14:textFill>
              </w:rPr>
              <w:t>1.19hm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，总堆放量约</w:t>
            </w:r>
            <w:r>
              <w:rPr>
                <w:rFonts w:hint="default" w:ascii="Times New Roman" w:hAnsi="Times New Roman" w:cs="Times New Roman"/>
                <w:color w:val="000000" w:themeColor="text1"/>
                <w14:textFill>
                  <w14:solidFill>
                    <w14:schemeClr w14:val="tx1"/>
                  </w14:solidFill>
                </w14:textFill>
              </w:rPr>
              <w:t>3.83</w:t>
            </w:r>
            <w:r>
              <w:rPr>
                <w:rFonts w:hint="eastAsia"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w:t>
            </w:r>
          </w:p>
          <w:p w14:paraId="23FAB81E">
            <w:pPr>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zCs w:val="28"/>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废石堆场1占地面积0.78</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，堆高</w:t>
            </w:r>
            <w:r>
              <w:rPr>
                <w:rFonts w:hint="eastAsia" w:ascii="Times New Roman" w:hAnsi="Times New Roman" w:cs="Times New Roman"/>
                <w:color w:val="000000" w:themeColor="text1"/>
                <w:szCs w:val="28"/>
                <w14:textFill>
                  <w14:solidFill>
                    <w14:schemeClr w14:val="tx1"/>
                  </w14:solidFill>
                </w14:textFill>
              </w:rPr>
              <w:t>约4</w:t>
            </w:r>
            <w:r>
              <w:rPr>
                <w:rFonts w:hint="default"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szCs w:val="28"/>
                <w14:textFill>
                  <w14:solidFill>
                    <w14:schemeClr w14:val="tx1"/>
                  </w14:solidFill>
                </w14:textFill>
              </w:rPr>
              <w:t>，废渣石压实堆放，边坡角约30°，</w:t>
            </w:r>
            <w:r>
              <w:rPr>
                <w:rFonts w:hint="eastAsia" w:ascii="Times New Roman" w:hAnsi="Times New Roman" w:cs="Times New Roman"/>
                <w:color w:val="000000" w:themeColor="text1"/>
                <w14:textFill>
                  <w14:solidFill>
                    <w14:schemeClr w14:val="tx1"/>
                  </w14:solidFill>
                </w14:textFill>
              </w:rPr>
              <w:t>堆放量约2.51万</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szCs w:val="28"/>
                <w14:textFill>
                  <w14:solidFill>
                    <w14:schemeClr w14:val="tx1"/>
                  </w14:solidFill>
                </w14:textFill>
              </w:rPr>
              <w:t>。</w:t>
            </w:r>
          </w:p>
          <w:p w14:paraId="7EF336D9">
            <w:pPr>
              <w:keepNext w:val="0"/>
              <w:keepLines w:val="0"/>
              <w:suppressLineNumbers w:val="0"/>
              <w:spacing w:before="0" w:beforeAutospacing="0" w:after="0" w:afterAutospacing="0" w:line="360" w:lineRule="exact"/>
              <w:ind w:left="0" w:right="0"/>
              <w:rPr>
                <w:rFonts w:hint="eastAsia" w:ascii="宋体" w:hAnsi="宋体"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废石堆场2占地面积0.41</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，堆高</w:t>
            </w:r>
            <w:r>
              <w:rPr>
                <w:rFonts w:hint="eastAsia" w:ascii="Times New Roman" w:hAnsi="Times New Roman" w:cs="Times New Roman"/>
                <w:color w:val="000000" w:themeColor="text1"/>
                <w:szCs w:val="28"/>
                <w14:textFill>
                  <w14:solidFill>
                    <w14:schemeClr w14:val="tx1"/>
                  </w14:solidFill>
                </w14:textFill>
              </w:rPr>
              <w:t>约4</w:t>
            </w:r>
            <w:r>
              <w:rPr>
                <w:rFonts w:hint="default"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szCs w:val="28"/>
                <w14:textFill>
                  <w14:solidFill>
                    <w14:schemeClr w14:val="tx1"/>
                  </w14:solidFill>
                </w14:textFill>
              </w:rPr>
              <w:t>，废渣石压实堆放，边坡角约30°，</w:t>
            </w:r>
            <w:r>
              <w:rPr>
                <w:rFonts w:hint="eastAsia" w:ascii="Times New Roman" w:hAnsi="Times New Roman" w:cs="Times New Roman"/>
                <w:color w:val="000000" w:themeColor="text1"/>
                <w14:textFill>
                  <w14:solidFill>
                    <w14:schemeClr w14:val="tx1"/>
                  </w14:solidFill>
                </w14:textFill>
              </w:rPr>
              <w:t>堆放量约1.32万</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szCs w:val="28"/>
                <w14:textFill>
                  <w14:solidFill>
                    <w14:schemeClr w14:val="tx1"/>
                  </w14:solidFill>
                </w14:textFill>
              </w:rPr>
              <w:t>。</w:t>
            </w:r>
          </w:p>
        </w:tc>
      </w:tr>
      <w:tr w14:paraId="76528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4E35587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7</w:t>
            </w:r>
          </w:p>
        </w:tc>
        <w:tc>
          <w:tcPr>
            <w:tcW w:w="664" w:type="pct"/>
            <w:noWrap w:val="0"/>
            <w:vAlign w:val="center"/>
          </w:tcPr>
          <w:p w14:paraId="2C20449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爆破器材库</w:t>
            </w:r>
          </w:p>
        </w:tc>
        <w:tc>
          <w:tcPr>
            <w:tcW w:w="4023" w:type="pct"/>
            <w:noWrap w:val="0"/>
            <w:vAlign w:val="center"/>
          </w:tcPr>
          <w:p w14:paraId="77F61CA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爆破器材库</w:t>
            </w:r>
            <w:r>
              <w:rPr>
                <w:rFonts w:hint="eastAsia" w:ascii="Times New Roman" w:hAnsi="Times New Roman" w:cs="Times New Roman"/>
                <w:color w:val="000000" w:themeColor="text1"/>
                <w:kern w:val="0"/>
                <w:szCs w:val="21"/>
                <w14:textFill>
                  <w14:solidFill>
                    <w14:schemeClr w14:val="tx1"/>
                  </w14:solidFill>
                </w14:textFill>
              </w:rPr>
              <w:t>位于矿区东南方向界外约500</w:t>
            </w:r>
            <w:r>
              <w:rPr>
                <w:rFonts w:hint="eastAsia" w:cs="Times New Roman"/>
                <w:color w:val="000000" w:themeColor="text1"/>
                <w:kern w:val="0"/>
                <w:szCs w:val="21"/>
                <w:lang w:val="en-US" w:eastAsia="zh-CN"/>
                <w14:textFill>
                  <w14:solidFill>
                    <w14:schemeClr w14:val="tx1"/>
                  </w14:solidFill>
                </w14:textFill>
              </w:rPr>
              <w:t>m</w:t>
            </w:r>
            <w:r>
              <w:rPr>
                <w:rFonts w:hint="eastAsia" w:ascii="Times New Roman" w:hAnsi="Times New Roman" w:cs="Times New Roman"/>
                <w:color w:val="000000" w:themeColor="text1"/>
                <w:kern w:val="0"/>
                <w:szCs w:val="21"/>
                <w14:textFill>
                  <w14:solidFill>
                    <w14:schemeClr w14:val="tx1"/>
                  </w14:solidFill>
                </w14:textFill>
              </w:rPr>
              <w:t>处，包括雷管库和炸药库，为砖混结构单层建筑，占地面积0</w:t>
            </w:r>
            <w:r>
              <w:rPr>
                <w:rFonts w:hint="default" w:ascii="Times New Roman" w:hAnsi="Times New Roman" w:cs="Times New Roman"/>
                <w:color w:val="000000" w:themeColor="text1"/>
                <w:kern w:val="0"/>
                <w:szCs w:val="21"/>
                <w14:textFill>
                  <w14:solidFill>
                    <w14:schemeClr w14:val="tx1"/>
                  </w14:solidFill>
                </w14:textFill>
              </w:rPr>
              <w:t>.54</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，建筑面积200m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，高度3.5m。</w:t>
            </w:r>
          </w:p>
        </w:tc>
      </w:tr>
      <w:tr w14:paraId="3324A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1795CA6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bCs w:val="0"/>
                <w:color w:val="000000" w:themeColor="text1"/>
                <w:kern w:val="0"/>
                <w:szCs w:val="21"/>
                <w14:textFill>
                  <w14:solidFill>
                    <w14:schemeClr w14:val="tx1"/>
                  </w14:solidFill>
                </w14:textFill>
              </w:rPr>
              <w:t>三</w:t>
            </w:r>
          </w:p>
        </w:tc>
        <w:tc>
          <w:tcPr>
            <w:tcW w:w="4687" w:type="pct"/>
            <w:gridSpan w:val="2"/>
            <w:noWrap w:val="0"/>
            <w:vAlign w:val="center"/>
          </w:tcPr>
          <w:p w14:paraId="476643C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储运工程</w:t>
            </w:r>
          </w:p>
        </w:tc>
      </w:tr>
      <w:tr w14:paraId="7CA76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3F3A52F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p>
        </w:tc>
        <w:tc>
          <w:tcPr>
            <w:tcW w:w="664" w:type="pct"/>
            <w:noWrap w:val="0"/>
            <w:vAlign w:val="center"/>
          </w:tcPr>
          <w:p w14:paraId="5E67197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井下运输</w:t>
            </w:r>
          </w:p>
        </w:tc>
        <w:tc>
          <w:tcPr>
            <w:tcW w:w="4023" w:type="pct"/>
            <w:noWrap w:val="0"/>
            <w:vAlign w:val="center"/>
          </w:tcPr>
          <w:p w14:paraId="6E83C99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井下各中段平巷均采用有轨运输，</w:t>
            </w:r>
            <w:r>
              <w:rPr>
                <w:rFonts w:hint="default" w:ascii="Times New Roman" w:hAnsi="Times New Roman" w:cs="Times New Roman"/>
                <w:color w:val="000000" w:themeColor="text1"/>
                <w14:textFill>
                  <w14:solidFill>
                    <w14:schemeClr w14:val="tx1"/>
                  </w14:solidFill>
                </w14:textFill>
              </w:rPr>
              <w:t>轨道采用22kg/m钢轨，轨距为600mm。坑内矿石和废石采用蓄电池电机车牵引2.0m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侧卸式矿车组运输。中段运输平巷为向</w:t>
            </w:r>
            <w:r>
              <w:rPr>
                <w:rFonts w:hint="eastAsia" w:ascii="Times New Roman" w:hAnsi="Times New Roman" w:cs="Times New Roman"/>
                <w:color w:val="000000" w:themeColor="text1"/>
                <w14:textFill>
                  <w14:solidFill>
                    <w14:schemeClr w14:val="tx1"/>
                  </w14:solidFill>
                </w14:textFill>
              </w:rPr>
              <w:t>提升</w:t>
            </w:r>
            <w:r>
              <w:rPr>
                <w:rFonts w:hint="default" w:ascii="Times New Roman" w:hAnsi="Times New Roman" w:cs="Times New Roman"/>
                <w:color w:val="000000" w:themeColor="text1"/>
                <w14:textFill>
                  <w14:solidFill>
                    <w14:schemeClr w14:val="tx1"/>
                  </w14:solidFill>
                </w14:textFill>
              </w:rPr>
              <w:t>竖井方向3‰的重车下坡方式。</w:t>
            </w:r>
          </w:p>
        </w:tc>
      </w:tr>
      <w:tr w14:paraId="73AE5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72A0A27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p>
        </w:tc>
        <w:tc>
          <w:tcPr>
            <w:tcW w:w="664" w:type="pct"/>
            <w:noWrap w:val="0"/>
            <w:vAlign w:val="center"/>
          </w:tcPr>
          <w:p w14:paraId="1570583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矿山道路</w:t>
            </w:r>
          </w:p>
        </w:tc>
        <w:tc>
          <w:tcPr>
            <w:tcW w:w="4023" w:type="pct"/>
            <w:noWrap w:val="0"/>
            <w:vAlign w:val="center"/>
          </w:tcPr>
          <w:p w14:paraId="15971B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道路全长约3020m，路基宽6m，路面宽4m</w:t>
            </w:r>
          </w:p>
        </w:tc>
      </w:tr>
      <w:tr w14:paraId="6AA59E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6AEEE6C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四</w:t>
            </w:r>
          </w:p>
        </w:tc>
        <w:tc>
          <w:tcPr>
            <w:tcW w:w="4687" w:type="pct"/>
            <w:gridSpan w:val="2"/>
            <w:noWrap w:val="0"/>
            <w:vAlign w:val="center"/>
          </w:tcPr>
          <w:p w14:paraId="2BFB70C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公用工程</w:t>
            </w:r>
          </w:p>
        </w:tc>
      </w:tr>
      <w:tr w14:paraId="0FB20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5E00F52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p>
        </w:tc>
        <w:tc>
          <w:tcPr>
            <w:tcW w:w="664" w:type="pct"/>
            <w:noWrap w:val="0"/>
            <w:vAlign w:val="center"/>
          </w:tcPr>
          <w:p w14:paraId="759C33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供电</w:t>
            </w:r>
          </w:p>
        </w:tc>
        <w:tc>
          <w:tcPr>
            <w:tcW w:w="4023" w:type="pct"/>
            <w:noWrap w:val="0"/>
            <w:vAlign w:val="center"/>
          </w:tcPr>
          <w:p w14:paraId="6AA3D1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矿山供电电源来自哈密市雅满苏变电所及35kV输电线路。矿山目前在地表有6台1250KVA变压器，分别布置在原有箕斗竖井井口、原有罐笼竖井井口以及选矿厂主厂房附近的变配电室内，变压器出口电压0.4kV。</w:t>
            </w:r>
          </w:p>
        </w:tc>
      </w:tr>
      <w:tr w14:paraId="53576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3734E0B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p>
        </w:tc>
        <w:tc>
          <w:tcPr>
            <w:tcW w:w="664" w:type="pct"/>
            <w:noWrap w:val="0"/>
            <w:vAlign w:val="center"/>
          </w:tcPr>
          <w:p w14:paraId="3FFFA9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供水</w:t>
            </w:r>
          </w:p>
        </w:tc>
        <w:tc>
          <w:tcPr>
            <w:tcW w:w="4023" w:type="pct"/>
            <w:noWrap w:val="0"/>
            <w:vAlign w:val="center"/>
          </w:tcPr>
          <w:p w14:paraId="35C3330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矿山生活用水从雅满苏镇拉运解决，生产用水来源为矿井涌水。</w:t>
            </w:r>
          </w:p>
        </w:tc>
      </w:tr>
      <w:tr w14:paraId="6A221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5DFA6E0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p>
        </w:tc>
        <w:tc>
          <w:tcPr>
            <w:tcW w:w="664" w:type="pct"/>
            <w:noWrap w:val="0"/>
            <w:vAlign w:val="center"/>
          </w:tcPr>
          <w:p w14:paraId="6103B4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排水</w:t>
            </w:r>
          </w:p>
        </w:tc>
        <w:tc>
          <w:tcPr>
            <w:tcW w:w="4023" w:type="pct"/>
            <w:noWrap w:val="0"/>
            <w:vAlign w:val="center"/>
          </w:tcPr>
          <w:p w14:paraId="66D4496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生活污水由办公生活区配套污水处理站处理，采用膜生物反应（MBR）法水处理工艺，生活污水经处理后全部用于降尘，不外排。井下涌水部分用于井下生产、巷道降尘，其余抽至地表蓄水池，由输水管线输送至选矿厂用于选矿生产使用。</w:t>
            </w:r>
          </w:p>
        </w:tc>
      </w:tr>
      <w:tr w14:paraId="140CD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1C2D138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p>
        </w:tc>
        <w:tc>
          <w:tcPr>
            <w:tcW w:w="664" w:type="pct"/>
            <w:noWrap w:val="0"/>
            <w:vAlign w:val="center"/>
          </w:tcPr>
          <w:p w14:paraId="5A1299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供暖</w:t>
            </w:r>
          </w:p>
        </w:tc>
        <w:tc>
          <w:tcPr>
            <w:tcW w:w="4023" w:type="pct"/>
            <w:noWrap w:val="0"/>
            <w:vAlign w:val="center"/>
          </w:tcPr>
          <w:p w14:paraId="436520C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由锅炉房集中供暖，矿山配备有两台1</w:t>
            </w:r>
            <w:r>
              <w:rPr>
                <w:rFonts w:hint="default" w:ascii="Times New Roman" w:hAnsi="Times New Roman" w:cs="Times New Roman"/>
                <w:color w:val="000000" w:themeColor="text1"/>
                <w:kern w:val="0"/>
                <w:szCs w:val="21"/>
                <w14:textFill>
                  <w14:solidFill>
                    <w14:schemeClr w14:val="tx1"/>
                  </w14:solidFill>
                </w14:textFill>
              </w:rPr>
              <w:t>.4</w:t>
            </w:r>
            <w:r>
              <w:rPr>
                <w:rFonts w:hint="eastAsia" w:ascii="Times New Roman" w:hAnsi="Times New Roman" w:cs="Times New Roman"/>
                <w:color w:val="000000" w:themeColor="text1"/>
                <w:kern w:val="0"/>
                <w:szCs w:val="21"/>
                <w14:textFill>
                  <w14:solidFill>
                    <w14:schemeClr w14:val="tx1"/>
                  </w14:solidFill>
                </w14:textFill>
              </w:rPr>
              <w:t>MW电加热锅炉，最大供热负荷为2</w:t>
            </w:r>
            <w:r>
              <w:rPr>
                <w:rFonts w:hint="default" w:ascii="Times New Roman" w:hAnsi="Times New Roman" w:cs="Times New Roman"/>
                <w:color w:val="000000" w:themeColor="text1"/>
                <w:kern w:val="0"/>
                <w:szCs w:val="21"/>
                <w14:textFill>
                  <w14:solidFill>
                    <w14:schemeClr w14:val="tx1"/>
                  </w14:solidFill>
                </w14:textFill>
              </w:rPr>
              <w:t>.8</w:t>
            </w:r>
            <w:r>
              <w:rPr>
                <w:rFonts w:hint="eastAsia" w:ascii="Times New Roman" w:hAnsi="Times New Roman" w:cs="Times New Roman"/>
                <w:color w:val="000000" w:themeColor="text1"/>
                <w:kern w:val="0"/>
                <w:szCs w:val="21"/>
                <w14:textFill>
                  <w14:solidFill>
                    <w14:schemeClr w14:val="tx1"/>
                  </w14:solidFill>
                </w14:textFill>
              </w:rPr>
              <w:t>MW，采用直接供暖的方式。</w:t>
            </w:r>
          </w:p>
        </w:tc>
      </w:tr>
      <w:tr w14:paraId="0D3465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2A07B2D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五</w:t>
            </w:r>
          </w:p>
        </w:tc>
        <w:tc>
          <w:tcPr>
            <w:tcW w:w="4687" w:type="pct"/>
            <w:gridSpan w:val="2"/>
            <w:noWrap w:val="0"/>
            <w:vAlign w:val="center"/>
          </w:tcPr>
          <w:p w14:paraId="25D2237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环保工程</w:t>
            </w:r>
          </w:p>
        </w:tc>
      </w:tr>
      <w:tr w14:paraId="4CE1C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617ED9D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p>
        </w:tc>
        <w:tc>
          <w:tcPr>
            <w:tcW w:w="664" w:type="pct"/>
            <w:noWrap w:val="0"/>
            <w:vAlign w:val="center"/>
          </w:tcPr>
          <w:p w14:paraId="554E6E1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废水</w:t>
            </w:r>
          </w:p>
        </w:tc>
        <w:tc>
          <w:tcPr>
            <w:tcW w:w="4023" w:type="pct"/>
            <w:noWrap w:val="0"/>
            <w:vAlign w:val="center"/>
          </w:tcPr>
          <w:p w14:paraId="74FE2C3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项目矿井涌水经混凝沉淀处理后，一部分用于采矿生产用水和矿山绿化浇灌、工业场地及道路降尘等，其余泵送至选厂生产新水水池供生产使用；生活污水经地埋式一体化污水处理设备处理后</w:t>
            </w:r>
            <w:r>
              <w:rPr>
                <w:rFonts w:hint="eastAsia"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灌溉期全部用于矿区绿化，非灌溉期输送至选厂生产使用。</w:t>
            </w:r>
          </w:p>
        </w:tc>
      </w:tr>
      <w:tr w14:paraId="38A53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35DEE15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p>
        </w:tc>
        <w:tc>
          <w:tcPr>
            <w:tcW w:w="664" w:type="pct"/>
            <w:noWrap w:val="0"/>
            <w:vAlign w:val="center"/>
          </w:tcPr>
          <w:p w14:paraId="2EFC24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废气</w:t>
            </w:r>
          </w:p>
        </w:tc>
        <w:tc>
          <w:tcPr>
            <w:tcW w:w="4023" w:type="pct"/>
            <w:noWrap w:val="0"/>
            <w:vAlign w:val="center"/>
          </w:tcPr>
          <w:p w14:paraId="12A338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矿石运输、卸载产生的无组织粉尘，采取洒水降尘的方式处理。</w:t>
            </w:r>
          </w:p>
        </w:tc>
      </w:tr>
      <w:tr w14:paraId="56C31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4A47041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p>
        </w:tc>
        <w:tc>
          <w:tcPr>
            <w:tcW w:w="664" w:type="pct"/>
            <w:noWrap w:val="0"/>
            <w:vAlign w:val="center"/>
          </w:tcPr>
          <w:p w14:paraId="1C6045E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固体废物</w:t>
            </w:r>
          </w:p>
        </w:tc>
        <w:tc>
          <w:tcPr>
            <w:tcW w:w="4023" w:type="pct"/>
            <w:noWrap w:val="0"/>
            <w:vAlign w:val="center"/>
          </w:tcPr>
          <w:p w14:paraId="454D212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矿山开采产生的废石堆至废石堆场；生活垃圾</w:t>
            </w:r>
            <w:r>
              <w:rPr>
                <w:rFonts w:hint="eastAsia" w:ascii="宋体" w:hAnsi="Times New Roman" w:cs="Times New Roman"/>
                <w:color w:val="000000" w:themeColor="text1"/>
                <w:kern w:val="0"/>
                <w:szCs w:val="20"/>
                <w14:textFill>
                  <w14:solidFill>
                    <w14:schemeClr w14:val="tx1"/>
                  </w14:solidFill>
                </w14:textFill>
              </w:rPr>
              <w:t>临时放置于生活区内垃圾箱</w:t>
            </w:r>
            <w:r>
              <w:rPr>
                <w:rFonts w:hint="eastAsia" w:ascii="Times New Roman" w:hAnsi="Times New Roman" w:cs="Times New Roman"/>
                <w:color w:val="000000" w:themeColor="text1"/>
                <w:kern w:val="0"/>
                <w:szCs w:val="21"/>
                <w14:textFill>
                  <w14:solidFill>
                    <w14:schemeClr w14:val="tx1"/>
                  </w14:solidFill>
                </w14:textFill>
              </w:rPr>
              <w:t>集中收集，定期</w:t>
            </w:r>
            <w:r>
              <w:rPr>
                <w:rFonts w:hint="eastAsia" w:ascii="Times New Roman" w:hAnsi="Times New Roman" w:cs="Times New Roman"/>
                <w:color w:val="000000" w:themeColor="text1"/>
                <w14:textFill>
                  <w14:solidFill>
                    <w14:schemeClr w14:val="tx1"/>
                  </w14:solidFill>
                </w14:textFill>
              </w:rPr>
              <w:t>拉运至雅满苏镇垃圾填埋场处置。</w:t>
            </w:r>
          </w:p>
        </w:tc>
      </w:tr>
      <w:tr w14:paraId="1BF68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12" w:type="pct"/>
            <w:noWrap w:val="0"/>
            <w:vAlign w:val="center"/>
          </w:tcPr>
          <w:p w14:paraId="7DAA339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p>
        </w:tc>
        <w:tc>
          <w:tcPr>
            <w:tcW w:w="664" w:type="pct"/>
            <w:noWrap w:val="0"/>
            <w:vAlign w:val="center"/>
          </w:tcPr>
          <w:p w14:paraId="7C0FE2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噪声</w:t>
            </w:r>
          </w:p>
        </w:tc>
        <w:tc>
          <w:tcPr>
            <w:tcW w:w="4023" w:type="pct"/>
            <w:noWrap w:val="0"/>
            <w:vAlign w:val="center"/>
          </w:tcPr>
          <w:p w14:paraId="3BCDC40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部分设备采取了降噪处理措施。</w:t>
            </w:r>
          </w:p>
        </w:tc>
      </w:tr>
    </w:tbl>
    <w:p w14:paraId="0D88809C">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1.2.3</w:t>
      </w:r>
      <w:r>
        <w:rPr>
          <w:rFonts w:hint="eastAsia" w:ascii="Times New Roman" w:hAnsi="Times New Roman"/>
          <w:bCs w:val="0"/>
          <w:color w:val="000000" w:themeColor="text1"/>
          <w:kern w:val="2"/>
          <w:szCs w:val="24"/>
          <w14:textFill>
            <w14:solidFill>
              <w14:schemeClr w14:val="tx1"/>
            </w14:solidFill>
          </w14:textFill>
        </w:rPr>
        <w:t>矿山开采范围</w:t>
      </w:r>
    </w:p>
    <w:p w14:paraId="67322BEA">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现有工程</w:t>
      </w:r>
      <w:r>
        <w:rPr>
          <w:rFonts w:hint="eastAsia"/>
          <w:color w:val="000000" w:themeColor="text1"/>
          <w:sz w:val="24"/>
          <w:szCs w:val="28"/>
          <w14:textFill>
            <w14:solidFill>
              <w14:schemeClr w14:val="tx1"/>
            </w14:solidFill>
          </w14:textFill>
        </w:rPr>
        <w:t>开采标高为1240～900</w:t>
      </w:r>
      <w:r>
        <w:rPr>
          <w:rFonts w:hint="eastAsia"/>
          <w:color w:val="000000" w:themeColor="text1"/>
          <w:sz w:val="24"/>
          <w:szCs w:val="28"/>
          <w:lang w:eastAsia="zh-CN"/>
          <w14:textFill>
            <w14:solidFill>
              <w14:schemeClr w14:val="tx1"/>
            </w14:solidFill>
          </w14:textFill>
        </w:rPr>
        <w:t>m</w:t>
      </w:r>
      <w:r>
        <w:rPr>
          <w:rFonts w:hint="eastAsia"/>
          <w:color w:val="000000" w:themeColor="text1"/>
          <w:sz w:val="24"/>
          <w:szCs w:val="28"/>
          <w14:textFill>
            <w14:solidFill>
              <w14:schemeClr w14:val="tx1"/>
            </w14:solidFill>
          </w14:textFill>
        </w:rPr>
        <w:t>，开采对象主要是矿区内隐伏的9个矿体，矿区西部Ⅰ-1、Ⅰ-2、Ⅰ-5、Ⅲ-1、Ⅲ-2和Ⅲ-3号矿体，矿区东部Ⅰ-3、Ⅰ-4和Ⅲ-4号矿体。</w:t>
      </w:r>
    </w:p>
    <w:p w14:paraId="3AF089C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矿区范围拐点坐标见表3.</w:t>
      </w:r>
      <w:r>
        <w:rPr>
          <w:color w:val="000000" w:themeColor="text1"/>
          <w:sz w:val="24"/>
          <w:szCs w:val="28"/>
          <w14:textFill>
            <w14:solidFill>
              <w14:schemeClr w14:val="tx1"/>
            </w14:solidFill>
          </w14:textFill>
        </w:rPr>
        <w:t>1</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p>
    <w:p w14:paraId="4692697D">
      <w:pPr>
        <w:pStyle w:val="999"/>
        <w:spacing w:line="480" w:lineRule="exact"/>
        <w:ind w:firstLine="0" w:firstLineChars="0"/>
        <w:jc w:val="center"/>
        <w:rPr>
          <w:rFonts w:cs="Times New Roman"/>
          <w:b/>
          <w:color w:val="000000" w:themeColor="text1"/>
          <w:szCs w:val="24"/>
          <w14:textFill>
            <w14:solidFill>
              <w14:schemeClr w14:val="tx1"/>
            </w14:solidFill>
          </w14:textFill>
        </w:rPr>
      </w:pPr>
      <w:r>
        <w:rPr>
          <w:rFonts w:hint="eastAsia" w:cs="Times New Roman"/>
          <w:b/>
          <w:color w:val="000000" w:themeColor="text1"/>
          <w:szCs w:val="24"/>
          <w:lang w:val="zh-CN"/>
          <w14:textFill>
            <w14:solidFill>
              <w14:schemeClr w14:val="tx1"/>
            </w14:solidFill>
          </w14:textFill>
        </w:rPr>
        <w:t>表3.</w:t>
      </w:r>
      <w:r>
        <w:rPr>
          <w:rFonts w:cs="Times New Roman"/>
          <w:b/>
          <w:color w:val="000000" w:themeColor="text1"/>
          <w:szCs w:val="24"/>
          <w14:textFill>
            <w14:solidFill>
              <w14:schemeClr w14:val="tx1"/>
            </w14:solidFill>
          </w14:textFill>
        </w:rPr>
        <w:t>1</w:t>
      </w:r>
      <w:r>
        <w:rPr>
          <w:rFonts w:hint="eastAsia" w:cs="Times New Roman"/>
          <w:b/>
          <w:color w:val="000000" w:themeColor="text1"/>
          <w:szCs w:val="24"/>
          <w:lang w:val="zh-CN"/>
          <w14:textFill>
            <w14:solidFill>
              <w14:schemeClr w14:val="tx1"/>
            </w14:solidFill>
          </w14:textFill>
        </w:rPr>
        <w:t>-</w:t>
      </w:r>
      <w:r>
        <w:rPr>
          <w:rFonts w:cs="Times New Roman"/>
          <w:b/>
          <w:color w:val="000000" w:themeColor="text1"/>
          <w:szCs w:val="24"/>
          <w14:textFill>
            <w14:solidFill>
              <w14:schemeClr w14:val="tx1"/>
            </w14:solidFill>
          </w14:textFill>
        </w:rPr>
        <w:t>3</w:t>
      </w:r>
      <w:r>
        <w:rPr>
          <w:rFonts w:hint="eastAsia" w:cs="Times New Roman"/>
          <w:b/>
          <w:color w:val="000000" w:themeColor="text1"/>
          <w:szCs w:val="24"/>
          <w14:textFill>
            <w14:solidFill>
              <w14:schemeClr w14:val="tx1"/>
            </w14:solidFill>
          </w14:textFill>
        </w:rPr>
        <w:t xml:space="preserve">    </w:t>
      </w:r>
      <w:r>
        <w:rPr>
          <w:rFonts w:hint="eastAsia" w:cs="Times New Roman"/>
          <w:b/>
          <w:color w:val="000000" w:themeColor="text1"/>
          <w:szCs w:val="24"/>
          <w:lang w:val="en-US" w:eastAsia="zh-CN"/>
          <w14:textFill>
            <w14:solidFill>
              <w14:schemeClr w14:val="tx1"/>
            </w14:solidFill>
          </w14:textFill>
        </w:rPr>
        <w:t>现有工程</w:t>
      </w:r>
      <w:r>
        <w:rPr>
          <w:rFonts w:hint="eastAsia" w:cs="Times New Roman"/>
          <w:b/>
          <w:color w:val="000000" w:themeColor="text1"/>
          <w:szCs w:val="24"/>
          <w14:textFill>
            <w14:solidFill>
              <w14:schemeClr w14:val="tx1"/>
            </w14:solidFill>
          </w14:textFill>
        </w:rPr>
        <w:t>采矿权范围坐标</w:t>
      </w:r>
    </w:p>
    <w:tbl>
      <w:tblPr>
        <w:tblStyle w:val="79"/>
        <w:tblW w:w="514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1" w:type="dxa"/>
          <w:bottom w:w="0" w:type="dxa"/>
          <w:right w:w="11" w:type="dxa"/>
        </w:tblCellMar>
      </w:tblPr>
      <w:tblGrid>
        <w:gridCol w:w="1026"/>
        <w:gridCol w:w="1955"/>
        <w:gridCol w:w="1798"/>
        <w:gridCol w:w="1792"/>
        <w:gridCol w:w="2005"/>
      </w:tblGrid>
      <w:tr w14:paraId="6CBC06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40" w:hRule="atLeast"/>
          <w:tblHeader/>
          <w:jc w:val="center"/>
        </w:trPr>
        <w:tc>
          <w:tcPr>
            <w:tcW w:w="598" w:type="pct"/>
            <w:vMerge w:val="restart"/>
            <w:noWrap w:val="0"/>
            <w:vAlign w:val="center"/>
          </w:tcPr>
          <w:p w14:paraId="5424895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拐点编号</w:t>
            </w:r>
          </w:p>
        </w:tc>
        <w:tc>
          <w:tcPr>
            <w:tcW w:w="4401" w:type="pct"/>
            <w:gridSpan w:val="4"/>
            <w:noWrap w:val="0"/>
            <w:vAlign w:val="center"/>
          </w:tcPr>
          <w:p w14:paraId="6B4602B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CGCS2000坐标系（3度带）</w:t>
            </w:r>
          </w:p>
        </w:tc>
      </w:tr>
      <w:tr w14:paraId="658ABE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40" w:hRule="atLeast"/>
          <w:tblHeader/>
          <w:jc w:val="center"/>
        </w:trPr>
        <w:tc>
          <w:tcPr>
            <w:tcW w:w="598" w:type="pct"/>
            <w:vMerge w:val="continue"/>
            <w:noWrap w:val="0"/>
            <w:vAlign w:val="center"/>
          </w:tcPr>
          <w:p w14:paraId="37C043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1140" w:type="pct"/>
            <w:noWrap w:val="0"/>
            <w:vAlign w:val="center"/>
          </w:tcPr>
          <w:p w14:paraId="28EAD5E0">
            <w:pPr>
              <w:keepNext w:val="0"/>
              <w:keepLines w:val="0"/>
              <w:suppressLineNumbers w:val="0"/>
              <w:spacing w:before="0" w:beforeAutospacing="0" w:after="0" w:afterAutospacing="0" w:line="360" w:lineRule="exact"/>
              <w:ind w:left="0" w:right="0"/>
              <w:jc w:val="center"/>
              <w:rPr>
                <w:rFonts w:hint="eastAsia" w:ascii="Times New Roman" w:hAnsi="Times New Roman" w:cs="仿宋"/>
                <w:b/>
                <w:bCs/>
                <w:color w:val="000000" w:themeColor="text1"/>
                <w:szCs w:val="21"/>
                <w14:textFill>
                  <w14:solidFill>
                    <w14:schemeClr w14:val="tx1"/>
                  </w14:solidFill>
                </w14:textFill>
              </w:rPr>
            </w:pPr>
            <w:r>
              <w:rPr>
                <w:rFonts w:hint="eastAsia" w:ascii="Times New Roman" w:hAnsi="Times New Roman" w:cs="仿宋"/>
                <w:b/>
                <w:bCs/>
                <w:color w:val="000000" w:themeColor="text1"/>
                <w:szCs w:val="21"/>
                <w14:textFill>
                  <w14:solidFill>
                    <w14:schemeClr w14:val="tx1"/>
                  </w14:solidFill>
                </w14:textFill>
              </w:rPr>
              <w:t>东经（E）</w:t>
            </w:r>
          </w:p>
        </w:tc>
        <w:tc>
          <w:tcPr>
            <w:tcW w:w="1048" w:type="pct"/>
            <w:noWrap w:val="0"/>
            <w:vAlign w:val="center"/>
          </w:tcPr>
          <w:p w14:paraId="4584B55B">
            <w:pPr>
              <w:keepNext w:val="0"/>
              <w:keepLines w:val="0"/>
              <w:suppressLineNumbers w:val="0"/>
              <w:spacing w:before="0" w:beforeAutospacing="0" w:after="0" w:afterAutospacing="0" w:line="360" w:lineRule="exact"/>
              <w:ind w:left="0" w:right="0"/>
              <w:jc w:val="center"/>
              <w:rPr>
                <w:rFonts w:hint="eastAsia" w:ascii="Times New Roman" w:hAnsi="Times New Roman" w:cs="仿宋"/>
                <w:b/>
                <w:bCs/>
                <w:color w:val="000000" w:themeColor="text1"/>
                <w:szCs w:val="21"/>
                <w14:textFill>
                  <w14:solidFill>
                    <w14:schemeClr w14:val="tx1"/>
                  </w14:solidFill>
                </w14:textFill>
              </w:rPr>
            </w:pPr>
            <w:r>
              <w:rPr>
                <w:rFonts w:hint="eastAsia" w:ascii="Times New Roman" w:hAnsi="Times New Roman" w:cs="仿宋"/>
                <w:b/>
                <w:bCs/>
                <w:color w:val="000000" w:themeColor="text1"/>
                <w:szCs w:val="21"/>
                <w14:textFill>
                  <w14:solidFill>
                    <w14:schemeClr w14:val="tx1"/>
                  </w14:solidFill>
                </w14:textFill>
              </w:rPr>
              <w:t>北纬（N）</w:t>
            </w:r>
          </w:p>
        </w:tc>
        <w:tc>
          <w:tcPr>
            <w:tcW w:w="1045" w:type="pct"/>
            <w:noWrap w:val="0"/>
            <w:vAlign w:val="center"/>
          </w:tcPr>
          <w:p w14:paraId="3E775A2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X</w:t>
            </w:r>
          </w:p>
        </w:tc>
        <w:tc>
          <w:tcPr>
            <w:tcW w:w="1167" w:type="pct"/>
            <w:noWrap w:val="0"/>
            <w:vAlign w:val="center"/>
          </w:tcPr>
          <w:p w14:paraId="102599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Y</w:t>
            </w:r>
          </w:p>
        </w:tc>
      </w:tr>
      <w:tr w14:paraId="6D3B8B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40" w:hRule="atLeast"/>
          <w:jc w:val="center"/>
        </w:trPr>
        <w:tc>
          <w:tcPr>
            <w:tcW w:w="598" w:type="pct"/>
            <w:noWrap w:val="0"/>
            <w:vAlign w:val="center"/>
          </w:tcPr>
          <w:p w14:paraId="361A32F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140" w:type="pct"/>
            <w:noWrap w:val="0"/>
            <w:vAlign w:val="center"/>
          </w:tcPr>
          <w:p w14:paraId="409E482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48" w:type="pct"/>
            <w:noWrap w:val="0"/>
            <w:vAlign w:val="center"/>
          </w:tcPr>
          <w:p w14:paraId="1B9184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45" w:type="pct"/>
            <w:noWrap w:val="0"/>
            <w:vAlign w:val="center"/>
          </w:tcPr>
          <w:p w14:paraId="03630FD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67" w:type="pct"/>
            <w:noWrap w:val="0"/>
            <w:vAlign w:val="center"/>
          </w:tcPr>
          <w:p w14:paraId="6113339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325C80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40" w:hRule="atLeast"/>
          <w:jc w:val="center"/>
        </w:trPr>
        <w:tc>
          <w:tcPr>
            <w:tcW w:w="598" w:type="pct"/>
            <w:noWrap w:val="0"/>
            <w:vAlign w:val="center"/>
          </w:tcPr>
          <w:p w14:paraId="08EDC19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1140" w:type="pct"/>
            <w:noWrap w:val="0"/>
            <w:vAlign w:val="center"/>
          </w:tcPr>
          <w:p w14:paraId="7F944F4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48" w:type="pct"/>
            <w:noWrap w:val="0"/>
            <w:vAlign w:val="center"/>
          </w:tcPr>
          <w:p w14:paraId="3E073B4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45" w:type="pct"/>
            <w:noWrap w:val="0"/>
            <w:vAlign w:val="center"/>
          </w:tcPr>
          <w:p w14:paraId="51F1D53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67" w:type="pct"/>
            <w:noWrap w:val="0"/>
            <w:vAlign w:val="center"/>
          </w:tcPr>
          <w:p w14:paraId="076E978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4C0A3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40" w:hRule="atLeast"/>
          <w:jc w:val="center"/>
        </w:trPr>
        <w:tc>
          <w:tcPr>
            <w:tcW w:w="598" w:type="pct"/>
            <w:noWrap w:val="0"/>
            <w:vAlign w:val="center"/>
          </w:tcPr>
          <w:p w14:paraId="1912574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1140" w:type="pct"/>
            <w:noWrap w:val="0"/>
            <w:vAlign w:val="center"/>
          </w:tcPr>
          <w:p w14:paraId="73C8CA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48" w:type="pct"/>
            <w:noWrap w:val="0"/>
            <w:vAlign w:val="center"/>
          </w:tcPr>
          <w:p w14:paraId="4F6A8F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45" w:type="pct"/>
            <w:noWrap w:val="0"/>
            <w:vAlign w:val="center"/>
          </w:tcPr>
          <w:p w14:paraId="674E0AC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67" w:type="pct"/>
            <w:noWrap w:val="0"/>
            <w:vAlign w:val="center"/>
          </w:tcPr>
          <w:p w14:paraId="716478B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0185E7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40" w:hRule="atLeast"/>
          <w:jc w:val="center"/>
        </w:trPr>
        <w:tc>
          <w:tcPr>
            <w:tcW w:w="598" w:type="pct"/>
            <w:noWrap w:val="0"/>
            <w:vAlign w:val="center"/>
          </w:tcPr>
          <w:p w14:paraId="421120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1140" w:type="pct"/>
            <w:noWrap w:val="0"/>
            <w:vAlign w:val="center"/>
          </w:tcPr>
          <w:p w14:paraId="6BC4A2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48" w:type="pct"/>
            <w:noWrap w:val="0"/>
            <w:vAlign w:val="center"/>
          </w:tcPr>
          <w:p w14:paraId="0B7014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45" w:type="pct"/>
            <w:noWrap w:val="0"/>
            <w:vAlign w:val="center"/>
          </w:tcPr>
          <w:p w14:paraId="6C424FB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67" w:type="pct"/>
            <w:noWrap w:val="0"/>
            <w:vAlign w:val="center"/>
          </w:tcPr>
          <w:p w14:paraId="52910B0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74E88D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40" w:hRule="atLeast"/>
          <w:jc w:val="center"/>
        </w:trPr>
        <w:tc>
          <w:tcPr>
            <w:tcW w:w="5000" w:type="pct"/>
            <w:gridSpan w:val="5"/>
            <w:noWrap w:val="0"/>
            <w:vAlign w:val="center"/>
          </w:tcPr>
          <w:p w14:paraId="1B75163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矿区面积：1.0401km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；开采深度：1240m至900m标高</w:t>
            </w:r>
          </w:p>
        </w:tc>
      </w:tr>
    </w:tbl>
    <w:p w14:paraId="1BE0D105">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1.2.4</w:t>
      </w:r>
      <w:r>
        <w:rPr>
          <w:rFonts w:hint="eastAsia" w:ascii="Times New Roman" w:hAnsi="Times New Roman"/>
          <w:bCs w:val="0"/>
          <w:color w:val="000000" w:themeColor="text1"/>
          <w:kern w:val="2"/>
          <w:szCs w:val="24"/>
          <w14:textFill>
            <w14:solidFill>
              <w14:schemeClr w14:val="tx1"/>
            </w14:solidFill>
          </w14:textFill>
        </w:rPr>
        <w:t>开采现状及资源利用情况</w:t>
      </w:r>
    </w:p>
    <w:p w14:paraId="6AB65F8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截</w:t>
      </w:r>
      <w:r>
        <w:rPr>
          <w:rFonts w:hint="eastAsia"/>
          <w:color w:val="000000" w:themeColor="text1"/>
          <w:sz w:val="24"/>
          <w:szCs w:val="24"/>
          <w:lang w:val="en-US" w:eastAsia="zh-CN"/>
          <w14:textFill>
            <w14:solidFill>
              <w14:schemeClr w14:val="tx1"/>
            </w14:solidFill>
          </w14:textFill>
        </w:rPr>
        <w:t>至</w:t>
      </w:r>
      <w:r>
        <w:rPr>
          <w:rFonts w:hint="eastAsia"/>
          <w:color w:val="000000" w:themeColor="text1"/>
          <w:sz w:val="24"/>
          <w:szCs w:val="24"/>
          <w14:textFill>
            <w14:solidFill>
              <w14:schemeClr w14:val="tx1"/>
            </w14:solidFill>
          </w14:textFill>
        </w:rPr>
        <w:t>2021年12月31日，矿山共动用矿石量约245.07万t</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其中2007年以前动用</w:t>
      </w:r>
      <w:r>
        <w:rPr>
          <w:rFonts w:hint="eastAsia"/>
          <w:color w:val="000000" w:themeColor="text1"/>
          <w:sz w:val="24"/>
          <w:szCs w:val="24"/>
          <w14:textFill>
            <w14:solidFill>
              <w14:schemeClr w14:val="tx1"/>
            </w14:solidFill>
          </w14:textFill>
        </w:rPr>
        <w:t>矿石量</w:t>
      </w:r>
      <w:r>
        <w:rPr>
          <w:rFonts w:hint="eastAsia"/>
          <w:color w:val="000000" w:themeColor="text1"/>
          <w:sz w:val="24"/>
          <w:szCs w:val="24"/>
          <w:lang w:val="en-US" w:eastAsia="zh-CN"/>
          <w14:textFill>
            <w14:solidFill>
              <w14:schemeClr w14:val="tx1"/>
            </w14:solidFill>
          </w14:textFill>
        </w:rPr>
        <w:t>191.32万吨，2013年</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2014年动用</w:t>
      </w:r>
      <w:r>
        <w:rPr>
          <w:rFonts w:hint="eastAsia"/>
          <w:color w:val="000000" w:themeColor="text1"/>
          <w:sz w:val="24"/>
          <w:szCs w:val="24"/>
          <w14:textFill>
            <w14:solidFill>
              <w14:schemeClr w14:val="tx1"/>
            </w14:solidFill>
          </w14:textFill>
        </w:rPr>
        <w:t>矿石量</w:t>
      </w:r>
      <w:r>
        <w:rPr>
          <w:rFonts w:hint="eastAsia"/>
          <w:color w:val="000000" w:themeColor="text1"/>
          <w:sz w:val="24"/>
          <w:szCs w:val="24"/>
          <w:lang w:val="en-US" w:eastAsia="zh-CN"/>
          <w14:textFill>
            <w14:solidFill>
              <w14:schemeClr w14:val="tx1"/>
            </w14:solidFill>
          </w14:textFill>
        </w:rPr>
        <w:t>53.75万吨</w:t>
      </w:r>
      <w:r>
        <w:rPr>
          <w:rFonts w:hint="eastAsia"/>
          <w:color w:val="000000" w:themeColor="text1"/>
          <w:sz w:val="24"/>
          <w:szCs w:val="24"/>
          <w14:textFill>
            <w14:solidFill>
              <w14:schemeClr w14:val="tx1"/>
            </w14:solidFill>
          </w14:textFill>
        </w:rPr>
        <w:t>。矿山现在已有1个采空区，位于Ⅰ-1号矿体。2013</w:t>
      </w:r>
      <w:r>
        <w:rPr>
          <w:rFonts w:hint="eastAsia"/>
          <w:color w:val="000000" w:themeColor="text1"/>
          <w:sz w:val="24"/>
          <w:szCs w:val="24"/>
          <w:lang w:val="en-US" w:eastAsia="zh-CN"/>
          <w14:textFill>
            <w14:solidFill>
              <w14:schemeClr w14:val="tx1"/>
            </w14:solidFill>
          </w14:textFill>
        </w:rPr>
        <w:t>年</w:t>
      </w:r>
      <w:r>
        <w:rPr>
          <w:rFonts w:hint="eastAsia"/>
          <w:color w:val="000000" w:themeColor="text1"/>
          <w:sz w:val="24"/>
          <w:szCs w:val="24"/>
          <w14:textFill>
            <w14:solidFill>
              <w14:schemeClr w14:val="tx1"/>
            </w14:solidFill>
          </w14:textFill>
        </w:rPr>
        <w:t>～2014年度矿山主要对Ⅰ-1号矿体进行开采，采空区为三中段（1080m标高）00线至01线和四中段（1030m标高）00线以东至01线。采空区平面投影面积4764</w:t>
      </w:r>
      <w:r>
        <w:rPr>
          <w:rFonts w:hint="eastAsia"/>
          <w:color w:val="000000" w:themeColor="text1"/>
          <w:sz w:val="24"/>
          <w:szCs w:val="24"/>
          <w:lang w:val="en-US" w:eastAsia="zh-CN"/>
          <w14:textFill>
            <w14:solidFill>
              <w14:schemeClr w14:val="tx1"/>
            </w14:solidFill>
          </w14:textFill>
        </w:rPr>
        <w:t>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w:t>
      </w:r>
    </w:p>
    <w:p w14:paraId="2800E1E3">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.1.2.5</w:t>
      </w:r>
      <w:r>
        <w:rPr>
          <w:rFonts w:hint="eastAsia" w:ascii="Times New Roman" w:hAnsi="Times New Roman"/>
          <w:bCs w:val="0"/>
          <w:color w:val="000000" w:themeColor="text1"/>
          <w:kern w:val="2"/>
          <w:szCs w:val="24"/>
          <w14:textFill>
            <w14:solidFill>
              <w14:schemeClr w14:val="tx1"/>
            </w14:solidFill>
          </w14:textFill>
        </w:rPr>
        <w:t>井巷基建工程量</w:t>
      </w:r>
    </w:p>
    <w:p w14:paraId="01D746D8">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现有工程井巷基建工程量</w:t>
      </w:r>
      <w:r>
        <w:rPr>
          <w:rFonts w:hint="eastAsia"/>
          <w:color w:val="000000" w:themeColor="text1"/>
          <w:sz w:val="24"/>
          <w:szCs w:val="24"/>
          <w:lang w:val="en-US" w:eastAsia="zh-CN"/>
          <w14:textFill>
            <w14:solidFill>
              <w14:schemeClr w14:val="tx1"/>
            </w14:solidFill>
          </w14:textFill>
        </w:rPr>
        <w:t>见</w:t>
      </w:r>
      <w:r>
        <w:rPr>
          <w:rFonts w:hint="eastAsia"/>
          <w:color w:val="000000" w:themeColor="text1"/>
          <w:sz w:val="24"/>
          <w:szCs w:val="24"/>
          <w14:textFill>
            <w14:solidFill>
              <w14:schemeClr w14:val="tx1"/>
            </w14:solidFill>
          </w14:textFill>
        </w:rPr>
        <w:t>表3</w:t>
      </w:r>
      <w:r>
        <w:rPr>
          <w:color w:val="000000" w:themeColor="text1"/>
          <w:sz w:val="24"/>
          <w:szCs w:val="24"/>
          <w14:textFill>
            <w14:solidFill>
              <w14:schemeClr w14:val="tx1"/>
            </w14:solidFill>
          </w14:textFill>
        </w:rPr>
        <w:t>.1-4</w:t>
      </w:r>
      <w:r>
        <w:rPr>
          <w:rFonts w:hint="eastAsia"/>
          <w:color w:val="000000" w:themeColor="text1"/>
          <w:sz w:val="24"/>
          <w:szCs w:val="24"/>
          <w14:textFill>
            <w14:solidFill>
              <w14:schemeClr w14:val="tx1"/>
            </w14:solidFill>
          </w14:textFill>
        </w:rPr>
        <w:t>。</w:t>
      </w:r>
    </w:p>
    <w:p w14:paraId="58F90C8D">
      <w:pPr>
        <w:pStyle w:val="999"/>
        <w:spacing w:line="480" w:lineRule="exact"/>
        <w:ind w:firstLine="0" w:firstLineChars="0"/>
        <w:jc w:val="center"/>
        <w:rPr>
          <w:rFonts w:cs="Times New Roman"/>
          <w:b/>
          <w:color w:val="000000" w:themeColor="text1"/>
          <w:szCs w:val="24"/>
          <w:lang w:val="zh-CN"/>
          <w14:textFill>
            <w14:solidFill>
              <w14:schemeClr w14:val="tx1"/>
            </w14:solidFill>
          </w14:textFill>
        </w:rPr>
      </w:pPr>
      <w:r>
        <w:rPr>
          <w:rFonts w:hint="eastAsia" w:cs="Times New Roman"/>
          <w:b/>
          <w:color w:val="000000" w:themeColor="text1"/>
          <w:szCs w:val="24"/>
          <w:lang w:val="zh-CN"/>
          <w14:textFill>
            <w14:solidFill>
              <w14:schemeClr w14:val="tx1"/>
            </w14:solidFill>
          </w14:textFill>
        </w:rPr>
        <w:t>表3</w:t>
      </w:r>
      <w:r>
        <w:rPr>
          <w:rFonts w:cs="Times New Roman"/>
          <w:b/>
          <w:color w:val="000000" w:themeColor="text1"/>
          <w:szCs w:val="24"/>
          <w:lang w:val="zh-CN"/>
          <w14:textFill>
            <w14:solidFill>
              <w14:schemeClr w14:val="tx1"/>
            </w14:solidFill>
          </w14:textFill>
        </w:rPr>
        <w:t xml:space="preserve">.1-4    </w:t>
      </w:r>
      <w:r>
        <w:rPr>
          <w:rFonts w:hint="eastAsia" w:cs="Times New Roman"/>
          <w:b/>
          <w:color w:val="000000" w:themeColor="text1"/>
          <w:szCs w:val="24"/>
          <w:lang w:val="zh-CN"/>
          <w14:textFill>
            <w14:solidFill>
              <w14:schemeClr w14:val="tx1"/>
            </w14:solidFill>
          </w14:textFill>
        </w:rPr>
        <w:t>现有工程井巷基建工程量表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4"/>
        <w:gridCol w:w="1744"/>
        <w:gridCol w:w="1263"/>
        <w:gridCol w:w="871"/>
        <w:gridCol w:w="1087"/>
        <w:gridCol w:w="956"/>
        <w:gridCol w:w="1052"/>
        <w:gridCol w:w="895"/>
      </w:tblGrid>
      <w:tr w14:paraId="546E2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84" w:type="pct"/>
            <w:vMerge w:val="restart"/>
            <w:noWrap w:val="0"/>
            <w:vAlign w:val="center"/>
          </w:tcPr>
          <w:p w14:paraId="50131D0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bookmarkStart w:id="279" w:name="_Hlk111970861" w:colFirst="0" w:colLast="7"/>
            <w:r>
              <w:rPr>
                <w:rFonts w:hint="eastAsia" w:ascii="Times New Roman" w:hAnsi="Times New Roman" w:cs="Times New Roman"/>
                <w:b/>
                <w:color w:val="000000" w:themeColor="text1"/>
                <w:szCs w:val="21"/>
                <w14:textFill>
                  <w14:solidFill>
                    <w14:schemeClr w14:val="tx1"/>
                  </w14:solidFill>
                </w14:textFill>
              </w:rPr>
              <w:t>序号</w:t>
            </w:r>
          </w:p>
        </w:tc>
        <w:tc>
          <w:tcPr>
            <w:tcW w:w="1022" w:type="pct"/>
            <w:vMerge w:val="restart"/>
            <w:noWrap w:val="0"/>
            <w:vAlign w:val="center"/>
          </w:tcPr>
          <w:p w14:paraId="16FA1B4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工程名称</w:t>
            </w:r>
          </w:p>
        </w:tc>
        <w:tc>
          <w:tcPr>
            <w:tcW w:w="741" w:type="pct"/>
            <w:vMerge w:val="restart"/>
            <w:noWrap w:val="0"/>
            <w:vAlign w:val="center"/>
          </w:tcPr>
          <w:p w14:paraId="51EF295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支护形式</w:t>
            </w:r>
          </w:p>
        </w:tc>
        <w:tc>
          <w:tcPr>
            <w:tcW w:w="1149" w:type="pct"/>
            <w:gridSpan w:val="2"/>
            <w:noWrap w:val="0"/>
            <w:vAlign w:val="center"/>
          </w:tcPr>
          <w:p w14:paraId="240D447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断面积（m</w:t>
            </w:r>
            <w:r>
              <w:rPr>
                <w:rFonts w:hint="eastAsia" w:ascii="Times New Roman" w:hAnsi="Times New Roman" w:cs="Times New Roman"/>
                <w:b/>
                <w:color w:val="000000" w:themeColor="text1"/>
                <w:szCs w:val="21"/>
                <w:vertAlign w:val="superscript"/>
                <w14:textFill>
                  <w14:solidFill>
                    <w14:schemeClr w14:val="tx1"/>
                  </w14:solidFill>
                </w14:textFill>
              </w:rPr>
              <w:t>2</w:t>
            </w:r>
            <w:r>
              <w:rPr>
                <w:rFonts w:hint="eastAsia" w:ascii="Times New Roman" w:hAnsi="Times New Roman" w:cs="Times New Roman"/>
                <w:b/>
                <w:color w:val="000000" w:themeColor="text1"/>
                <w:szCs w:val="21"/>
                <w14:textFill>
                  <w14:solidFill>
                    <w14:schemeClr w14:val="tx1"/>
                  </w14:solidFill>
                </w14:textFill>
              </w:rPr>
              <w:t>）</w:t>
            </w:r>
          </w:p>
        </w:tc>
        <w:tc>
          <w:tcPr>
            <w:tcW w:w="1178" w:type="pct"/>
            <w:gridSpan w:val="2"/>
            <w:noWrap w:val="0"/>
            <w:vAlign w:val="center"/>
          </w:tcPr>
          <w:p w14:paraId="349426F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工程量（m</w:t>
            </w:r>
            <w:r>
              <w:rPr>
                <w:rFonts w:hint="eastAsia" w:ascii="Times New Roman" w:hAnsi="Times New Roman" w:cs="Times New Roman"/>
                <w:b/>
                <w:color w:val="000000" w:themeColor="text1"/>
                <w:szCs w:val="21"/>
                <w:vertAlign w:val="superscript"/>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w:t>
            </w:r>
          </w:p>
        </w:tc>
        <w:tc>
          <w:tcPr>
            <w:tcW w:w="526" w:type="pct"/>
            <w:vMerge w:val="restart"/>
            <w:noWrap w:val="0"/>
            <w:vAlign w:val="center"/>
          </w:tcPr>
          <w:p w14:paraId="742BC3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支护量</w:t>
            </w:r>
          </w:p>
          <w:p w14:paraId="0ADF8F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（m</w:t>
            </w:r>
            <w:r>
              <w:rPr>
                <w:rFonts w:hint="eastAsia" w:ascii="Times New Roman" w:hAnsi="Times New Roman" w:cs="Times New Roman"/>
                <w:b/>
                <w:color w:val="000000" w:themeColor="text1"/>
                <w:szCs w:val="21"/>
                <w:vertAlign w:val="superscript"/>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w:t>
            </w:r>
          </w:p>
        </w:tc>
      </w:tr>
      <w:tr w14:paraId="04504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84" w:type="pct"/>
            <w:vMerge w:val="continue"/>
            <w:noWrap w:val="0"/>
            <w:vAlign w:val="center"/>
          </w:tcPr>
          <w:p w14:paraId="3C629C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1022" w:type="pct"/>
            <w:vMerge w:val="continue"/>
            <w:noWrap w:val="0"/>
            <w:vAlign w:val="center"/>
          </w:tcPr>
          <w:p w14:paraId="38A6360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41" w:type="pct"/>
            <w:vMerge w:val="continue"/>
            <w:noWrap w:val="0"/>
            <w:vAlign w:val="center"/>
          </w:tcPr>
          <w:p w14:paraId="38B415F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511" w:type="pct"/>
            <w:noWrap w:val="0"/>
            <w:vAlign w:val="center"/>
          </w:tcPr>
          <w:p w14:paraId="4D32BC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净断面</w:t>
            </w:r>
          </w:p>
        </w:tc>
        <w:tc>
          <w:tcPr>
            <w:tcW w:w="638" w:type="pct"/>
            <w:noWrap w:val="0"/>
            <w:vAlign w:val="center"/>
          </w:tcPr>
          <w:p w14:paraId="4F468B1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掘进断面</w:t>
            </w:r>
          </w:p>
        </w:tc>
        <w:tc>
          <w:tcPr>
            <w:tcW w:w="561" w:type="pct"/>
            <w:noWrap w:val="0"/>
            <w:vAlign w:val="center"/>
          </w:tcPr>
          <w:p w14:paraId="5099A4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L（m）</w:t>
            </w:r>
          </w:p>
        </w:tc>
        <w:tc>
          <w:tcPr>
            <w:tcW w:w="617" w:type="pct"/>
            <w:noWrap w:val="0"/>
            <w:vAlign w:val="center"/>
          </w:tcPr>
          <w:p w14:paraId="3B99E8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V（m</w:t>
            </w:r>
            <w:r>
              <w:rPr>
                <w:rFonts w:hint="eastAsia" w:ascii="Times New Roman" w:hAnsi="Times New Roman" w:cs="Times New Roman"/>
                <w:b/>
                <w:color w:val="000000" w:themeColor="text1"/>
                <w:szCs w:val="21"/>
                <w:vertAlign w:val="superscript"/>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w:t>
            </w:r>
          </w:p>
        </w:tc>
        <w:tc>
          <w:tcPr>
            <w:tcW w:w="526" w:type="pct"/>
            <w:vMerge w:val="continue"/>
            <w:noWrap w:val="0"/>
            <w:vAlign w:val="center"/>
          </w:tcPr>
          <w:p w14:paraId="2197A16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r>
      <w:tr w14:paraId="06325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noWrap w:val="0"/>
            <w:vAlign w:val="center"/>
          </w:tcPr>
          <w:p w14:paraId="4183278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022" w:type="pct"/>
            <w:noWrap w:val="0"/>
            <w:vAlign w:val="center"/>
          </w:tcPr>
          <w:p w14:paraId="43E61CA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罐笼竖井</w:t>
            </w:r>
          </w:p>
        </w:tc>
        <w:tc>
          <w:tcPr>
            <w:tcW w:w="741" w:type="pct"/>
            <w:noWrap w:val="0"/>
            <w:vAlign w:val="center"/>
          </w:tcPr>
          <w:p w14:paraId="164213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mm砼</w:t>
            </w:r>
          </w:p>
        </w:tc>
        <w:tc>
          <w:tcPr>
            <w:tcW w:w="511" w:type="pct"/>
            <w:noWrap w:val="0"/>
            <w:vAlign w:val="center"/>
          </w:tcPr>
          <w:p w14:paraId="15E745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19.63</w:t>
            </w:r>
          </w:p>
        </w:tc>
        <w:tc>
          <w:tcPr>
            <w:tcW w:w="638" w:type="pct"/>
            <w:noWrap w:val="0"/>
            <w:vAlign w:val="center"/>
          </w:tcPr>
          <w:p w14:paraId="182F8BE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24.62</w:t>
            </w:r>
          </w:p>
        </w:tc>
        <w:tc>
          <w:tcPr>
            <w:tcW w:w="561" w:type="pct"/>
            <w:noWrap w:val="0"/>
            <w:vAlign w:val="center"/>
          </w:tcPr>
          <w:p w14:paraId="3CA391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230</w:t>
            </w:r>
          </w:p>
        </w:tc>
        <w:tc>
          <w:tcPr>
            <w:tcW w:w="617" w:type="pct"/>
            <w:noWrap w:val="0"/>
            <w:vAlign w:val="center"/>
          </w:tcPr>
          <w:p w14:paraId="59A239B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5613</w:t>
            </w:r>
          </w:p>
        </w:tc>
        <w:tc>
          <w:tcPr>
            <w:tcW w:w="526" w:type="pct"/>
            <w:noWrap w:val="0"/>
            <w:vAlign w:val="center"/>
          </w:tcPr>
          <w:p w14:paraId="4169C22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1138</w:t>
            </w:r>
          </w:p>
        </w:tc>
      </w:tr>
      <w:tr w14:paraId="1BAB0F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noWrap w:val="0"/>
            <w:vAlign w:val="center"/>
          </w:tcPr>
          <w:p w14:paraId="447B51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1022" w:type="pct"/>
            <w:noWrap w:val="0"/>
            <w:vAlign w:val="center"/>
          </w:tcPr>
          <w:p w14:paraId="1A2A365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箕斗竖井</w:t>
            </w:r>
          </w:p>
        </w:tc>
        <w:tc>
          <w:tcPr>
            <w:tcW w:w="741" w:type="pct"/>
            <w:noWrap w:val="0"/>
            <w:vAlign w:val="center"/>
          </w:tcPr>
          <w:p w14:paraId="55405A2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mm砼</w:t>
            </w:r>
          </w:p>
        </w:tc>
        <w:tc>
          <w:tcPr>
            <w:tcW w:w="511" w:type="pct"/>
            <w:noWrap w:val="0"/>
            <w:vAlign w:val="center"/>
          </w:tcPr>
          <w:p w14:paraId="2A43C3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13.85</w:t>
            </w:r>
          </w:p>
        </w:tc>
        <w:tc>
          <w:tcPr>
            <w:tcW w:w="638" w:type="pct"/>
            <w:noWrap w:val="0"/>
            <w:vAlign w:val="center"/>
          </w:tcPr>
          <w:p w14:paraId="558533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18.09</w:t>
            </w:r>
          </w:p>
        </w:tc>
        <w:tc>
          <w:tcPr>
            <w:tcW w:w="561" w:type="pct"/>
            <w:noWrap w:val="0"/>
            <w:vAlign w:val="center"/>
          </w:tcPr>
          <w:p w14:paraId="3C7DE69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225</w:t>
            </w:r>
          </w:p>
        </w:tc>
        <w:tc>
          <w:tcPr>
            <w:tcW w:w="617" w:type="pct"/>
            <w:noWrap w:val="0"/>
            <w:vAlign w:val="center"/>
          </w:tcPr>
          <w:p w14:paraId="341E749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4251</w:t>
            </w:r>
          </w:p>
        </w:tc>
        <w:tc>
          <w:tcPr>
            <w:tcW w:w="526" w:type="pct"/>
            <w:noWrap w:val="0"/>
            <w:vAlign w:val="center"/>
          </w:tcPr>
          <w:p w14:paraId="1809EA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996</w:t>
            </w:r>
          </w:p>
        </w:tc>
      </w:tr>
      <w:tr w14:paraId="35500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noWrap w:val="0"/>
            <w:vAlign w:val="center"/>
          </w:tcPr>
          <w:p w14:paraId="6E3C45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1022" w:type="pct"/>
            <w:noWrap w:val="0"/>
            <w:vAlign w:val="center"/>
          </w:tcPr>
          <w:p w14:paraId="2D81360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1187m</w:t>
            </w:r>
            <w:r>
              <w:rPr>
                <w:rFonts w:hint="eastAsia" w:ascii="Times New Roman" w:hAnsi="Times New Roman" w:cs="Times New Roman"/>
                <w:color w:val="000000" w:themeColor="text1"/>
                <w:szCs w:val="21"/>
                <w14:textFill>
                  <w14:solidFill>
                    <w14:schemeClr w14:val="tx1"/>
                  </w14:solidFill>
                </w14:textFill>
              </w:rPr>
              <w:t>中段巷道</w:t>
            </w:r>
          </w:p>
        </w:tc>
        <w:tc>
          <w:tcPr>
            <w:tcW w:w="741" w:type="pct"/>
            <w:noWrap w:val="0"/>
            <w:vAlign w:val="center"/>
          </w:tcPr>
          <w:p w14:paraId="36B0A5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70mm喷砼</w:t>
            </w:r>
          </w:p>
        </w:tc>
        <w:tc>
          <w:tcPr>
            <w:tcW w:w="511" w:type="pct"/>
            <w:noWrap w:val="0"/>
            <w:vAlign w:val="center"/>
          </w:tcPr>
          <w:p w14:paraId="1DF49A4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38" w:type="pct"/>
            <w:noWrap w:val="0"/>
            <w:vAlign w:val="center"/>
          </w:tcPr>
          <w:p w14:paraId="204D0A1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61" w:type="pct"/>
            <w:noWrap w:val="0"/>
            <w:vAlign w:val="center"/>
          </w:tcPr>
          <w:p w14:paraId="70D5C2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480</w:t>
            </w:r>
          </w:p>
        </w:tc>
        <w:tc>
          <w:tcPr>
            <w:tcW w:w="617" w:type="pct"/>
            <w:noWrap w:val="0"/>
            <w:vAlign w:val="center"/>
          </w:tcPr>
          <w:p w14:paraId="25CE10B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3965</w:t>
            </w:r>
          </w:p>
        </w:tc>
        <w:tc>
          <w:tcPr>
            <w:tcW w:w="526" w:type="pct"/>
            <w:noWrap w:val="0"/>
            <w:vAlign w:val="center"/>
          </w:tcPr>
          <w:p w14:paraId="6AB062C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174</w:t>
            </w:r>
          </w:p>
        </w:tc>
      </w:tr>
      <w:tr w14:paraId="0B971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noWrap w:val="0"/>
            <w:vAlign w:val="center"/>
          </w:tcPr>
          <w:p w14:paraId="1BC71BF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1022" w:type="pct"/>
            <w:noWrap w:val="0"/>
            <w:vAlign w:val="center"/>
          </w:tcPr>
          <w:p w14:paraId="5FEB34C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1144m</w:t>
            </w:r>
            <w:r>
              <w:rPr>
                <w:rFonts w:hint="eastAsia" w:ascii="Times New Roman" w:hAnsi="Times New Roman" w:cs="Times New Roman"/>
                <w:color w:val="000000" w:themeColor="text1"/>
                <w:szCs w:val="21"/>
                <w14:textFill>
                  <w14:solidFill>
                    <w14:schemeClr w14:val="tx1"/>
                  </w14:solidFill>
                </w14:textFill>
              </w:rPr>
              <w:t>中段巷道</w:t>
            </w:r>
          </w:p>
        </w:tc>
        <w:tc>
          <w:tcPr>
            <w:tcW w:w="741" w:type="pct"/>
            <w:noWrap w:val="0"/>
            <w:vAlign w:val="center"/>
          </w:tcPr>
          <w:p w14:paraId="5504FC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70mm喷砼</w:t>
            </w:r>
          </w:p>
        </w:tc>
        <w:tc>
          <w:tcPr>
            <w:tcW w:w="511" w:type="pct"/>
            <w:noWrap w:val="0"/>
            <w:vAlign w:val="center"/>
          </w:tcPr>
          <w:p w14:paraId="203549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38" w:type="pct"/>
            <w:noWrap w:val="0"/>
            <w:vAlign w:val="center"/>
          </w:tcPr>
          <w:p w14:paraId="5284DA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61" w:type="pct"/>
            <w:noWrap w:val="0"/>
            <w:vAlign w:val="center"/>
          </w:tcPr>
          <w:p w14:paraId="51FA49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420</w:t>
            </w:r>
          </w:p>
        </w:tc>
        <w:tc>
          <w:tcPr>
            <w:tcW w:w="617" w:type="pct"/>
            <w:noWrap w:val="0"/>
            <w:vAlign w:val="center"/>
          </w:tcPr>
          <w:p w14:paraId="11BF1EA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3469</w:t>
            </w:r>
          </w:p>
        </w:tc>
        <w:tc>
          <w:tcPr>
            <w:tcW w:w="526" w:type="pct"/>
            <w:noWrap w:val="0"/>
            <w:vAlign w:val="center"/>
          </w:tcPr>
          <w:p w14:paraId="0944D5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152</w:t>
            </w:r>
          </w:p>
        </w:tc>
      </w:tr>
      <w:tr w14:paraId="20F9B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noWrap w:val="0"/>
            <w:vAlign w:val="center"/>
          </w:tcPr>
          <w:p w14:paraId="01CAC8E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1022" w:type="pct"/>
            <w:noWrap w:val="0"/>
            <w:vAlign w:val="center"/>
          </w:tcPr>
          <w:p w14:paraId="76692D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080m</w:t>
            </w:r>
            <w:r>
              <w:rPr>
                <w:rFonts w:hint="eastAsia" w:ascii="Times New Roman" w:hAnsi="Times New Roman" w:cs="Times New Roman"/>
                <w:color w:val="000000" w:themeColor="text1"/>
                <w:szCs w:val="21"/>
                <w14:textFill>
                  <w14:solidFill>
                    <w14:schemeClr w14:val="tx1"/>
                  </w14:solidFill>
                </w14:textFill>
              </w:rPr>
              <w:t>中段巷道</w:t>
            </w:r>
          </w:p>
        </w:tc>
        <w:tc>
          <w:tcPr>
            <w:tcW w:w="741" w:type="pct"/>
            <w:noWrap w:val="0"/>
            <w:vAlign w:val="center"/>
          </w:tcPr>
          <w:p w14:paraId="6B7CCEB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70mm喷砼</w:t>
            </w:r>
          </w:p>
        </w:tc>
        <w:tc>
          <w:tcPr>
            <w:tcW w:w="511" w:type="pct"/>
            <w:noWrap w:val="0"/>
            <w:vAlign w:val="center"/>
          </w:tcPr>
          <w:p w14:paraId="7EC4969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38" w:type="pct"/>
            <w:noWrap w:val="0"/>
            <w:vAlign w:val="center"/>
          </w:tcPr>
          <w:p w14:paraId="239200A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61" w:type="pct"/>
            <w:noWrap w:val="0"/>
            <w:vAlign w:val="center"/>
          </w:tcPr>
          <w:p w14:paraId="28BFAE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0</w:t>
            </w:r>
          </w:p>
        </w:tc>
        <w:tc>
          <w:tcPr>
            <w:tcW w:w="617" w:type="pct"/>
            <w:noWrap w:val="0"/>
            <w:vAlign w:val="center"/>
          </w:tcPr>
          <w:p w14:paraId="524755D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2808</w:t>
            </w:r>
          </w:p>
        </w:tc>
        <w:tc>
          <w:tcPr>
            <w:tcW w:w="526" w:type="pct"/>
            <w:noWrap w:val="0"/>
            <w:vAlign w:val="center"/>
          </w:tcPr>
          <w:p w14:paraId="278354B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123</w:t>
            </w:r>
          </w:p>
        </w:tc>
      </w:tr>
      <w:tr w14:paraId="75A33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noWrap w:val="0"/>
            <w:vAlign w:val="center"/>
          </w:tcPr>
          <w:p w14:paraId="444D066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1022" w:type="pct"/>
            <w:noWrap w:val="0"/>
            <w:vAlign w:val="center"/>
          </w:tcPr>
          <w:p w14:paraId="393E0D8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030m</w:t>
            </w:r>
            <w:r>
              <w:rPr>
                <w:rFonts w:hint="eastAsia" w:ascii="Times New Roman" w:hAnsi="Times New Roman" w:cs="Times New Roman"/>
                <w:color w:val="000000" w:themeColor="text1"/>
                <w:szCs w:val="21"/>
                <w14:textFill>
                  <w14:solidFill>
                    <w14:schemeClr w14:val="tx1"/>
                  </w14:solidFill>
                </w14:textFill>
              </w:rPr>
              <w:t>中段巷道</w:t>
            </w:r>
          </w:p>
        </w:tc>
        <w:tc>
          <w:tcPr>
            <w:tcW w:w="741" w:type="pct"/>
            <w:noWrap w:val="0"/>
            <w:vAlign w:val="center"/>
          </w:tcPr>
          <w:p w14:paraId="1275117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70mm喷砼</w:t>
            </w:r>
          </w:p>
        </w:tc>
        <w:tc>
          <w:tcPr>
            <w:tcW w:w="511" w:type="pct"/>
            <w:noWrap w:val="0"/>
            <w:vAlign w:val="center"/>
          </w:tcPr>
          <w:p w14:paraId="6FC69E2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38" w:type="pct"/>
            <w:noWrap w:val="0"/>
            <w:vAlign w:val="center"/>
          </w:tcPr>
          <w:p w14:paraId="74201C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61" w:type="pct"/>
            <w:noWrap w:val="0"/>
            <w:vAlign w:val="center"/>
          </w:tcPr>
          <w:p w14:paraId="47C3BF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7</w:t>
            </w:r>
            <w:r>
              <w:rPr>
                <w:rFonts w:hint="eastAsia" w:ascii="Times New Roman" w:hAnsi="Times New Roman" w:cs="Times New Roman"/>
                <w:color w:val="000000" w:themeColor="text1"/>
                <w:szCs w:val="21"/>
                <w14:textFill>
                  <w14:solidFill>
                    <w14:schemeClr w14:val="tx1"/>
                  </w14:solidFill>
                </w14:textFill>
              </w:rPr>
              <w:t>0</w:t>
            </w:r>
          </w:p>
        </w:tc>
        <w:tc>
          <w:tcPr>
            <w:tcW w:w="617" w:type="pct"/>
            <w:noWrap w:val="0"/>
            <w:vAlign w:val="center"/>
          </w:tcPr>
          <w:p w14:paraId="54C68AA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3056</w:t>
            </w:r>
          </w:p>
        </w:tc>
        <w:tc>
          <w:tcPr>
            <w:tcW w:w="526" w:type="pct"/>
            <w:noWrap w:val="0"/>
            <w:vAlign w:val="center"/>
          </w:tcPr>
          <w:p w14:paraId="7DB96C1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134</w:t>
            </w:r>
          </w:p>
        </w:tc>
      </w:tr>
      <w:tr w14:paraId="39AC4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7" w:type="pct"/>
            <w:gridSpan w:val="2"/>
            <w:noWrap w:val="0"/>
            <w:vAlign w:val="center"/>
          </w:tcPr>
          <w:p w14:paraId="2F4B447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小计</w:t>
            </w:r>
          </w:p>
        </w:tc>
        <w:tc>
          <w:tcPr>
            <w:tcW w:w="741" w:type="pct"/>
            <w:noWrap w:val="0"/>
            <w:vAlign w:val="center"/>
          </w:tcPr>
          <w:p w14:paraId="26A0FAA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w:t>
            </w:r>
          </w:p>
        </w:tc>
        <w:tc>
          <w:tcPr>
            <w:tcW w:w="511" w:type="pct"/>
            <w:noWrap w:val="0"/>
            <w:vAlign w:val="center"/>
          </w:tcPr>
          <w:p w14:paraId="66258A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w:t>
            </w:r>
          </w:p>
        </w:tc>
        <w:tc>
          <w:tcPr>
            <w:tcW w:w="638" w:type="pct"/>
            <w:noWrap w:val="0"/>
            <w:vAlign w:val="center"/>
          </w:tcPr>
          <w:p w14:paraId="7A153C6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w:t>
            </w:r>
          </w:p>
        </w:tc>
        <w:tc>
          <w:tcPr>
            <w:tcW w:w="561" w:type="pct"/>
            <w:noWrap w:val="0"/>
            <w:vAlign w:val="center"/>
          </w:tcPr>
          <w:p w14:paraId="5795F6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065</w:t>
            </w:r>
          </w:p>
        </w:tc>
        <w:tc>
          <w:tcPr>
            <w:tcW w:w="617" w:type="pct"/>
            <w:noWrap w:val="0"/>
            <w:vAlign w:val="center"/>
          </w:tcPr>
          <w:p w14:paraId="55B817C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3708</w:t>
            </w:r>
          </w:p>
        </w:tc>
        <w:tc>
          <w:tcPr>
            <w:tcW w:w="526" w:type="pct"/>
            <w:noWrap w:val="0"/>
            <w:vAlign w:val="center"/>
          </w:tcPr>
          <w:p w14:paraId="05BD83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2691</w:t>
            </w:r>
          </w:p>
        </w:tc>
      </w:tr>
      <w:bookmarkEnd w:id="279"/>
    </w:tbl>
    <w:p w14:paraId="103544BC">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.1.2.6</w:t>
      </w:r>
      <w:r>
        <w:rPr>
          <w:rFonts w:hint="eastAsia" w:ascii="Times New Roman" w:hAnsi="Times New Roman"/>
          <w:bCs w:val="0"/>
          <w:color w:val="000000" w:themeColor="text1"/>
          <w:kern w:val="2"/>
          <w:szCs w:val="24"/>
          <w14:textFill>
            <w14:solidFill>
              <w14:schemeClr w14:val="tx1"/>
            </w14:solidFill>
          </w14:textFill>
        </w:rPr>
        <w:t>矿山地质灾害现状</w:t>
      </w:r>
    </w:p>
    <w:p w14:paraId="7C9823DB">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根据现场实地调查，地下开采以来，采空区地面未发生过地面塌陷、地面沉降灾害，也未发现有构造地裂缝。现场调查未发现泥石流、滑坡、崩塌地质灾害发生的痕迹。</w:t>
      </w:r>
    </w:p>
    <w:p w14:paraId="7692D6D6">
      <w:pPr>
        <w:pStyle w:val="4"/>
        <w:spacing w:before="60" w:after="60" w:line="480" w:lineRule="exact"/>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.1.3</w:t>
      </w:r>
      <w:r>
        <w:rPr>
          <w:rFonts w:hint="eastAsia"/>
          <w:color w:val="000000" w:themeColor="text1"/>
          <w:kern w:val="2"/>
          <w14:textFill>
            <w14:solidFill>
              <w14:schemeClr w14:val="tx1"/>
            </w14:solidFill>
          </w14:textFill>
        </w:rPr>
        <w:t>矿区土地利用现状</w:t>
      </w:r>
    </w:p>
    <w:p w14:paraId="0459605F">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矿区土地利用类型为</w:t>
      </w:r>
      <w:r>
        <w:rPr>
          <w:rFonts w:hint="eastAsia"/>
          <w:color w:val="000000" w:themeColor="text1"/>
          <w:sz w:val="24"/>
          <w:szCs w:val="24"/>
          <w:lang w:val="en-US" w:eastAsia="zh-CN"/>
          <w14:textFill>
            <w14:solidFill>
              <w14:schemeClr w14:val="tx1"/>
            </w14:solidFill>
          </w14:textFill>
        </w:rPr>
        <w:t>采矿用地、</w:t>
      </w:r>
      <w:r>
        <w:rPr>
          <w:rFonts w:hint="eastAsia"/>
          <w:color w:val="000000" w:themeColor="text1"/>
          <w:sz w:val="24"/>
          <w:szCs w:val="24"/>
          <w14:textFill>
            <w14:solidFill>
              <w14:schemeClr w14:val="tx1"/>
            </w14:solidFill>
          </w14:textFill>
        </w:rPr>
        <w:t>裸岩石砾地</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农村道路用地和其他草地</w:t>
      </w:r>
      <w:r>
        <w:rPr>
          <w:rFonts w:hint="eastAsia"/>
          <w:color w:val="000000" w:themeColor="text1"/>
          <w:sz w:val="24"/>
          <w:szCs w:val="24"/>
          <w14:textFill>
            <w14:solidFill>
              <w14:schemeClr w14:val="tx1"/>
            </w14:solidFill>
          </w14:textFill>
        </w:rPr>
        <w:t>。土地权属为国有，权属单位为哈密市伊州区雅满苏镇。矿区土地利用现状总面积为129.78公顷。矿山已有布局包括办公生活区、主竖井工业广场、副竖井工业广场、变电站、选矿厂、尾矿库、爆破器材库、辅助生产区、2处废石堆、2处矿石堆、已建矿山道路，合计42.49公顷；占用地类为采矿用地和裸岩石砾地，土地权属为国有土地。地面布局小部分位于采矿证范围外，矿山正在办理建设用地手续。</w:t>
      </w:r>
    </w:p>
    <w:p w14:paraId="44C43D10">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矿区土地利用现状示意图见图</w:t>
      </w:r>
      <w:r>
        <w:rPr>
          <w:color w:val="000000" w:themeColor="text1"/>
          <w:sz w:val="24"/>
          <w:szCs w:val="24"/>
          <w14:textFill>
            <w14:solidFill>
              <w14:schemeClr w14:val="tx1"/>
            </w14:solidFill>
          </w14:textFill>
        </w:rPr>
        <w:t>3.1-</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w:t>
      </w:r>
    </w:p>
    <w:p w14:paraId="00CAE956">
      <w:pPr>
        <w:ind w:left="-735" w:leftChars="-350" w:right="-630" w:rightChars="-300"/>
        <w:jc w:val="center"/>
        <w:rPr>
          <w:color w:val="000000" w:themeColor="text1"/>
          <w:sz w:val="24"/>
          <w:szCs w:val="24"/>
          <w14:textFill>
            <w14:solidFill>
              <w14:schemeClr w14:val="tx1"/>
            </w14:solidFill>
          </w14:textFill>
        </w:rPr>
      </w:pPr>
    </w:p>
    <w:p w14:paraId="609C3658">
      <w:pPr>
        <w:ind w:left="-735" w:leftChars="-350" w:right="-630" w:rightChars="-300"/>
        <w:jc w:val="center"/>
        <w:rPr>
          <w:color w:val="000000" w:themeColor="text1"/>
          <w:sz w:val="24"/>
          <w:szCs w:val="24"/>
          <w14:textFill>
            <w14:solidFill>
              <w14:schemeClr w14:val="tx1"/>
            </w14:solidFill>
          </w14:textFill>
        </w:rPr>
      </w:pPr>
    </w:p>
    <w:p w14:paraId="52EB5813">
      <w:pPr>
        <w:ind w:left="-735" w:leftChars="-350" w:right="-630" w:rightChars="-300"/>
        <w:jc w:val="center"/>
        <w:rPr>
          <w:color w:val="000000" w:themeColor="text1"/>
          <w:sz w:val="24"/>
          <w:szCs w:val="24"/>
          <w14:textFill>
            <w14:solidFill>
              <w14:schemeClr w14:val="tx1"/>
            </w14:solidFill>
          </w14:textFill>
        </w:rPr>
      </w:pPr>
    </w:p>
    <w:p w14:paraId="45DFF0EF">
      <w:pPr>
        <w:ind w:left="-735" w:leftChars="-350" w:right="-630" w:rightChars="-300"/>
        <w:jc w:val="center"/>
        <w:rPr>
          <w:color w:val="000000" w:themeColor="text1"/>
          <w:sz w:val="24"/>
          <w:szCs w:val="24"/>
          <w14:textFill>
            <w14:solidFill>
              <w14:schemeClr w14:val="tx1"/>
            </w14:solidFill>
          </w14:textFill>
        </w:rPr>
      </w:pPr>
    </w:p>
    <w:p w14:paraId="3C6F1933">
      <w:pPr>
        <w:ind w:left="-735" w:leftChars="-350" w:right="-630" w:rightChars="-300"/>
        <w:jc w:val="center"/>
        <w:rPr>
          <w:color w:val="000000" w:themeColor="text1"/>
          <w:sz w:val="24"/>
          <w:szCs w:val="24"/>
          <w14:textFill>
            <w14:solidFill>
              <w14:schemeClr w14:val="tx1"/>
            </w14:solidFill>
          </w14:textFill>
        </w:rPr>
      </w:pPr>
    </w:p>
    <w:p w14:paraId="716BDC53">
      <w:pPr>
        <w:ind w:left="-735" w:leftChars="-350" w:right="-630" w:rightChars="-300"/>
        <w:jc w:val="center"/>
        <w:rPr>
          <w:color w:val="000000" w:themeColor="text1"/>
          <w:sz w:val="24"/>
          <w:szCs w:val="24"/>
          <w14:textFill>
            <w14:solidFill>
              <w14:schemeClr w14:val="tx1"/>
            </w14:solidFill>
          </w14:textFill>
        </w:rPr>
      </w:pPr>
    </w:p>
    <w:p w14:paraId="6F2A49FF">
      <w:pPr>
        <w:ind w:left="-735" w:leftChars="-350" w:right="-630" w:rightChars="-300"/>
        <w:jc w:val="center"/>
        <w:rPr>
          <w:color w:val="000000" w:themeColor="text1"/>
          <w:sz w:val="24"/>
          <w:szCs w:val="24"/>
          <w14:textFill>
            <w14:solidFill>
              <w14:schemeClr w14:val="tx1"/>
            </w14:solidFill>
          </w14:textFill>
        </w:rPr>
      </w:pPr>
    </w:p>
    <w:p w14:paraId="14E774BE">
      <w:pPr>
        <w:ind w:left="-735" w:leftChars="-350" w:right="-630" w:rightChars="-300"/>
        <w:jc w:val="center"/>
        <w:rPr>
          <w:color w:val="000000" w:themeColor="text1"/>
          <w:sz w:val="24"/>
          <w:szCs w:val="24"/>
          <w14:textFill>
            <w14:solidFill>
              <w14:schemeClr w14:val="tx1"/>
            </w14:solidFill>
          </w14:textFill>
        </w:rPr>
      </w:pPr>
    </w:p>
    <w:p w14:paraId="1A84ADDF">
      <w:pPr>
        <w:ind w:left="-735" w:leftChars="-350" w:right="-630" w:rightChars="-300"/>
        <w:jc w:val="center"/>
        <w:rPr>
          <w:color w:val="000000" w:themeColor="text1"/>
          <w:sz w:val="24"/>
          <w:szCs w:val="24"/>
          <w14:textFill>
            <w14:solidFill>
              <w14:schemeClr w14:val="tx1"/>
            </w14:solidFill>
          </w14:textFill>
        </w:rPr>
      </w:pPr>
    </w:p>
    <w:p w14:paraId="375789EB">
      <w:pPr>
        <w:ind w:left="-735" w:leftChars="-350" w:right="-630" w:rightChars="-300"/>
        <w:jc w:val="center"/>
        <w:rPr>
          <w:color w:val="000000" w:themeColor="text1"/>
          <w:sz w:val="24"/>
          <w:szCs w:val="24"/>
          <w14:textFill>
            <w14:solidFill>
              <w14:schemeClr w14:val="tx1"/>
            </w14:solidFill>
          </w14:textFill>
        </w:rPr>
      </w:pPr>
    </w:p>
    <w:p w14:paraId="0F5151CC">
      <w:pPr>
        <w:ind w:left="-735" w:leftChars="-350" w:right="-630" w:rightChars="-300"/>
        <w:jc w:val="center"/>
        <w:rPr>
          <w:color w:val="000000" w:themeColor="text1"/>
          <w:sz w:val="24"/>
          <w:szCs w:val="24"/>
          <w14:textFill>
            <w14:solidFill>
              <w14:schemeClr w14:val="tx1"/>
            </w14:solidFill>
          </w14:textFill>
        </w:rPr>
      </w:pPr>
    </w:p>
    <w:p w14:paraId="3C277766">
      <w:pPr>
        <w:ind w:left="-735" w:leftChars="-350" w:right="-630" w:rightChars="-300"/>
        <w:jc w:val="center"/>
        <w:rPr>
          <w:color w:val="000000" w:themeColor="text1"/>
          <w:sz w:val="24"/>
          <w:szCs w:val="24"/>
          <w14:textFill>
            <w14:solidFill>
              <w14:schemeClr w14:val="tx1"/>
            </w14:solidFill>
          </w14:textFill>
        </w:rPr>
      </w:pPr>
    </w:p>
    <w:p w14:paraId="5AD496DB">
      <w:pPr>
        <w:ind w:left="-735" w:leftChars="-350" w:right="-630" w:rightChars="-300"/>
        <w:jc w:val="center"/>
        <w:rPr>
          <w:color w:val="000000" w:themeColor="text1"/>
          <w:sz w:val="24"/>
          <w:szCs w:val="24"/>
          <w14:textFill>
            <w14:solidFill>
              <w14:schemeClr w14:val="tx1"/>
            </w14:solidFill>
          </w14:textFill>
        </w:rPr>
      </w:pPr>
    </w:p>
    <w:p w14:paraId="61AD5004">
      <w:pPr>
        <w:ind w:left="-735" w:leftChars="-350" w:right="-630" w:rightChars="-300"/>
        <w:jc w:val="center"/>
        <w:rPr>
          <w:color w:val="000000" w:themeColor="text1"/>
          <w:sz w:val="24"/>
          <w:szCs w:val="24"/>
          <w14:textFill>
            <w14:solidFill>
              <w14:schemeClr w14:val="tx1"/>
            </w14:solidFill>
          </w14:textFill>
        </w:rPr>
      </w:pPr>
    </w:p>
    <w:p w14:paraId="3C57E07E">
      <w:pPr>
        <w:ind w:left="-735" w:leftChars="-350" w:right="-630" w:rightChars="-300"/>
        <w:jc w:val="center"/>
        <w:rPr>
          <w:color w:val="000000" w:themeColor="text1"/>
          <w:sz w:val="24"/>
          <w:szCs w:val="24"/>
          <w14:textFill>
            <w14:solidFill>
              <w14:schemeClr w14:val="tx1"/>
            </w14:solidFill>
          </w14:textFill>
        </w:rPr>
      </w:pPr>
    </w:p>
    <w:p w14:paraId="4B0E4370">
      <w:pPr>
        <w:ind w:left="-735" w:leftChars="-350" w:right="-630" w:rightChars="-300"/>
        <w:jc w:val="center"/>
        <w:rPr>
          <w:color w:val="000000" w:themeColor="text1"/>
          <w:sz w:val="24"/>
          <w:szCs w:val="24"/>
          <w14:textFill>
            <w14:solidFill>
              <w14:schemeClr w14:val="tx1"/>
            </w14:solidFill>
          </w14:textFill>
        </w:rPr>
      </w:pPr>
    </w:p>
    <w:p w14:paraId="055342EB">
      <w:pPr>
        <w:ind w:left="-735" w:leftChars="-350" w:right="-630" w:rightChars="-300"/>
        <w:jc w:val="center"/>
        <w:rPr>
          <w:color w:val="000000" w:themeColor="text1"/>
          <w:sz w:val="24"/>
          <w:szCs w:val="24"/>
          <w14:textFill>
            <w14:solidFill>
              <w14:schemeClr w14:val="tx1"/>
            </w14:solidFill>
          </w14:textFill>
        </w:rPr>
      </w:pPr>
    </w:p>
    <w:p w14:paraId="1804E9E5">
      <w:pPr>
        <w:ind w:left="-735" w:leftChars="-350" w:right="-630" w:rightChars="-300"/>
        <w:jc w:val="center"/>
        <w:rPr>
          <w:color w:val="000000" w:themeColor="text1"/>
          <w:sz w:val="24"/>
          <w:szCs w:val="24"/>
          <w14:textFill>
            <w14:solidFill>
              <w14:schemeClr w14:val="tx1"/>
            </w14:solidFill>
          </w14:textFill>
        </w:rPr>
      </w:pPr>
    </w:p>
    <w:p w14:paraId="33D959EB">
      <w:pPr>
        <w:ind w:left="-735" w:leftChars="-350" w:right="-630" w:rightChars="-300"/>
        <w:jc w:val="center"/>
        <w:rPr>
          <w:color w:val="000000" w:themeColor="text1"/>
          <w:sz w:val="24"/>
          <w:szCs w:val="24"/>
          <w14:textFill>
            <w14:solidFill>
              <w14:schemeClr w14:val="tx1"/>
            </w14:solidFill>
          </w14:textFill>
        </w:rPr>
      </w:pPr>
    </w:p>
    <w:p w14:paraId="08CA9880">
      <w:pPr>
        <w:spacing w:line="480" w:lineRule="exact"/>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w:t>
      </w:r>
      <w:r>
        <w:rPr>
          <w:b/>
          <w:color w:val="000000" w:themeColor="text1"/>
          <w:sz w:val="24"/>
          <w:szCs w:val="24"/>
          <w14:textFill>
            <w14:solidFill>
              <w14:schemeClr w14:val="tx1"/>
            </w14:solidFill>
          </w14:textFill>
        </w:rPr>
        <w:t>3.1-</w:t>
      </w:r>
      <w:r>
        <w:rPr>
          <w:rFonts w:hint="eastAsia"/>
          <w:b/>
          <w:color w:val="000000" w:themeColor="text1"/>
          <w:sz w:val="24"/>
          <w:szCs w:val="24"/>
          <w:lang w:val="en-US" w:eastAsia="zh-CN"/>
          <w14:textFill>
            <w14:solidFill>
              <w14:schemeClr w14:val="tx1"/>
            </w14:solidFill>
          </w14:textFill>
        </w:rPr>
        <w:t>3</w:t>
      </w:r>
      <w:r>
        <w:rPr>
          <w:b/>
          <w:color w:val="000000" w:themeColor="text1"/>
          <w:sz w:val="24"/>
          <w:szCs w:val="24"/>
          <w14:textFill>
            <w14:solidFill>
              <w14:schemeClr w14:val="tx1"/>
            </w14:solidFill>
          </w14:textFill>
        </w:rPr>
        <w:t xml:space="preserve">    </w:t>
      </w:r>
      <w:r>
        <w:rPr>
          <w:rFonts w:hint="eastAsia"/>
          <w:b/>
          <w:color w:val="000000" w:themeColor="text1"/>
          <w:sz w:val="24"/>
          <w:szCs w:val="24"/>
          <w14:textFill>
            <w14:solidFill>
              <w14:schemeClr w14:val="tx1"/>
            </w14:solidFill>
          </w14:textFill>
        </w:rPr>
        <w:t>矿区土地利用现状示意图</w:t>
      </w:r>
    </w:p>
    <w:p w14:paraId="019211A8">
      <w:pPr>
        <w:pStyle w:val="4"/>
        <w:spacing w:before="60" w:after="60" w:line="480" w:lineRule="exact"/>
        <w:rPr>
          <w:color w:val="000000" w:themeColor="text1"/>
          <w:kern w:val="2"/>
          <w14:textFill>
            <w14:solidFill>
              <w14:schemeClr w14:val="tx1"/>
            </w14:solidFill>
          </w14:textFill>
        </w:rPr>
      </w:pPr>
      <w:bookmarkStart w:id="280" w:name="_Toc7922"/>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1.4</w:t>
      </w:r>
      <w:r>
        <w:rPr>
          <w:rFonts w:hint="eastAsia"/>
          <w:color w:val="000000" w:themeColor="text1"/>
          <w:kern w:val="2"/>
          <w14:textFill>
            <w14:solidFill>
              <w14:schemeClr w14:val="tx1"/>
            </w14:solidFill>
          </w14:textFill>
        </w:rPr>
        <w:t>现有员工及工作制</w:t>
      </w:r>
      <w:bookmarkEnd w:id="280"/>
    </w:p>
    <w:p w14:paraId="44849590">
      <w:pPr>
        <w:spacing w:line="480" w:lineRule="exact"/>
        <w:ind w:firstLine="480" w:firstLineChars="200"/>
        <w:rPr>
          <w:b/>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因矿山停产，</w:t>
      </w:r>
      <w:r>
        <w:rPr>
          <w:color w:val="000000" w:themeColor="text1"/>
          <w:sz w:val="24"/>
          <w:szCs w:val="24"/>
          <w14:textFill>
            <w14:solidFill>
              <w14:schemeClr w14:val="tx1"/>
            </w14:solidFill>
          </w14:textFill>
        </w:rPr>
        <w:t>矿山</w:t>
      </w:r>
      <w:r>
        <w:rPr>
          <w:rFonts w:hint="eastAsia"/>
          <w:color w:val="000000" w:themeColor="text1"/>
          <w:sz w:val="24"/>
          <w:szCs w:val="24"/>
          <w14:textFill>
            <w14:solidFill>
              <w14:schemeClr w14:val="tx1"/>
            </w14:solidFill>
          </w14:textFill>
        </w:rPr>
        <w:t>实际</w:t>
      </w:r>
      <w:r>
        <w:rPr>
          <w:color w:val="000000" w:themeColor="text1"/>
          <w:sz w:val="24"/>
          <w:szCs w:val="24"/>
          <w14:textFill>
            <w14:solidFill>
              <w14:schemeClr w14:val="tx1"/>
            </w14:solidFill>
          </w14:textFill>
        </w:rPr>
        <w:t>职工人数</w:t>
      </w:r>
      <w:r>
        <w:rPr>
          <w:rFonts w:hint="eastAsia"/>
          <w:color w:val="000000" w:themeColor="text1"/>
          <w:sz w:val="24"/>
          <w:szCs w:val="24"/>
          <w14:textFill>
            <w14:solidFill>
              <w14:schemeClr w14:val="tx1"/>
            </w14:solidFill>
          </w14:textFill>
        </w:rPr>
        <w:t>仅</w:t>
      </w:r>
      <w:r>
        <w:rPr>
          <w:color w:val="000000" w:themeColor="text1"/>
          <w:sz w:val="24"/>
          <w:szCs w:val="24"/>
          <w14:textFill>
            <w14:solidFill>
              <w14:schemeClr w14:val="tx1"/>
            </w14:solidFill>
          </w14:textFill>
        </w:rPr>
        <w:t>为10人</w:t>
      </w:r>
      <w:r>
        <w:rPr>
          <w:rFonts w:hint="eastAsia"/>
          <w:color w:val="000000" w:themeColor="text1"/>
          <w:sz w:val="24"/>
          <w:szCs w:val="24"/>
          <w14:textFill>
            <w14:solidFill>
              <w14:schemeClr w14:val="tx1"/>
            </w14:solidFill>
          </w14:textFill>
        </w:rPr>
        <w:t>，负责矿山值守及部分手续办理</w:t>
      </w:r>
      <w:r>
        <w:rPr>
          <w:rFonts w:hint="eastAsia"/>
          <w:color w:val="000000" w:themeColor="text1"/>
          <w:kern w:val="0"/>
          <w:sz w:val="24"/>
          <w:szCs w:val="24"/>
          <w14:textFill>
            <w14:solidFill>
              <w14:schemeClr w14:val="tx1"/>
            </w14:solidFill>
          </w14:textFill>
        </w:rPr>
        <w:t>。</w:t>
      </w:r>
    </w:p>
    <w:p w14:paraId="73FDD954">
      <w:pPr>
        <w:pStyle w:val="4"/>
        <w:spacing w:before="60" w:after="60" w:line="480" w:lineRule="exact"/>
        <w:rPr>
          <w:color w:val="000000" w:themeColor="text1"/>
          <w:kern w:val="2"/>
          <w14:textFill>
            <w14:solidFill>
              <w14:schemeClr w14:val="tx1"/>
            </w14:solidFill>
          </w14:textFill>
        </w:rPr>
      </w:pPr>
      <w:bookmarkStart w:id="281" w:name="_Toc12626"/>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5</w:t>
      </w:r>
      <w:r>
        <w:rPr>
          <w:rFonts w:hint="eastAsia"/>
          <w:color w:val="000000" w:themeColor="text1"/>
          <w:kern w:val="2"/>
          <w14:textFill>
            <w14:solidFill>
              <w14:schemeClr w14:val="tx1"/>
            </w14:solidFill>
          </w14:textFill>
        </w:rPr>
        <w:t>公用工程现状</w:t>
      </w:r>
      <w:bookmarkEnd w:id="281"/>
    </w:p>
    <w:p w14:paraId="76DC515E">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（1）供电</w:t>
      </w:r>
    </w:p>
    <w:p w14:paraId="6A342B4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矿山供电电源来自哈密市雅满苏变电所及35kV输电线路。矿山目前在地表有6台1250KVA变压器，分别布置在原有箕斗竖井井口、原有罐笼竖井井口以及选矿厂主厂房附近的变配电室内，变压器出口电压0.4kV。</w:t>
      </w:r>
    </w:p>
    <w:p w14:paraId="2B93E6FE">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（2）供水</w:t>
      </w:r>
    </w:p>
    <w:p w14:paraId="7652ED2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矿山生活用水从雅满苏镇拉运解决，生产用水来源为矿井涌水。现状矿山停产，主要维护矿井设备。</w:t>
      </w:r>
    </w:p>
    <w:p w14:paraId="42F93E75">
      <w:pPr>
        <w:pStyle w:val="18"/>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（3）排水</w:t>
      </w:r>
    </w:p>
    <w:p w14:paraId="13CD106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生活污水由办公生活区配套地埋式一体化污水处理</w:t>
      </w:r>
      <w:r>
        <w:rPr>
          <w:rFonts w:hint="eastAsia"/>
          <w:color w:val="000000" w:themeColor="text1"/>
          <w:sz w:val="24"/>
          <w:szCs w:val="28"/>
          <w:lang w:eastAsia="zh-CN"/>
          <w14:textFill>
            <w14:solidFill>
              <w14:schemeClr w14:val="tx1"/>
            </w14:solidFill>
          </w14:textFill>
        </w:rPr>
        <w:t>设施</w:t>
      </w:r>
      <w:r>
        <w:rPr>
          <w:rFonts w:hint="eastAsia"/>
          <w:color w:val="000000" w:themeColor="text1"/>
          <w:sz w:val="24"/>
          <w:szCs w:val="28"/>
          <w14:textFill>
            <w14:solidFill>
              <w14:schemeClr w14:val="tx1"/>
            </w14:solidFill>
          </w14:textFill>
        </w:rPr>
        <w:t>处理，采用膜生物反应（MBR）法水处理工艺，生活污水经处理满足</w:t>
      </w:r>
      <w:r>
        <w:rPr>
          <w:rFonts w:ascii="Times New Roman" w:hAnsi="Times New Roman" w:eastAsiaTheme="minorEastAsia"/>
          <w:color w:val="000000" w:themeColor="text1"/>
          <w:sz w:val="24"/>
          <w:szCs w:val="24"/>
          <w14:textFill>
            <w14:solidFill>
              <w14:schemeClr w14:val="tx1"/>
            </w14:solidFill>
          </w14:textFill>
        </w:rPr>
        <w:t>《农村生活污水处理排放标准》（DB65 4275-2019）中A级标准</w:t>
      </w:r>
      <w:r>
        <w:rPr>
          <w:rFonts w:hint="eastAsia"/>
          <w:color w:val="000000" w:themeColor="text1"/>
          <w:sz w:val="24"/>
          <w:szCs w:val="28"/>
          <w14:textFill>
            <w14:solidFill>
              <w14:schemeClr w14:val="tx1"/>
            </w14:solidFill>
          </w14:textFill>
        </w:rPr>
        <w:t>后，</w:t>
      </w:r>
      <w:r>
        <w:rPr>
          <w:rFonts w:hint="eastAsia"/>
          <w:color w:val="000000" w:themeColor="text1"/>
          <w:sz w:val="24"/>
          <w:szCs w:val="28"/>
          <w:highlight w:val="none"/>
          <w14:textFill>
            <w14:solidFill>
              <w14:schemeClr w14:val="tx1"/>
            </w14:solidFill>
          </w14:textFill>
        </w:rPr>
        <w:t>灌</w:t>
      </w:r>
      <w:r>
        <w:rPr>
          <w:rFonts w:hint="eastAsia"/>
          <w:color w:val="000000" w:themeColor="text1"/>
          <w:sz w:val="24"/>
          <w:szCs w:val="28"/>
          <w14:textFill>
            <w14:solidFill>
              <w14:schemeClr w14:val="tx1"/>
            </w14:solidFill>
          </w14:textFill>
        </w:rPr>
        <w:t>溉期</w:t>
      </w:r>
      <w:r>
        <w:rPr>
          <w:rFonts w:hint="eastAsia"/>
          <w:color w:val="000000" w:themeColor="text1"/>
          <w:sz w:val="24"/>
          <w:szCs w:val="24"/>
          <w14:textFill>
            <w14:solidFill>
              <w14:schemeClr w14:val="tx1"/>
            </w14:solidFill>
          </w14:textFill>
        </w:rPr>
        <w:t>全部用于矿区绿化，非灌溉期输送至选厂生产使用，不外排。</w:t>
      </w:r>
      <w:r>
        <w:rPr>
          <w:rFonts w:hint="eastAsia"/>
          <w:color w:val="000000" w:themeColor="text1"/>
          <w:sz w:val="24"/>
          <w:szCs w:val="28"/>
          <w14:textFill>
            <w14:solidFill>
              <w14:schemeClr w14:val="tx1"/>
            </w14:solidFill>
          </w14:textFill>
        </w:rPr>
        <w:t>井下涌水部分用于井下生产、巷道降尘，其余抽至地表蓄水池，由输水管线输送至选矿厂用于选矿生产使用。现状矿山停产，生活污水产生量极少。</w:t>
      </w:r>
    </w:p>
    <w:p w14:paraId="659898CA">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（4）供暖</w:t>
      </w:r>
    </w:p>
    <w:p w14:paraId="1491CF87">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由锅炉房集中供暖，矿山配备有两台1.4MW电加热锅炉，最大供热负荷为2.8MW，采用直接供暖的方式。因冬季不生产，未设矿井进风加热设施。</w:t>
      </w:r>
    </w:p>
    <w:p w14:paraId="33FDC949">
      <w:pPr>
        <w:pStyle w:val="4"/>
        <w:spacing w:before="60" w:after="60" w:line="480" w:lineRule="exact"/>
        <w:rPr>
          <w:color w:val="000000" w:themeColor="text1"/>
          <w:kern w:val="2"/>
          <w14:textFill>
            <w14:solidFill>
              <w14:schemeClr w14:val="tx1"/>
            </w14:solidFill>
          </w14:textFill>
        </w:rPr>
      </w:pPr>
      <w:bookmarkStart w:id="282" w:name="_Toc6047"/>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6</w:t>
      </w:r>
      <w:r>
        <w:rPr>
          <w:rFonts w:hint="eastAsia"/>
          <w:color w:val="000000" w:themeColor="text1"/>
          <w:kern w:val="2"/>
          <w14:textFill>
            <w14:solidFill>
              <w14:schemeClr w14:val="tx1"/>
            </w14:solidFill>
          </w14:textFill>
        </w:rPr>
        <w:t>现有工程主要设备</w:t>
      </w:r>
      <w:bookmarkEnd w:id="282"/>
    </w:p>
    <w:p w14:paraId="64A3855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矿区</w:t>
      </w:r>
      <w:r>
        <w:rPr>
          <w:rFonts w:hint="eastAsia"/>
          <w:color w:val="000000" w:themeColor="text1"/>
          <w:sz w:val="24"/>
          <w:szCs w:val="28"/>
          <w:lang w:val="en-US" w:eastAsia="zh-CN"/>
          <w14:textFill>
            <w14:solidFill>
              <w14:schemeClr w14:val="tx1"/>
            </w14:solidFill>
          </w14:textFill>
        </w:rPr>
        <w:t>现有</w:t>
      </w:r>
      <w:r>
        <w:rPr>
          <w:rFonts w:hint="eastAsia"/>
          <w:color w:val="000000" w:themeColor="text1"/>
          <w:sz w:val="24"/>
          <w:szCs w:val="28"/>
          <w14:textFill>
            <w14:solidFill>
              <w14:schemeClr w14:val="tx1"/>
            </w14:solidFill>
          </w14:textFill>
        </w:rPr>
        <w:t>主要设备</w:t>
      </w:r>
      <w:r>
        <w:rPr>
          <w:rFonts w:hint="eastAsia"/>
          <w:color w:val="000000" w:themeColor="text1"/>
          <w:sz w:val="24"/>
          <w:szCs w:val="28"/>
          <w:lang w:val="en-US" w:eastAsia="zh-CN"/>
          <w14:textFill>
            <w14:solidFill>
              <w14:schemeClr w14:val="tx1"/>
            </w14:solidFill>
          </w14:textFill>
        </w:rPr>
        <w:t>情况</w:t>
      </w:r>
      <w:r>
        <w:rPr>
          <w:rFonts w:hint="eastAsia"/>
          <w:color w:val="000000" w:themeColor="text1"/>
          <w:sz w:val="24"/>
          <w:szCs w:val="28"/>
          <w14:textFill>
            <w14:solidFill>
              <w14:schemeClr w14:val="tx1"/>
            </w14:solidFill>
          </w14:textFill>
        </w:rPr>
        <w:t>见表3.</w:t>
      </w:r>
      <w:r>
        <w:rPr>
          <w:color w:val="000000" w:themeColor="text1"/>
          <w:sz w:val="24"/>
          <w:szCs w:val="28"/>
          <w14:textFill>
            <w14:solidFill>
              <w14:schemeClr w14:val="tx1"/>
            </w14:solidFill>
          </w14:textFill>
        </w:rPr>
        <w:t>1</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p>
    <w:p w14:paraId="0DFEA89F">
      <w:pPr>
        <w:pStyle w:val="999"/>
        <w:spacing w:line="480" w:lineRule="exact"/>
        <w:ind w:firstLine="0" w:firstLineChars="0"/>
        <w:jc w:val="center"/>
        <w:rPr>
          <w:rFonts w:cs="Times New Roman"/>
          <w:b/>
          <w:color w:val="000000" w:themeColor="text1"/>
          <w:szCs w:val="24"/>
          <w14:textFill>
            <w14:solidFill>
              <w14:schemeClr w14:val="tx1"/>
            </w14:solidFill>
          </w14:textFill>
        </w:rPr>
      </w:pPr>
      <w:r>
        <w:rPr>
          <w:rFonts w:hint="eastAsia" w:cs="Times New Roman"/>
          <w:b/>
          <w:color w:val="000000" w:themeColor="text1"/>
          <w:szCs w:val="24"/>
          <w14:textFill>
            <w14:solidFill>
              <w14:schemeClr w14:val="tx1"/>
            </w14:solidFill>
          </w14:textFill>
        </w:rPr>
        <w:t>表3.</w:t>
      </w:r>
      <w:r>
        <w:rPr>
          <w:rFonts w:cs="Times New Roman"/>
          <w:b/>
          <w:color w:val="000000" w:themeColor="text1"/>
          <w:szCs w:val="24"/>
          <w14:textFill>
            <w14:solidFill>
              <w14:schemeClr w14:val="tx1"/>
            </w14:solidFill>
          </w14:textFill>
        </w:rPr>
        <w:t>1</w:t>
      </w:r>
      <w:r>
        <w:rPr>
          <w:rFonts w:hint="eastAsia" w:cs="Times New Roman"/>
          <w:b/>
          <w:color w:val="000000" w:themeColor="text1"/>
          <w:szCs w:val="24"/>
          <w14:textFill>
            <w14:solidFill>
              <w14:schemeClr w14:val="tx1"/>
            </w14:solidFill>
          </w14:textFill>
        </w:rPr>
        <w:t>-</w:t>
      </w:r>
      <w:r>
        <w:rPr>
          <w:rFonts w:cs="Times New Roman"/>
          <w:b/>
          <w:color w:val="000000" w:themeColor="text1"/>
          <w:szCs w:val="24"/>
          <w14:textFill>
            <w14:solidFill>
              <w14:schemeClr w14:val="tx1"/>
            </w14:solidFill>
          </w14:textFill>
        </w:rPr>
        <w:t>5</w:t>
      </w:r>
      <w:r>
        <w:rPr>
          <w:rFonts w:hint="eastAsia" w:cs="Times New Roman"/>
          <w:b/>
          <w:color w:val="000000" w:themeColor="text1"/>
          <w:szCs w:val="24"/>
          <w14:textFill>
            <w14:solidFill>
              <w14:schemeClr w14:val="tx1"/>
            </w14:solidFill>
          </w14:textFill>
        </w:rPr>
        <w:t xml:space="preserve">    主要设备一览表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5016"/>
        <w:gridCol w:w="1168"/>
        <w:gridCol w:w="1170"/>
      </w:tblGrid>
      <w:tr w14:paraId="346C8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5" w:type="pct"/>
            <w:noWrap w:val="0"/>
            <w:vAlign w:val="center"/>
          </w:tcPr>
          <w:p w14:paraId="1008D18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序号</w:t>
            </w:r>
          </w:p>
        </w:tc>
        <w:tc>
          <w:tcPr>
            <w:tcW w:w="2942" w:type="pct"/>
            <w:noWrap w:val="0"/>
            <w:vAlign w:val="center"/>
          </w:tcPr>
          <w:p w14:paraId="1866662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设备名称及性能</w:t>
            </w:r>
          </w:p>
        </w:tc>
        <w:tc>
          <w:tcPr>
            <w:tcW w:w="685" w:type="pct"/>
            <w:noWrap w:val="0"/>
            <w:vAlign w:val="center"/>
          </w:tcPr>
          <w:p w14:paraId="00BD226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单位</w:t>
            </w:r>
          </w:p>
        </w:tc>
        <w:tc>
          <w:tcPr>
            <w:tcW w:w="686" w:type="pct"/>
            <w:noWrap w:val="0"/>
            <w:vAlign w:val="center"/>
          </w:tcPr>
          <w:p w14:paraId="0A856DA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数量</w:t>
            </w:r>
          </w:p>
        </w:tc>
      </w:tr>
      <w:tr w14:paraId="429A5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09AC03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w:t>
            </w:r>
          </w:p>
        </w:tc>
        <w:tc>
          <w:tcPr>
            <w:tcW w:w="2942" w:type="pct"/>
            <w:noWrap w:val="0"/>
            <w:vAlign w:val="center"/>
          </w:tcPr>
          <w:p w14:paraId="639888FD">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铲运机</w:t>
            </w:r>
          </w:p>
        </w:tc>
        <w:tc>
          <w:tcPr>
            <w:tcW w:w="685" w:type="pct"/>
            <w:noWrap w:val="0"/>
            <w:vAlign w:val="center"/>
          </w:tcPr>
          <w:p w14:paraId="41C5447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2C0316FE">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6</w:t>
            </w:r>
          </w:p>
        </w:tc>
      </w:tr>
      <w:tr w14:paraId="603A2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356363D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w:t>
            </w:r>
          </w:p>
        </w:tc>
        <w:tc>
          <w:tcPr>
            <w:tcW w:w="2942" w:type="pct"/>
            <w:noWrap w:val="0"/>
            <w:vAlign w:val="center"/>
          </w:tcPr>
          <w:p w14:paraId="1AE31B30">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矿用汽车</w:t>
            </w:r>
          </w:p>
        </w:tc>
        <w:tc>
          <w:tcPr>
            <w:tcW w:w="685" w:type="pct"/>
            <w:noWrap w:val="0"/>
            <w:vAlign w:val="center"/>
          </w:tcPr>
          <w:p w14:paraId="5228D17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4C17F566">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4</w:t>
            </w:r>
          </w:p>
        </w:tc>
      </w:tr>
      <w:tr w14:paraId="7EC78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7007D83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w:t>
            </w:r>
          </w:p>
        </w:tc>
        <w:tc>
          <w:tcPr>
            <w:tcW w:w="2942" w:type="pct"/>
            <w:noWrap w:val="0"/>
            <w:vAlign w:val="center"/>
          </w:tcPr>
          <w:p w14:paraId="7E72A998">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中深孔钻机</w:t>
            </w:r>
          </w:p>
        </w:tc>
        <w:tc>
          <w:tcPr>
            <w:tcW w:w="685" w:type="pct"/>
            <w:noWrap w:val="0"/>
            <w:vAlign w:val="center"/>
          </w:tcPr>
          <w:p w14:paraId="0CAE1D6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4DF194FB">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15</w:t>
            </w:r>
          </w:p>
        </w:tc>
      </w:tr>
      <w:tr w14:paraId="44514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26FA4C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w:t>
            </w:r>
          </w:p>
        </w:tc>
        <w:tc>
          <w:tcPr>
            <w:tcW w:w="2942" w:type="pct"/>
            <w:noWrap w:val="0"/>
            <w:vAlign w:val="center"/>
          </w:tcPr>
          <w:p w14:paraId="727A8A9D">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掘进凿岩钻车</w:t>
            </w:r>
          </w:p>
        </w:tc>
        <w:tc>
          <w:tcPr>
            <w:tcW w:w="685" w:type="pct"/>
            <w:noWrap w:val="0"/>
            <w:vAlign w:val="center"/>
          </w:tcPr>
          <w:p w14:paraId="19EB6D6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3623F9EF">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13</w:t>
            </w:r>
          </w:p>
        </w:tc>
      </w:tr>
      <w:tr w14:paraId="5E3D2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7F65D1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5</w:t>
            </w:r>
          </w:p>
        </w:tc>
        <w:tc>
          <w:tcPr>
            <w:tcW w:w="2942" w:type="pct"/>
            <w:noWrap w:val="0"/>
            <w:vAlign w:val="center"/>
          </w:tcPr>
          <w:p w14:paraId="5204DBD5">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游动绞车带吊罐</w:t>
            </w:r>
          </w:p>
        </w:tc>
        <w:tc>
          <w:tcPr>
            <w:tcW w:w="685" w:type="pct"/>
            <w:noWrap w:val="0"/>
            <w:vAlign w:val="center"/>
          </w:tcPr>
          <w:p w14:paraId="7983568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1C3BE5AC">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2</w:t>
            </w:r>
          </w:p>
        </w:tc>
      </w:tr>
      <w:tr w14:paraId="4BEC5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08DA2B5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6</w:t>
            </w:r>
          </w:p>
        </w:tc>
        <w:tc>
          <w:tcPr>
            <w:tcW w:w="2942" w:type="pct"/>
            <w:noWrap w:val="0"/>
            <w:vAlign w:val="center"/>
          </w:tcPr>
          <w:p w14:paraId="312777C1">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浅孔凿岩机</w:t>
            </w:r>
          </w:p>
        </w:tc>
        <w:tc>
          <w:tcPr>
            <w:tcW w:w="685" w:type="pct"/>
            <w:noWrap w:val="0"/>
            <w:vAlign w:val="center"/>
          </w:tcPr>
          <w:p w14:paraId="4C63F1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3854ADBB">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2</w:t>
            </w:r>
          </w:p>
        </w:tc>
      </w:tr>
      <w:tr w14:paraId="3028E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3419BEA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7</w:t>
            </w:r>
          </w:p>
        </w:tc>
        <w:tc>
          <w:tcPr>
            <w:tcW w:w="2942" w:type="pct"/>
            <w:noWrap w:val="0"/>
            <w:vAlign w:val="center"/>
          </w:tcPr>
          <w:p w14:paraId="067931E3">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浅孔凿岩机</w:t>
            </w:r>
          </w:p>
        </w:tc>
        <w:tc>
          <w:tcPr>
            <w:tcW w:w="685" w:type="pct"/>
            <w:noWrap w:val="0"/>
            <w:vAlign w:val="center"/>
          </w:tcPr>
          <w:p w14:paraId="188066D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7E7B16F0">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16</w:t>
            </w:r>
          </w:p>
        </w:tc>
      </w:tr>
      <w:tr w14:paraId="7BE08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01419C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8</w:t>
            </w:r>
          </w:p>
        </w:tc>
        <w:tc>
          <w:tcPr>
            <w:tcW w:w="2942" w:type="pct"/>
            <w:noWrap w:val="0"/>
            <w:vAlign w:val="center"/>
          </w:tcPr>
          <w:p w14:paraId="3D079154">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电耙</w:t>
            </w:r>
          </w:p>
        </w:tc>
        <w:tc>
          <w:tcPr>
            <w:tcW w:w="685" w:type="pct"/>
            <w:noWrap w:val="0"/>
            <w:vAlign w:val="center"/>
          </w:tcPr>
          <w:p w14:paraId="08775EB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7FB213BB">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3</w:t>
            </w:r>
          </w:p>
        </w:tc>
      </w:tr>
      <w:tr w14:paraId="670A2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7661C53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9</w:t>
            </w:r>
          </w:p>
        </w:tc>
        <w:tc>
          <w:tcPr>
            <w:tcW w:w="2942" w:type="pct"/>
            <w:noWrap w:val="0"/>
            <w:vAlign w:val="center"/>
          </w:tcPr>
          <w:p w14:paraId="3EF8BD74">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局扇</w:t>
            </w:r>
          </w:p>
        </w:tc>
        <w:tc>
          <w:tcPr>
            <w:tcW w:w="685" w:type="pct"/>
            <w:noWrap w:val="0"/>
            <w:vAlign w:val="center"/>
          </w:tcPr>
          <w:p w14:paraId="64E549F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430C5627">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8</w:t>
            </w:r>
          </w:p>
        </w:tc>
      </w:tr>
      <w:tr w14:paraId="5FD59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035E78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c>
          <w:tcPr>
            <w:tcW w:w="2942" w:type="pct"/>
            <w:noWrap w:val="0"/>
            <w:vAlign w:val="center"/>
          </w:tcPr>
          <w:p w14:paraId="354B7CD5">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砼搅拌机</w:t>
            </w:r>
          </w:p>
        </w:tc>
        <w:tc>
          <w:tcPr>
            <w:tcW w:w="685" w:type="pct"/>
            <w:noWrap w:val="0"/>
            <w:vAlign w:val="center"/>
          </w:tcPr>
          <w:p w14:paraId="5A5FB7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285B936C">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18</w:t>
            </w:r>
          </w:p>
        </w:tc>
      </w:tr>
      <w:tr w14:paraId="237D9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762D2A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11</w:t>
            </w:r>
          </w:p>
        </w:tc>
        <w:tc>
          <w:tcPr>
            <w:tcW w:w="2942" w:type="pct"/>
            <w:noWrap w:val="0"/>
            <w:vAlign w:val="center"/>
          </w:tcPr>
          <w:p w14:paraId="45B3ECDE">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砼喷射机</w:t>
            </w:r>
          </w:p>
        </w:tc>
        <w:tc>
          <w:tcPr>
            <w:tcW w:w="685" w:type="pct"/>
            <w:noWrap w:val="0"/>
            <w:vAlign w:val="center"/>
          </w:tcPr>
          <w:p w14:paraId="44E0892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1323BEE1">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2</w:t>
            </w:r>
          </w:p>
        </w:tc>
      </w:tr>
      <w:tr w14:paraId="026D1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6F8CBF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12</w:t>
            </w:r>
          </w:p>
        </w:tc>
        <w:tc>
          <w:tcPr>
            <w:tcW w:w="2942" w:type="pct"/>
            <w:noWrap w:val="0"/>
            <w:vAlign w:val="center"/>
          </w:tcPr>
          <w:p w14:paraId="0D464BEE">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装药器</w:t>
            </w:r>
          </w:p>
        </w:tc>
        <w:tc>
          <w:tcPr>
            <w:tcW w:w="685" w:type="pct"/>
            <w:noWrap w:val="0"/>
            <w:vAlign w:val="center"/>
          </w:tcPr>
          <w:p w14:paraId="64E0F9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67480201">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2</w:t>
            </w:r>
          </w:p>
        </w:tc>
      </w:tr>
      <w:tr w14:paraId="33945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0061E6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13</w:t>
            </w:r>
          </w:p>
        </w:tc>
        <w:tc>
          <w:tcPr>
            <w:tcW w:w="2942" w:type="pct"/>
            <w:noWrap w:val="0"/>
            <w:vAlign w:val="center"/>
          </w:tcPr>
          <w:p w14:paraId="2C7E1EFE">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多功能服务车</w:t>
            </w:r>
          </w:p>
        </w:tc>
        <w:tc>
          <w:tcPr>
            <w:tcW w:w="685" w:type="pct"/>
            <w:noWrap w:val="0"/>
            <w:vAlign w:val="center"/>
          </w:tcPr>
          <w:p w14:paraId="702A4B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台</w:t>
            </w:r>
          </w:p>
        </w:tc>
        <w:tc>
          <w:tcPr>
            <w:tcW w:w="686" w:type="pct"/>
            <w:noWrap w:val="0"/>
            <w:vAlign w:val="center"/>
          </w:tcPr>
          <w:p w14:paraId="7E434B5D">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5</w:t>
            </w:r>
          </w:p>
        </w:tc>
      </w:tr>
      <w:tr w14:paraId="46D80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7581AFE0">
            <w:pPr>
              <w:keepNext w:val="0"/>
              <w:keepLines w:val="0"/>
              <w:suppressLineNumbers w:val="0"/>
              <w:spacing w:before="0" w:beforeAutospacing="0" w:after="0" w:afterAutospacing="0" w:line="360" w:lineRule="exact"/>
              <w:ind w:left="0" w:right="0"/>
              <w:jc w:val="center"/>
              <w:rPr>
                <w:rFonts w:hint="default"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14</w:t>
            </w:r>
          </w:p>
        </w:tc>
        <w:tc>
          <w:tcPr>
            <w:tcW w:w="2942" w:type="pct"/>
            <w:noWrap w:val="0"/>
            <w:vAlign w:val="center"/>
          </w:tcPr>
          <w:p w14:paraId="68A252F7">
            <w:pPr>
              <w:keepNext w:val="0"/>
              <w:keepLines w:val="0"/>
              <w:widowControl/>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潜水多级泵及配套软启</w:t>
            </w:r>
            <w:r>
              <w:rPr>
                <w:rFonts w:hint="default" w:ascii="Times New Roman" w:hAnsi="Times New Roman" w:cs="Calibri"/>
                <w:color w:val="000000" w:themeColor="text1"/>
                <w:kern w:val="0"/>
                <w:szCs w:val="21"/>
                <w14:textFill>
                  <w14:solidFill>
                    <w14:schemeClr w14:val="tx1"/>
                  </w14:solidFill>
                </w14:textFill>
              </w:rPr>
              <w:t>动柜</w:t>
            </w:r>
          </w:p>
        </w:tc>
        <w:tc>
          <w:tcPr>
            <w:tcW w:w="685" w:type="pct"/>
            <w:noWrap w:val="0"/>
            <w:vAlign w:val="center"/>
          </w:tcPr>
          <w:p w14:paraId="6B6BEDDC">
            <w:pPr>
              <w:keepNext w:val="0"/>
              <w:keepLines w:val="0"/>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台</w:t>
            </w:r>
          </w:p>
        </w:tc>
        <w:tc>
          <w:tcPr>
            <w:tcW w:w="686" w:type="pct"/>
            <w:noWrap w:val="0"/>
            <w:vAlign w:val="center"/>
          </w:tcPr>
          <w:p w14:paraId="342CD6E5">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6</w:t>
            </w:r>
          </w:p>
        </w:tc>
      </w:tr>
      <w:tr w14:paraId="5CD7A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495E3E8B">
            <w:pPr>
              <w:keepNext w:val="0"/>
              <w:keepLines w:val="0"/>
              <w:suppressLineNumbers w:val="0"/>
              <w:spacing w:before="0" w:beforeAutospacing="0" w:after="0" w:afterAutospacing="0" w:line="360" w:lineRule="exact"/>
              <w:ind w:left="0" w:right="0"/>
              <w:jc w:val="center"/>
              <w:rPr>
                <w:rFonts w:hint="default"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15</w:t>
            </w:r>
          </w:p>
        </w:tc>
        <w:tc>
          <w:tcPr>
            <w:tcW w:w="2942" w:type="pct"/>
            <w:noWrap w:val="0"/>
            <w:vAlign w:val="center"/>
          </w:tcPr>
          <w:p w14:paraId="66FB93CB">
            <w:pPr>
              <w:keepNext w:val="0"/>
              <w:keepLines w:val="0"/>
              <w:widowControl/>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潜水多级泵及配套软启</w:t>
            </w:r>
            <w:r>
              <w:rPr>
                <w:rFonts w:hint="default" w:ascii="Times New Roman" w:hAnsi="Times New Roman" w:cs="Calibri"/>
                <w:color w:val="000000" w:themeColor="text1"/>
                <w:kern w:val="0"/>
                <w:szCs w:val="21"/>
                <w14:textFill>
                  <w14:solidFill>
                    <w14:schemeClr w14:val="tx1"/>
                  </w14:solidFill>
                </w14:textFill>
              </w:rPr>
              <w:t>动柜</w:t>
            </w:r>
          </w:p>
        </w:tc>
        <w:tc>
          <w:tcPr>
            <w:tcW w:w="685" w:type="pct"/>
            <w:noWrap w:val="0"/>
            <w:vAlign w:val="center"/>
          </w:tcPr>
          <w:p w14:paraId="0CB1B5D5">
            <w:pPr>
              <w:keepNext w:val="0"/>
              <w:keepLines w:val="0"/>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台</w:t>
            </w:r>
          </w:p>
        </w:tc>
        <w:tc>
          <w:tcPr>
            <w:tcW w:w="686" w:type="pct"/>
            <w:noWrap w:val="0"/>
            <w:vAlign w:val="center"/>
          </w:tcPr>
          <w:p w14:paraId="06951FCE">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6</w:t>
            </w:r>
          </w:p>
        </w:tc>
      </w:tr>
      <w:tr w14:paraId="24090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01A7D404">
            <w:pPr>
              <w:keepNext w:val="0"/>
              <w:keepLines w:val="0"/>
              <w:suppressLineNumbers w:val="0"/>
              <w:spacing w:before="0" w:beforeAutospacing="0" w:after="0" w:afterAutospacing="0" w:line="360" w:lineRule="exact"/>
              <w:ind w:left="0" w:right="0"/>
              <w:jc w:val="center"/>
              <w:rPr>
                <w:rFonts w:hint="default"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16</w:t>
            </w:r>
          </w:p>
        </w:tc>
        <w:tc>
          <w:tcPr>
            <w:tcW w:w="2942" w:type="pct"/>
            <w:noWrap w:val="0"/>
            <w:vAlign w:val="center"/>
          </w:tcPr>
          <w:p w14:paraId="7990B6F9">
            <w:pPr>
              <w:keepNext w:val="0"/>
              <w:keepLines w:val="0"/>
              <w:widowControl/>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污水潜水泵（含启动箱）</w:t>
            </w:r>
          </w:p>
        </w:tc>
        <w:tc>
          <w:tcPr>
            <w:tcW w:w="685" w:type="pct"/>
            <w:noWrap w:val="0"/>
            <w:vAlign w:val="center"/>
          </w:tcPr>
          <w:p w14:paraId="43993C39">
            <w:pPr>
              <w:keepNext w:val="0"/>
              <w:keepLines w:val="0"/>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台</w:t>
            </w:r>
          </w:p>
        </w:tc>
        <w:tc>
          <w:tcPr>
            <w:tcW w:w="686" w:type="pct"/>
            <w:noWrap w:val="0"/>
            <w:vAlign w:val="center"/>
          </w:tcPr>
          <w:p w14:paraId="38158193">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4</w:t>
            </w:r>
          </w:p>
        </w:tc>
      </w:tr>
      <w:tr w14:paraId="063A9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32B19CDC">
            <w:pPr>
              <w:keepNext w:val="0"/>
              <w:keepLines w:val="0"/>
              <w:suppressLineNumbers w:val="0"/>
              <w:spacing w:before="0" w:beforeAutospacing="0" w:after="0" w:afterAutospacing="0" w:line="360" w:lineRule="exact"/>
              <w:ind w:left="0" w:right="0"/>
              <w:jc w:val="center"/>
              <w:rPr>
                <w:rFonts w:hint="default"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17</w:t>
            </w:r>
          </w:p>
        </w:tc>
        <w:tc>
          <w:tcPr>
            <w:tcW w:w="2942" w:type="pct"/>
            <w:noWrap w:val="0"/>
            <w:vAlign w:val="center"/>
          </w:tcPr>
          <w:p w14:paraId="6B72E770">
            <w:pPr>
              <w:keepNext w:val="0"/>
              <w:keepLines w:val="0"/>
              <w:widowControl/>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主开关柜</w:t>
            </w:r>
          </w:p>
        </w:tc>
        <w:tc>
          <w:tcPr>
            <w:tcW w:w="685" w:type="pct"/>
            <w:noWrap w:val="0"/>
            <w:vAlign w:val="center"/>
          </w:tcPr>
          <w:p w14:paraId="3CB8E1F6">
            <w:pPr>
              <w:keepNext w:val="0"/>
              <w:keepLines w:val="0"/>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台</w:t>
            </w:r>
          </w:p>
        </w:tc>
        <w:tc>
          <w:tcPr>
            <w:tcW w:w="686" w:type="pct"/>
            <w:noWrap w:val="0"/>
            <w:vAlign w:val="center"/>
          </w:tcPr>
          <w:p w14:paraId="6ACD77F5">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4</w:t>
            </w:r>
          </w:p>
        </w:tc>
      </w:tr>
      <w:tr w14:paraId="7277C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47B40EB8">
            <w:pPr>
              <w:keepNext w:val="0"/>
              <w:keepLines w:val="0"/>
              <w:suppressLineNumbers w:val="0"/>
              <w:spacing w:before="0" w:beforeAutospacing="0" w:after="0" w:afterAutospacing="0" w:line="360" w:lineRule="exact"/>
              <w:ind w:left="0" w:right="0"/>
              <w:jc w:val="center"/>
              <w:rPr>
                <w:rFonts w:hint="default"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18</w:t>
            </w:r>
          </w:p>
        </w:tc>
        <w:tc>
          <w:tcPr>
            <w:tcW w:w="2942" w:type="pct"/>
            <w:noWrap w:val="0"/>
            <w:vAlign w:val="center"/>
          </w:tcPr>
          <w:p w14:paraId="2334CF6B">
            <w:pPr>
              <w:keepNext w:val="0"/>
              <w:keepLines w:val="0"/>
              <w:widowControl/>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多级离心泵及配套软启</w:t>
            </w:r>
            <w:r>
              <w:rPr>
                <w:rFonts w:hint="default" w:ascii="Times New Roman" w:hAnsi="Times New Roman" w:cs="Calibri"/>
                <w:color w:val="000000" w:themeColor="text1"/>
                <w:kern w:val="0"/>
                <w:szCs w:val="21"/>
                <w14:textFill>
                  <w14:solidFill>
                    <w14:schemeClr w14:val="tx1"/>
                  </w14:solidFill>
                </w14:textFill>
              </w:rPr>
              <w:t>动柜</w:t>
            </w:r>
          </w:p>
        </w:tc>
        <w:tc>
          <w:tcPr>
            <w:tcW w:w="685" w:type="pct"/>
            <w:noWrap w:val="0"/>
            <w:vAlign w:val="center"/>
          </w:tcPr>
          <w:p w14:paraId="5C0FEC90">
            <w:pPr>
              <w:keepNext w:val="0"/>
              <w:keepLines w:val="0"/>
              <w:suppressLineNumbers w:val="0"/>
              <w:spacing w:before="0" w:beforeAutospacing="0" w:after="0" w:afterAutospacing="0" w:line="360" w:lineRule="exact"/>
              <w:ind w:left="0" w:right="0"/>
              <w:jc w:val="center"/>
              <w:rPr>
                <w:rFonts w:hint="eastAsia" w:ascii="Times New Roman" w:hAnsi="Times New Roman" w:cs="Calibri"/>
                <w:color w:val="000000" w:themeColor="text1"/>
                <w:kern w:val="0"/>
                <w:szCs w:val="21"/>
                <w14:textFill>
                  <w14:solidFill>
                    <w14:schemeClr w14:val="tx1"/>
                  </w14:solidFill>
                </w14:textFill>
              </w:rPr>
            </w:pPr>
            <w:r>
              <w:rPr>
                <w:rFonts w:hint="eastAsia" w:ascii="Times New Roman" w:hAnsi="Times New Roman" w:cs="Calibri"/>
                <w:color w:val="000000" w:themeColor="text1"/>
                <w:kern w:val="0"/>
                <w:szCs w:val="21"/>
                <w14:textFill>
                  <w14:solidFill>
                    <w14:schemeClr w14:val="tx1"/>
                  </w14:solidFill>
                </w14:textFill>
              </w:rPr>
              <w:t>台</w:t>
            </w:r>
          </w:p>
        </w:tc>
        <w:tc>
          <w:tcPr>
            <w:tcW w:w="686" w:type="pct"/>
            <w:noWrap w:val="0"/>
            <w:vAlign w:val="center"/>
          </w:tcPr>
          <w:p w14:paraId="0B134B56">
            <w:pPr>
              <w:pStyle w:val="1000"/>
              <w:keepNext w:val="0"/>
              <w:keepLines w:val="0"/>
              <w:widowControl w:val="0"/>
              <w:suppressLineNumbers w:val="0"/>
              <w:spacing w:before="0" w:beforeAutospacing="0" w:after="0" w:afterAutospacing="0" w:line="360" w:lineRule="exact"/>
              <w:ind w:left="0" w:leftChars="0" w:right="0" w:rightChars="0"/>
              <w:rPr>
                <w:rFonts w:hint="default" w:ascii="Times New Roman" w:hAnsi="Times New Roman" w:eastAsia="宋体" w:cs="Calibri"/>
                <w:color w:val="000000" w:themeColor="text1"/>
                <w:kern w:val="0"/>
                <w:sz w:val="21"/>
                <w:szCs w:val="21"/>
                <w14:textFill>
                  <w14:solidFill>
                    <w14:schemeClr w14:val="tx1"/>
                  </w14:solidFill>
                </w14:textFill>
              </w:rPr>
            </w:pPr>
            <w:r>
              <w:rPr>
                <w:rFonts w:hint="eastAsia" w:ascii="Times New Roman" w:hAnsi="Times New Roman" w:eastAsia="宋体" w:cs="Calibri"/>
                <w:color w:val="000000" w:themeColor="text1"/>
                <w:kern w:val="0"/>
                <w:sz w:val="21"/>
                <w:szCs w:val="21"/>
                <w14:textFill>
                  <w14:solidFill>
                    <w14:schemeClr w14:val="tx1"/>
                  </w14:solidFill>
                </w14:textFill>
              </w:rPr>
              <w:t>3</w:t>
            </w:r>
          </w:p>
        </w:tc>
      </w:tr>
    </w:tbl>
    <w:p w14:paraId="20973CE7">
      <w:pPr>
        <w:pStyle w:val="4"/>
        <w:spacing w:before="60" w:after="60" w:line="480" w:lineRule="exact"/>
        <w:rPr>
          <w:color w:val="000000" w:themeColor="text1"/>
          <w:kern w:val="2"/>
          <w14:textFill>
            <w14:solidFill>
              <w14:schemeClr w14:val="tx1"/>
            </w14:solidFill>
          </w14:textFill>
        </w:rPr>
      </w:pPr>
      <w:bookmarkStart w:id="283" w:name="_Toc6813"/>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7</w:t>
      </w:r>
      <w:r>
        <w:rPr>
          <w:rFonts w:hint="eastAsia" w:ascii="Times New Roman" w:hAnsi="Times New Roman" w:cs="Times New Roman"/>
          <w:color w:val="000000" w:themeColor="text1"/>
          <w:highlight w:val="none"/>
          <w:lang w:val="en-US" w:eastAsia="zh-CN"/>
          <w14:textFill>
            <w14:solidFill>
              <w14:schemeClr w14:val="tx1"/>
            </w14:solidFill>
          </w14:textFill>
        </w:rPr>
        <w:t>现有工程生产工艺</w:t>
      </w:r>
    </w:p>
    <w:p w14:paraId="329C2CBC">
      <w:pPr>
        <w:pStyle w:val="18"/>
        <w:spacing w:line="480" w:lineRule="exact"/>
        <w:ind w:firstLine="480"/>
        <w:rPr>
          <w:rStyle w:val="1001"/>
          <w:rFonts w:hint="default"/>
          <w:color w:val="000000" w:themeColor="text1"/>
          <w:lang w:val="en-US"/>
          <w14:textFill>
            <w14:solidFill>
              <w14:schemeClr w14:val="tx1"/>
            </w14:solidFill>
          </w14:textFill>
        </w:rPr>
      </w:pPr>
      <w:r>
        <w:rPr>
          <w:rStyle w:val="1001"/>
          <w:rFonts w:hint="eastAsia"/>
          <w:color w:val="000000" w:themeColor="text1"/>
          <w14:textFill>
            <w14:solidFill>
              <w14:schemeClr w14:val="tx1"/>
            </w14:solidFill>
          </w14:textFill>
        </w:rPr>
        <w:t>（</w:t>
      </w:r>
      <w:r>
        <w:rPr>
          <w:rStyle w:val="1001"/>
          <w:rFonts w:hint="eastAsia"/>
          <w:color w:val="000000" w:themeColor="text1"/>
          <w:lang w:val="en-US"/>
          <w14:textFill>
            <w14:solidFill>
              <w14:schemeClr w14:val="tx1"/>
            </w14:solidFill>
          </w14:textFill>
        </w:rPr>
        <w:t>1</w:t>
      </w:r>
      <w:r>
        <w:rPr>
          <w:rStyle w:val="1001"/>
          <w:rFonts w:hint="eastAsia"/>
          <w:color w:val="000000" w:themeColor="text1"/>
          <w14:textFill>
            <w14:solidFill>
              <w14:schemeClr w14:val="tx1"/>
            </w14:solidFill>
          </w14:textFill>
        </w:rPr>
        <w:t>）</w:t>
      </w:r>
      <w:r>
        <w:rPr>
          <w:rStyle w:val="1001"/>
          <w:rFonts w:hint="eastAsia"/>
          <w:color w:val="000000" w:themeColor="text1"/>
          <w:lang w:val="en-US"/>
          <w14:textFill>
            <w14:solidFill>
              <w14:schemeClr w14:val="tx1"/>
            </w14:solidFill>
          </w14:textFill>
        </w:rPr>
        <w:t>采矿工艺</w:t>
      </w:r>
    </w:p>
    <w:p w14:paraId="6CB24A03">
      <w:pPr>
        <w:pStyle w:val="18"/>
        <w:spacing w:line="480" w:lineRule="exact"/>
        <w:ind w:firstLine="480"/>
        <w:rPr>
          <w:rStyle w:val="1001"/>
          <w:rFonts w:hint="eastAsia" w:ascii="Times New Roman" w:hAnsi="Times New Roman" w:eastAsia="宋体" w:cs="Times New Roman"/>
          <w:color w:val="000000" w:themeColor="text1"/>
          <w14:textFill>
            <w14:solidFill>
              <w14:schemeClr w14:val="tx1"/>
            </w14:solidFill>
          </w14:textFill>
        </w:rPr>
      </w:pPr>
      <w:r>
        <w:rPr>
          <w:rStyle w:val="1001"/>
          <w:rFonts w:hint="eastAsia"/>
          <w:color w:val="000000" w:themeColor="text1"/>
          <w14:textFill>
            <w14:solidFill>
              <w14:schemeClr w14:val="tx1"/>
            </w14:solidFill>
          </w14:textFill>
        </w:rPr>
        <w:t>新疆哈密市西成矿业有限责任公司M</w:t>
      </w:r>
      <w:r>
        <w:rPr>
          <w:rStyle w:val="1001"/>
          <w:color w:val="000000" w:themeColor="text1"/>
          <w14:textFill>
            <w14:solidFill>
              <w14:schemeClr w14:val="tx1"/>
            </w14:solidFill>
          </w14:textFill>
        </w:rPr>
        <w:t>1033</w:t>
      </w:r>
      <w:r>
        <w:rPr>
          <w:rStyle w:val="1001"/>
          <w:rFonts w:hint="eastAsia"/>
          <w:color w:val="000000" w:themeColor="text1"/>
          <w14:textFill>
            <w14:solidFill>
              <w14:schemeClr w14:val="tx1"/>
            </w14:solidFill>
          </w14:textFill>
        </w:rPr>
        <w:t>铁矿</w:t>
      </w:r>
      <w:r>
        <w:rPr>
          <w:rStyle w:val="1001"/>
          <w:rFonts w:hint="eastAsia"/>
          <w:color w:val="000000" w:themeColor="text1"/>
          <w:lang w:val="en-US"/>
          <w14:textFill>
            <w14:solidFill>
              <w14:schemeClr w14:val="tx1"/>
            </w14:solidFill>
          </w14:textFill>
        </w:rPr>
        <w:t>采用</w:t>
      </w:r>
      <w:r>
        <w:rPr>
          <w:rStyle w:val="1001"/>
          <w:rFonts w:hint="eastAsia" w:ascii="Times New Roman" w:hAnsi="Times New Roman" w:eastAsia="宋体" w:cs="Times New Roman"/>
          <w:color w:val="000000" w:themeColor="text1"/>
          <w14:textFill>
            <w14:solidFill>
              <w14:schemeClr w14:val="tx1"/>
            </w14:solidFill>
          </w14:textFill>
        </w:rPr>
        <w:t>地下开采</w:t>
      </w:r>
      <w:r>
        <w:rPr>
          <w:rStyle w:val="1001"/>
          <w:rFonts w:hint="eastAsia" w:ascii="Times New Roman" w:hAnsi="Times New Roman" w:eastAsia="宋体" w:cs="Times New Roman"/>
          <w:color w:val="000000" w:themeColor="text1"/>
          <w:lang w:val="en-US"/>
          <w14:textFill>
            <w14:solidFill>
              <w14:schemeClr w14:val="tx1"/>
            </w14:solidFill>
          </w14:textFill>
        </w:rPr>
        <w:t>方式</w:t>
      </w:r>
      <w:r>
        <w:rPr>
          <w:rStyle w:val="1001"/>
          <w:rFonts w:hint="eastAsia" w:ascii="Times New Roman" w:hAnsi="Times New Roman" w:eastAsia="宋体" w:cs="Times New Roman"/>
          <w:color w:val="000000" w:themeColor="text1"/>
          <w14:textFill>
            <w14:solidFill>
              <w14:schemeClr w14:val="tx1"/>
            </w14:solidFill>
          </w14:textFill>
        </w:rPr>
        <w:t>，竖井开拓，</w:t>
      </w:r>
      <w:r>
        <w:rPr>
          <w:rStyle w:val="1001"/>
          <w:rFonts w:hint="eastAsia" w:ascii="Times New Roman" w:hAnsi="Times New Roman" w:eastAsia="宋体" w:cs="Times New Roman"/>
          <w:color w:val="000000" w:themeColor="text1"/>
          <w:lang w:val="en-US"/>
          <w14:textFill>
            <w14:solidFill>
              <w14:schemeClr w14:val="tx1"/>
            </w14:solidFill>
          </w14:textFill>
        </w:rPr>
        <w:t>采矿方法为分段空场采矿法，</w:t>
      </w:r>
      <w:r>
        <w:rPr>
          <w:rStyle w:val="1001"/>
          <w:rFonts w:hint="eastAsia" w:ascii="Times New Roman" w:hAnsi="Times New Roman" w:eastAsia="宋体" w:cs="Times New Roman"/>
          <w:color w:val="000000" w:themeColor="text1"/>
          <w14:textFill>
            <w14:solidFill>
              <w14:schemeClr w14:val="tx1"/>
            </w14:solidFill>
          </w14:textFill>
        </w:rPr>
        <w:t>设计采矿回采率85%，贫化率12%，实际回采率为84.89%，贫化率约12.24%。</w:t>
      </w:r>
    </w:p>
    <w:p w14:paraId="2AE8E16A">
      <w:pPr>
        <w:pStyle w:val="18"/>
        <w:spacing w:line="480" w:lineRule="exact"/>
        <w:ind w:firstLine="480"/>
        <w:rPr>
          <w:rStyle w:val="1001"/>
          <w:rFonts w:hint="default" w:ascii="Times New Roman" w:hAnsi="Times New Roman" w:eastAsia="宋体" w:cs="Times New Roman"/>
          <w:color w:val="000000" w:themeColor="text1"/>
          <w:lang w:val="en-US"/>
          <w14:textFill>
            <w14:solidFill>
              <w14:schemeClr w14:val="tx1"/>
            </w14:solidFill>
          </w14:textFill>
        </w:rPr>
      </w:pPr>
      <w:r>
        <w:rPr>
          <w:rStyle w:val="1001"/>
          <w:rFonts w:hint="eastAsia" w:ascii="Times New Roman" w:hAnsi="Times New Roman" w:eastAsia="宋体" w:cs="Times New Roman"/>
          <w:color w:val="000000" w:themeColor="text1"/>
          <w14:textFill>
            <w14:solidFill>
              <w14:schemeClr w14:val="tx1"/>
            </w14:solidFill>
          </w14:textFill>
        </w:rPr>
        <w:t>（</w:t>
      </w:r>
      <w:r>
        <w:rPr>
          <w:rStyle w:val="1001"/>
          <w:rFonts w:hint="eastAsia" w:ascii="Times New Roman" w:hAnsi="Times New Roman" w:eastAsia="宋体" w:cs="Times New Roman"/>
          <w:color w:val="000000" w:themeColor="text1"/>
          <w:lang w:val="en-US"/>
          <w14:textFill>
            <w14:solidFill>
              <w14:schemeClr w14:val="tx1"/>
            </w14:solidFill>
          </w14:textFill>
        </w:rPr>
        <w:t>2</w:t>
      </w:r>
      <w:r>
        <w:rPr>
          <w:rStyle w:val="1001"/>
          <w:rFonts w:hint="eastAsia" w:ascii="Times New Roman" w:hAnsi="Times New Roman" w:eastAsia="宋体" w:cs="Times New Roman"/>
          <w:color w:val="000000" w:themeColor="text1"/>
          <w14:textFill>
            <w14:solidFill>
              <w14:schemeClr w14:val="tx1"/>
            </w14:solidFill>
          </w14:textFill>
        </w:rPr>
        <w:t>）</w:t>
      </w:r>
      <w:r>
        <w:rPr>
          <w:rStyle w:val="1001"/>
          <w:rFonts w:hint="eastAsia" w:ascii="Times New Roman" w:hAnsi="Times New Roman" w:eastAsia="宋体" w:cs="Times New Roman"/>
          <w:color w:val="000000" w:themeColor="text1"/>
          <w:lang w:val="en-US"/>
          <w14:textFill>
            <w14:solidFill>
              <w14:schemeClr w14:val="tx1"/>
            </w14:solidFill>
          </w14:textFill>
        </w:rPr>
        <w:t>选矿工艺</w:t>
      </w:r>
    </w:p>
    <w:p w14:paraId="3D00C315">
      <w:pPr>
        <w:pStyle w:val="18"/>
        <w:spacing w:line="480" w:lineRule="exact"/>
        <w:ind w:firstLine="480"/>
        <w:rPr>
          <w:rStyle w:val="1001"/>
          <w:rFonts w:hint="eastAsia" w:ascii="Times New Roman" w:hAnsi="Times New Roman" w:eastAsia="宋体" w:cs="Times New Roman"/>
          <w:color w:val="000000" w:themeColor="text1"/>
          <w14:textFill>
            <w14:solidFill>
              <w14:schemeClr w14:val="tx1"/>
            </w14:solidFill>
          </w14:textFill>
        </w:rPr>
      </w:pPr>
      <w:r>
        <w:rPr>
          <w:rStyle w:val="1001"/>
          <w:rFonts w:hint="eastAsia" w:ascii="Times New Roman" w:hAnsi="Times New Roman" w:eastAsia="宋体" w:cs="Times New Roman"/>
          <w:color w:val="000000" w:themeColor="text1"/>
          <w14:textFill>
            <w14:solidFill>
              <w14:schemeClr w14:val="tx1"/>
            </w14:solidFill>
          </w14:textFill>
        </w:rPr>
        <w:t>选矿采用</w:t>
      </w:r>
      <w:r>
        <w:rPr>
          <w:rStyle w:val="1001"/>
          <w:rFonts w:hint="eastAsia" w:ascii="Times New Roman" w:hAnsi="Times New Roman" w:eastAsia="宋体" w:cs="Times New Roman"/>
          <w:color w:val="000000" w:themeColor="text1"/>
          <w:lang w:val="en-US"/>
          <w14:textFill>
            <w14:solidFill>
              <w14:schemeClr w14:val="tx1"/>
            </w14:solidFill>
          </w14:textFill>
        </w:rPr>
        <w:t>干式磁选、阶段磨矿、阶段选别的工艺</w:t>
      </w:r>
      <w:r>
        <w:rPr>
          <w:rStyle w:val="1001"/>
          <w:rFonts w:hint="eastAsia" w:ascii="Times New Roman" w:hAnsi="Times New Roman" w:eastAsia="宋体" w:cs="Times New Roman"/>
          <w:color w:val="000000" w:themeColor="text1"/>
          <w14:textFill>
            <w14:solidFill>
              <w14:schemeClr w14:val="tx1"/>
            </w14:solidFill>
          </w14:textFill>
        </w:rPr>
        <w:t>。原矿破碎筛分后先进行干磁选，干选精矿在磨矿细度60%-200目、磁场强度2400GS的条件下进行一段磁选抛尾；一段磁选获得的精矿再磨再磁选，再磨细度95%-325目，经过一次粗选、一次扫选、二次精选，扫精及精尾合并返回再磨系统形成闭路；获得TFe品位63.53%的铁精矿产品，全铁回收率73.18%；铁精矿产品含磁性铁62.41%，磁性铁回收率95.19%。矿山前期实际选矿回收率为48.45%。</w:t>
      </w:r>
    </w:p>
    <w:p w14:paraId="786A8790">
      <w:pPr>
        <w:pStyle w:val="18"/>
        <w:spacing w:line="480" w:lineRule="exact"/>
        <w:ind w:firstLine="480"/>
        <w:rPr>
          <w:rStyle w:val="1001"/>
          <w:rFonts w:hint="default" w:ascii="Times New Roman" w:hAnsi="Times New Roman" w:eastAsia="宋体" w:cs="Times New Roman"/>
          <w:color w:val="000000" w:themeColor="text1"/>
          <w:lang w:val="en-US"/>
          <w14:textFill>
            <w14:solidFill>
              <w14:schemeClr w14:val="tx1"/>
            </w14:solidFill>
          </w14:textFill>
        </w:rPr>
      </w:pPr>
      <w:r>
        <w:rPr>
          <w:rStyle w:val="1001"/>
          <w:rFonts w:hint="eastAsia" w:ascii="Times New Roman" w:hAnsi="Times New Roman" w:eastAsia="宋体" w:cs="Times New Roman"/>
          <w:color w:val="000000" w:themeColor="text1"/>
          <w14:textFill>
            <w14:solidFill>
              <w14:schemeClr w14:val="tx1"/>
            </w14:solidFill>
          </w14:textFill>
        </w:rPr>
        <w:t>（</w:t>
      </w:r>
      <w:r>
        <w:rPr>
          <w:rStyle w:val="1001"/>
          <w:rFonts w:hint="eastAsia" w:ascii="Times New Roman" w:hAnsi="Times New Roman" w:eastAsia="宋体" w:cs="Times New Roman"/>
          <w:color w:val="000000" w:themeColor="text1"/>
          <w:lang w:val="en-US"/>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w:t>
      </w:r>
      <w:r>
        <w:rPr>
          <w:rStyle w:val="1001"/>
          <w:rFonts w:hint="eastAsia" w:ascii="Times New Roman" w:hAnsi="Times New Roman" w:eastAsia="宋体" w:cs="Times New Roman"/>
          <w:color w:val="000000" w:themeColor="text1"/>
          <w:lang w:val="en-US"/>
          <w14:textFill>
            <w14:solidFill>
              <w14:schemeClr w14:val="tx1"/>
            </w14:solidFill>
          </w14:textFill>
        </w:rPr>
        <w:t>尾矿库</w:t>
      </w:r>
    </w:p>
    <w:p w14:paraId="5B6AD3D8">
      <w:pPr>
        <w:pStyle w:val="18"/>
        <w:spacing w:line="480" w:lineRule="exact"/>
        <w:ind w:firstLine="480"/>
        <w:rPr>
          <w:rStyle w:val="1001"/>
          <w:rFonts w:hint="eastAsia" w:ascii="Times New Roman" w:hAnsi="Times New Roman" w:eastAsia="宋体" w:cs="Times New Roman"/>
          <w:color w:val="000000" w:themeColor="text1"/>
          <w14:textFill>
            <w14:solidFill>
              <w14:schemeClr w14:val="tx1"/>
            </w14:solidFill>
          </w14:textFill>
        </w:rPr>
      </w:pPr>
      <w:r>
        <w:rPr>
          <w:rStyle w:val="1001"/>
          <w:rFonts w:hint="eastAsia" w:ascii="Times New Roman" w:hAnsi="Times New Roman" w:eastAsia="宋体" w:cs="Times New Roman"/>
          <w:color w:val="000000" w:themeColor="text1"/>
          <w14:textFill>
            <w14:solidFill>
              <w14:schemeClr w14:val="tx1"/>
            </w14:solidFill>
          </w14:textFill>
        </w:rPr>
        <w:t>现有选矿厂设有两个尾矿库，位于选矿车间西侧，容积为8万m</w:t>
      </w:r>
      <w:r>
        <w:rPr>
          <w:rStyle w:val="1001"/>
          <w:rFonts w:hint="eastAsia" w:ascii="Times New Roman" w:hAnsi="Times New Roman" w:eastAsia="宋体" w:cs="Times New Roman"/>
          <w:color w:val="000000" w:themeColor="text1"/>
          <w:vertAlign w:val="superscript"/>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的1号尾矿库修建于2004年，容积为25万m</w:t>
      </w:r>
      <w:r>
        <w:rPr>
          <w:rStyle w:val="1001"/>
          <w:rFonts w:hint="eastAsia" w:ascii="Times New Roman" w:hAnsi="Times New Roman" w:eastAsia="宋体" w:cs="Times New Roman"/>
          <w:color w:val="000000" w:themeColor="text1"/>
          <w:vertAlign w:val="superscript"/>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的2号尾矿库修建于2005年，</w:t>
      </w:r>
      <w:r>
        <w:rPr>
          <w:rStyle w:val="1001"/>
          <w:rFonts w:hint="eastAsia" w:cs="Times New Roman"/>
          <w:color w:val="000000" w:themeColor="text1"/>
          <w:lang w:val="en-US"/>
          <w14:textFill>
            <w14:solidFill>
              <w14:schemeClr w14:val="tx1"/>
            </w14:solidFill>
          </w14:textFill>
        </w:rPr>
        <w:t>二者相邻。</w:t>
      </w:r>
      <w:r>
        <w:rPr>
          <w:rStyle w:val="1001"/>
          <w:rFonts w:hint="eastAsia" w:ascii="Times New Roman" w:hAnsi="Times New Roman" w:eastAsia="宋体" w:cs="Times New Roman"/>
          <w:color w:val="000000" w:themeColor="text1"/>
          <w14:textFill>
            <w14:solidFill>
              <w14:schemeClr w14:val="tx1"/>
            </w14:solidFill>
          </w14:textFill>
        </w:rPr>
        <w:t>由于尾矿库修建时间较早，相关设施较落后，不符合现有的尾矿库设计规范，且尾矿库容量不满足改建后正常生产产生的尾矿堆存量。建设单位拟将现有尾矿库进行生态恢复，并在选厂南侧新建尾矿库，尾矿库设计最终堆积标高1264.0m，为四等库，尾矿堆积坝总高度为30.0m，总库容527.54万m</w:t>
      </w:r>
      <w:r>
        <w:rPr>
          <w:rStyle w:val="1001"/>
          <w:rFonts w:hint="eastAsia" w:ascii="Times New Roman" w:hAnsi="Times New Roman" w:eastAsia="宋体" w:cs="Times New Roman"/>
          <w:color w:val="000000" w:themeColor="text1"/>
          <w:vertAlign w:val="superscript"/>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，总有效库容约为501.17万m</w:t>
      </w:r>
      <w:r>
        <w:rPr>
          <w:rStyle w:val="1001"/>
          <w:rFonts w:hint="eastAsia" w:ascii="Times New Roman" w:hAnsi="Times New Roman" w:eastAsia="宋体" w:cs="Times New Roman"/>
          <w:color w:val="000000" w:themeColor="text1"/>
          <w:vertAlign w:val="superscript"/>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，可服务约19年。</w:t>
      </w:r>
    </w:p>
    <w:p w14:paraId="36F9FB90">
      <w:pPr>
        <w:pStyle w:val="18"/>
        <w:spacing w:line="480" w:lineRule="exact"/>
        <w:ind w:firstLine="480"/>
        <w:rPr>
          <w:rStyle w:val="1001"/>
          <w:rFonts w:hint="default" w:ascii="Times New Roman" w:hAnsi="Times New Roman" w:eastAsia="宋体" w:cs="Times New Roman"/>
          <w:color w:val="000000" w:themeColor="text1"/>
          <w:lang w:val="en-US"/>
          <w14:textFill>
            <w14:solidFill>
              <w14:schemeClr w14:val="tx1"/>
            </w14:solidFill>
          </w14:textFill>
        </w:rPr>
      </w:pPr>
      <w:r>
        <w:rPr>
          <w:rStyle w:val="1001"/>
          <w:rFonts w:hint="eastAsia" w:cs="Times New Roman"/>
          <w:b/>
          <w:bCs/>
          <w:color w:val="000000" w:themeColor="text1"/>
          <w:lang w:val="en-US"/>
          <w14:textFill>
            <w14:solidFill>
              <w14:schemeClr w14:val="tx1"/>
            </w14:solidFill>
          </w14:textFill>
        </w:rPr>
        <w:t>选矿厂、尾矿库为选矿工程评价内容，不在本次评价范围内。</w:t>
      </w:r>
    </w:p>
    <w:p w14:paraId="77DD3EF4">
      <w:pPr>
        <w:pStyle w:val="4"/>
        <w:spacing w:before="60" w:after="60" w:line="480" w:lineRule="exact"/>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w:t>
      </w:r>
      <w:r>
        <w:rPr>
          <w:rFonts w:hint="eastAsia"/>
          <w:color w:val="000000" w:themeColor="text1"/>
          <w:kern w:val="2"/>
          <w:lang w:val="en-US" w:eastAsia="zh-CN"/>
          <w14:textFill>
            <w14:solidFill>
              <w14:schemeClr w14:val="tx1"/>
            </w14:solidFill>
          </w14:textFill>
        </w:rPr>
        <w:t>8</w:t>
      </w:r>
      <w:r>
        <w:rPr>
          <w:rFonts w:hint="eastAsia" w:ascii="Times New Roman" w:hAnsi="Times New Roman" w:cs="Times New Roman"/>
          <w:color w:val="000000" w:themeColor="text1"/>
          <w:highlight w:val="none"/>
          <w:lang w:val="en-US" w:eastAsia="zh-CN"/>
          <w14:textFill>
            <w14:solidFill>
              <w14:schemeClr w14:val="tx1"/>
            </w14:solidFill>
          </w14:textFill>
        </w:rPr>
        <w:t>现有</w:t>
      </w:r>
      <w:r>
        <w:rPr>
          <w:rFonts w:hint="eastAsia"/>
          <w:color w:val="000000" w:themeColor="text1"/>
          <w:kern w:val="2"/>
          <w14:textFill>
            <w14:solidFill>
              <w14:schemeClr w14:val="tx1"/>
            </w14:solidFill>
          </w14:textFill>
        </w:rPr>
        <w:t>环境管理</w:t>
      </w:r>
    </w:p>
    <w:p w14:paraId="0E21C698">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w:t>
      </w:r>
      <w:r>
        <w:rPr>
          <w:rFonts w:hint="eastAsia" w:ascii="Times New Roman" w:hAnsi="Times New Roman"/>
          <w:bCs w:val="0"/>
          <w:color w:val="000000" w:themeColor="text1"/>
          <w:kern w:val="2"/>
          <w:szCs w:val="24"/>
          <w:lang w:val="en-US" w:eastAsia="zh-CN"/>
          <w14:textFill>
            <w14:solidFill>
              <w14:schemeClr w14:val="tx1"/>
            </w14:solidFill>
          </w14:textFill>
        </w:rPr>
        <w:t>8</w:t>
      </w:r>
      <w:r>
        <w:rPr>
          <w:rFonts w:ascii="Times New Roman" w:hAnsi="Times New Roman"/>
          <w:bCs w:val="0"/>
          <w:color w:val="000000" w:themeColor="text1"/>
          <w:kern w:val="2"/>
          <w:szCs w:val="24"/>
          <w14:textFill>
            <w14:solidFill>
              <w14:schemeClr w14:val="tx1"/>
            </w14:solidFill>
          </w14:textFill>
        </w:rPr>
        <w:t>.1</w:t>
      </w:r>
      <w:r>
        <w:rPr>
          <w:rFonts w:ascii="Times New Roman" w:hAnsi="Times New Roman"/>
          <w:color w:val="000000" w:themeColor="text1"/>
          <w14:textFill>
            <w14:solidFill>
              <w14:schemeClr w14:val="tx1"/>
            </w14:solidFill>
          </w14:textFill>
        </w:rPr>
        <w:t>环境管理机构设置及</w:t>
      </w:r>
      <w:r>
        <w:rPr>
          <w:rFonts w:hint="eastAsia" w:ascii="Times New Roman" w:hAnsi="Times New Roman"/>
          <w:color w:val="000000" w:themeColor="text1"/>
          <w14:textFill>
            <w14:solidFill>
              <w14:schemeClr w14:val="tx1"/>
            </w14:solidFill>
          </w14:textFill>
        </w:rPr>
        <w:t>体系建立情况</w:t>
      </w:r>
    </w:p>
    <w:p w14:paraId="7C2D0014">
      <w:pPr>
        <w:pStyle w:val="18"/>
        <w:spacing w:line="480" w:lineRule="exact"/>
        <w:ind w:firstLine="480"/>
        <w:rPr>
          <w:rStyle w:val="1001"/>
          <w:rFonts w:hint="eastAsia"/>
          <w:color w:val="000000" w:themeColor="text1"/>
          <w14:textFill>
            <w14:solidFill>
              <w14:schemeClr w14:val="tx1"/>
            </w14:solidFill>
          </w14:textFill>
        </w:rPr>
      </w:pPr>
      <w:r>
        <w:rPr>
          <w:rStyle w:val="1001"/>
          <w:rFonts w:hint="eastAsia"/>
          <w:color w:val="000000" w:themeColor="text1"/>
          <w14:textFill>
            <w14:solidFill>
              <w14:schemeClr w14:val="tx1"/>
            </w14:solidFill>
          </w14:textFill>
        </w:rPr>
        <w:t>新疆哈密市西成矿业有限责任公司M</w:t>
      </w:r>
      <w:r>
        <w:rPr>
          <w:rStyle w:val="1001"/>
          <w:color w:val="000000" w:themeColor="text1"/>
          <w14:textFill>
            <w14:solidFill>
              <w14:schemeClr w14:val="tx1"/>
            </w14:solidFill>
          </w14:textFill>
        </w:rPr>
        <w:t>1033</w:t>
      </w:r>
      <w:r>
        <w:rPr>
          <w:rStyle w:val="1001"/>
          <w:rFonts w:hint="eastAsia"/>
          <w:color w:val="000000" w:themeColor="text1"/>
          <w14:textFill>
            <w14:solidFill>
              <w14:schemeClr w14:val="tx1"/>
            </w14:solidFill>
          </w14:textFill>
        </w:rPr>
        <w:t>铁矿停产多年，环境管理机构尚不完善，尚未设置</w:t>
      </w:r>
      <w:r>
        <w:rPr>
          <w:rStyle w:val="1001"/>
          <w:color w:val="000000" w:themeColor="text1"/>
          <w14:textFill>
            <w14:solidFill>
              <w14:schemeClr w14:val="tx1"/>
            </w14:solidFill>
          </w14:textFill>
        </w:rPr>
        <w:t>环保专职部门负责日常环境保护管理工作</w:t>
      </w:r>
      <w:r>
        <w:rPr>
          <w:rStyle w:val="1001"/>
          <w:rFonts w:hint="eastAsia"/>
          <w:color w:val="000000" w:themeColor="text1"/>
          <w14:textFill>
            <w14:solidFill>
              <w14:schemeClr w14:val="tx1"/>
            </w14:solidFill>
          </w14:textFill>
        </w:rPr>
        <w:t>，尚未制定</w:t>
      </w:r>
      <w:r>
        <w:rPr>
          <w:rStyle w:val="1001"/>
          <w:color w:val="000000" w:themeColor="text1"/>
          <w14:textFill>
            <w14:solidFill>
              <w14:schemeClr w14:val="tx1"/>
            </w14:solidFill>
          </w14:textFill>
        </w:rPr>
        <w:t>有关环境保护规章和制度</w:t>
      </w:r>
      <w:r>
        <w:rPr>
          <w:rStyle w:val="1001"/>
          <w:rFonts w:hint="eastAsia"/>
          <w:color w:val="000000" w:themeColor="text1"/>
          <w14:textFill>
            <w14:solidFill>
              <w14:schemeClr w14:val="tx1"/>
            </w14:solidFill>
          </w14:textFill>
        </w:rPr>
        <w:t>。</w:t>
      </w:r>
    </w:p>
    <w:p w14:paraId="7FA607E9">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w:t>
      </w:r>
      <w:r>
        <w:rPr>
          <w:rFonts w:hint="eastAsia" w:ascii="Times New Roman" w:hAnsi="Times New Roman"/>
          <w:bCs w:val="0"/>
          <w:color w:val="000000" w:themeColor="text1"/>
          <w:kern w:val="2"/>
          <w:szCs w:val="24"/>
          <w:lang w:val="en-US" w:eastAsia="zh-CN"/>
          <w14:textFill>
            <w14:solidFill>
              <w14:schemeClr w14:val="tx1"/>
            </w14:solidFill>
          </w14:textFill>
        </w:rPr>
        <w:t>8</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排污许可及自行监测执行情况</w:t>
      </w:r>
      <w:bookmarkEnd w:id="283"/>
    </w:p>
    <w:p w14:paraId="4B1A17D5">
      <w:pPr>
        <w:pStyle w:val="18"/>
        <w:overflowPunct w:val="0"/>
        <w:topLinePunct/>
        <w:spacing w:line="480" w:lineRule="exact"/>
        <w:ind w:firstLine="480"/>
        <w:rPr>
          <w:rStyle w:val="1001"/>
          <w:rFonts w:hint="eastAsia"/>
          <w:color w:val="000000" w:themeColor="text1"/>
          <w14:textFill>
            <w14:solidFill>
              <w14:schemeClr w14:val="tx1"/>
            </w14:solidFill>
          </w14:textFill>
        </w:rPr>
      </w:pPr>
      <w:r>
        <w:rPr>
          <w:rStyle w:val="1001"/>
          <w:color w:val="000000" w:themeColor="text1"/>
          <w14:textFill>
            <w14:solidFill>
              <w14:schemeClr w14:val="tx1"/>
            </w14:solidFill>
          </w14:textFill>
        </w:rPr>
        <w:t>新疆哈密市西成矿业有限责任公司</w:t>
      </w:r>
      <w:r>
        <w:rPr>
          <w:rStyle w:val="1001"/>
          <w:rFonts w:hint="eastAsia"/>
          <w:color w:val="000000" w:themeColor="text1"/>
          <w14:textFill>
            <w14:solidFill>
              <w14:schemeClr w14:val="tx1"/>
            </w14:solidFill>
          </w14:textFill>
        </w:rPr>
        <w:t>M</w:t>
      </w:r>
      <w:r>
        <w:rPr>
          <w:rStyle w:val="1001"/>
          <w:color w:val="000000" w:themeColor="text1"/>
          <w14:textFill>
            <w14:solidFill>
              <w14:schemeClr w14:val="tx1"/>
            </w14:solidFill>
          </w14:textFill>
        </w:rPr>
        <w:t>1033</w:t>
      </w:r>
      <w:r>
        <w:rPr>
          <w:rStyle w:val="1001"/>
          <w:rFonts w:hint="eastAsia"/>
          <w:color w:val="000000" w:themeColor="text1"/>
          <w14:textFill>
            <w14:solidFill>
              <w14:schemeClr w14:val="tx1"/>
            </w14:solidFill>
          </w14:textFill>
        </w:rPr>
        <w:t>铁矿因前期停产，目前尚未实施自行监测计划，未办理排污许可证。</w:t>
      </w:r>
    </w:p>
    <w:p w14:paraId="7BE6E437">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14:textFill>
            <w14:solidFill>
              <w14:schemeClr w14:val="tx1"/>
            </w14:solidFill>
          </w14:textFill>
        </w:rPr>
        <w:t>3.1.8.3突发环境事件应急预案</w:t>
      </w:r>
    </w:p>
    <w:p w14:paraId="561B477B">
      <w:pPr>
        <w:pStyle w:val="18"/>
        <w:overflowPunct w:val="0"/>
        <w:topLinePunct/>
        <w:spacing w:line="480" w:lineRule="exact"/>
        <w:ind w:firstLine="480"/>
        <w:rPr>
          <w:rFonts w:hint="eastAsia" w:ascii="Times New Roman" w:hAnsi="Times New Roman" w:eastAsia="宋体"/>
          <w:color w:val="000000" w:themeColor="text1"/>
          <w:sz w:val="24"/>
          <w:lang w:val="en-US" w:eastAsia="zh-CN"/>
          <w14:textFill>
            <w14:solidFill>
              <w14:schemeClr w14:val="tx1"/>
            </w14:solidFill>
          </w14:textFill>
        </w:rPr>
      </w:pPr>
      <w:r>
        <w:rPr>
          <w:rStyle w:val="1001"/>
          <w:color w:val="000000" w:themeColor="text1"/>
          <w14:textFill>
            <w14:solidFill>
              <w14:schemeClr w14:val="tx1"/>
            </w14:solidFill>
          </w14:textFill>
        </w:rPr>
        <w:t>新疆哈密市西成矿业有限责任公司</w:t>
      </w:r>
      <w:r>
        <w:rPr>
          <w:rStyle w:val="1001"/>
          <w:rFonts w:hint="eastAsia"/>
          <w:color w:val="000000" w:themeColor="text1"/>
          <w14:textFill>
            <w14:solidFill>
              <w14:schemeClr w14:val="tx1"/>
            </w14:solidFill>
          </w14:textFill>
        </w:rPr>
        <w:t>M</w:t>
      </w:r>
      <w:r>
        <w:rPr>
          <w:rStyle w:val="1001"/>
          <w:color w:val="000000" w:themeColor="text1"/>
          <w14:textFill>
            <w14:solidFill>
              <w14:schemeClr w14:val="tx1"/>
            </w14:solidFill>
          </w14:textFill>
        </w:rPr>
        <w:t>1033</w:t>
      </w:r>
      <w:r>
        <w:rPr>
          <w:rStyle w:val="1001"/>
          <w:rFonts w:hint="eastAsia"/>
          <w:color w:val="000000" w:themeColor="text1"/>
          <w14:textFill>
            <w14:solidFill>
              <w14:schemeClr w14:val="tx1"/>
            </w14:solidFill>
          </w14:textFill>
        </w:rPr>
        <w:t>铁矿因前期停产，</w:t>
      </w:r>
      <w:r>
        <w:rPr>
          <w:rStyle w:val="1001"/>
          <w:rFonts w:hint="eastAsia"/>
          <w:color w:val="000000" w:themeColor="text1"/>
          <w:lang w:val="en-US"/>
          <w14:textFill>
            <w14:solidFill>
              <w14:schemeClr w14:val="tx1"/>
            </w14:solidFill>
          </w14:textFill>
        </w:rPr>
        <w:t>企业目前尚未编制突发环境</w:t>
      </w:r>
      <w:r>
        <w:rPr>
          <w:rFonts w:hint="eastAsia" w:ascii="Times New Roman" w:hAnsi="Times New Roman" w:eastAsia="宋体"/>
          <w:color w:val="000000" w:themeColor="text1"/>
          <w:sz w:val="24"/>
          <w:lang w:val="en-US" w:eastAsia="zh-CN"/>
          <w14:textFill>
            <w14:solidFill>
              <w14:schemeClr w14:val="tx1"/>
            </w14:solidFill>
          </w14:textFill>
        </w:rPr>
        <w:t>事件应急预案。</w:t>
      </w:r>
    </w:p>
    <w:p w14:paraId="4F09F310">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lang w:val="en-US" w:eastAsia="zh-CN"/>
          <w14:textFill>
            <w14:solidFill>
              <w14:schemeClr w14:val="tx1"/>
            </w14:solidFill>
          </w14:textFill>
        </w:rPr>
        <w:t>1.8.4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清洁生产审核开展情况</w:t>
      </w:r>
    </w:p>
    <w:p w14:paraId="5314559F">
      <w:pPr>
        <w:pStyle w:val="18"/>
        <w:overflowPunct w:val="0"/>
        <w:topLinePunct/>
        <w:spacing w:line="480" w:lineRule="exact"/>
        <w:ind w:firstLine="480"/>
        <w:rPr>
          <w:rFonts w:hint="eastAsia" w:ascii="Times New Roman" w:hAnsi="Times New Roman" w:eastAsia="宋体"/>
          <w:color w:val="000000" w:themeColor="text1"/>
          <w:sz w:val="24"/>
          <w:lang w:val="en-US" w:eastAsia="zh-CN"/>
          <w14:textFill>
            <w14:solidFill>
              <w14:schemeClr w14:val="tx1"/>
            </w14:solidFill>
          </w14:textFill>
        </w:rPr>
      </w:pPr>
      <w:r>
        <w:rPr>
          <w:rStyle w:val="1001"/>
          <w:color w:val="000000" w:themeColor="text1"/>
          <w14:textFill>
            <w14:solidFill>
              <w14:schemeClr w14:val="tx1"/>
            </w14:solidFill>
          </w14:textFill>
        </w:rPr>
        <w:t>新疆哈密市西成矿业有限责任公司</w:t>
      </w:r>
      <w:r>
        <w:rPr>
          <w:rStyle w:val="1001"/>
          <w:rFonts w:hint="eastAsia"/>
          <w:color w:val="000000" w:themeColor="text1"/>
          <w:lang w:val="en-US"/>
          <w14:textFill>
            <w14:solidFill>
              <w14:schemeClr w14:val="tx1"/>
            </w14:solidFill>
          </w14:textFill>
        </w:rPr>
        <w:t>目前停产，尚未</w:t>
      </w:r>
      <w:r>
        <w:rPr>
          <w:rFonts w:hint="eastAsia" w:ascii="Times New Roman" w:hAnsi="Times New Roman" w:eastAsia="宋体"/>
          <w:color w:val="000000" w:themeColor="text1"/>
          <w:sz w:val="24"/>
          <w:lang w:val="en-US" w:eastAsia="zh-CN"/>
          <w14:textFill>
            <w14:solidFill>
              <w14:schemeClr w14:val="tx1"/>
            </w14:solidFill>
          </w14:textFill>
        </w:rPr>
        <w:t>开展清洁生产审核工作。</w:t>
      </w:r>
    </w:p>
    <w:p w14:paraId="43413544">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lang w:val="en-US" w:eastAsia="zh-CN"/>
          <w14:textFill>
            <w14:solidFill>
              <w14:schemeClr w14:val="tx1"/>
            </w14:solidFill>
          </w14:textFill>
        </w:rPr>
        <w:t>1.8.5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绿色矿山</w:t>
      </w:r>
    </w:p>
    <w:p w14:paraId="45F0DE72">
      <w:pPr>
        <w:pStyle w:val="18"/>
        <w:overflowPunct w:val="0"/>
        <w:topLinePunct/>
        <w:spacing w:line="480" w:lineRule="exact"/>
        <w:ind w:firstLine="480"/>
        <w:rPr>
          <w:rStyle w:val="1001"/>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据调查，</w:t>
      </w:r>
      <w:r>
        <w:rPr>
          <w:rStyle w:val="1001"/>
          <w:color w:val="000000" w:themeColor="text1"/>
          <w14:textFill>
            <w14:solidFill>
              <w14:schemeClr w14:val="tx1"/>
            </w14:solidFill>
          </w14:textFill>
        </w:rPr>
        <w:t>新疆哈密市西成矿业有限责任公司</w:t>
      </w:r>
      <w:r>
        <w:rPr>
          <w:rStyle w:val="1001"/>
          <w:rFonts w:hint="eastAsia"/>
          <w:color w:val="000000" w:themeColor="text1"/>
          <w:lang w:val="en-US"/>
          <w14:textFill>
            <w14:solidFill>
              <w14:schemeClr w14:val="tx1"/>
            </w14:solidFill>
          </w14:textFill>
        </w:rPr>
        <w:t>目前停产，企业尚未开展绿色矿山建设自评、</w:t>
      </w:r>
      <w:r>
        <w:rPr>
          <w:rFonts w:hint="eastAsia" w:ascii="Times New Roman" w:hAnsi="Times New Roman" w:eastAsia="宋体"/>
          <w:color w:val="000000" w:themeColor="text1"/>
          <w:sz w:val="24"/>
          <w:lang w:val="en-US" w:eastAsia="zh-CN"/>
          <w14:textFill>
            <w14:solidFill>
              <w14:schemeClr w14:val="tx1"/>
            </w14:solidFill>
          </w14:textFill>
        </w:rPr>
        <w:t>第三方评估工作。</w:t>
      </w:r>
    </w:p>
    <w:p w14:paraId="4682636B">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lang w:val="en-US" w:eastAsia="zh-CN"/>
          <w14:textFill>
            <w14:solidFill>
              <w14:schemeClr w14:val="tx1"/>
            </w14:solidFill>
          </w14:textFill>
        </w:rPr>
        <w:t>1.8.6</w:t>
      </w:r>
      <w:r>
        <w:rPr>
          <w:rFonts w:hint="eastAsia" w:ascii="Times New Roman" w:hAnsi="Times New Roman"/>
          <w:bCs w:val="0"/>
          <w:color w:val="000000" w:themeColor="text1"/>
          <w:kern w:val="2"/>
          <w:szCs w:val="24"/>
          <w14:textFill>
            <w14:solidFill>
              <w14:schemeClr w14:val="tx1"/>
            </w14:solidFill>
          </w14:textFill>
        </w:rPr>
        <w:t>环境风险事故、投诉、环境管理部门处罚情况</w:t>
      </w:r>
    </w:p>
    <w:p w14:paraId="40DB1CC2">
      <w:pPr>
        <w:pStyle w:val="18"/>
        <w:spacing w:line="480" w:lineRule="exact"/>
        <w:ind w:firstLine="480"/>
        <w:rPr>
          <w:rStyle w:val="1009"/>
          <w:rFonts w:hint="default"/>
          <w:color w:val="000000" w:themeColor="text1"/>
          <w14:textFill>
            <w14:solidFill>
              <w14:schemeClr w14:val="tx1"/>
            </w14:solidFill>
          </w14:textFill>
        </w:rPr>
      </w:pPr>
      <w:r>
        <w:rPr>
          <w:rStyle w:val="1001"/>
          <w:rFonts w:hint="eastAsia"/>
          <w:color w:val="000000" w:themeColor="text1"/>
          <w14:textFill>
            <w14:solidFill>
              <w14:schemeClr w14:val="tx1"/>
            </w14:solidFill>
          </w14:textFill>
        </w:rPr>
        <w:t>企业现有工程</w:t>
      </w:r>
      <w:r>
        <w:rPr>
          <w:rStyle w:val="1009"/>
          <w:rFonts w:hint="default"/>
          <w:color w:val="000000" w:themeColor="text1"/>
          <w14:textFill>
            <w14:solidFill>
              <w14:schemeClr w14:val="tx1"/>
            </w14:solidFill>
          </w14:textFill>
        </w:rPr>
        <w:t>未发生过环境风险事故，未收到当地附近居民的投诉，未受到生态环境管理部门的处罚。</w:t>
      </w:r>
    </w:p>
    <w:p w14:paraId="7F556A24">
      <w:pPr>
        <w:pStyle w:val="4"/>
        <w:spacing w:before="60" w:after="60" w:line="480" w:lineRule="exact"/>
        <w:rPr>
          <w:color w:val="000000" w:themeColor="text1"/>
          <w:kern w:val="2"/>
          <w14:textFill>
            <w14:solidFill>
              <w14:schemeClr w14:val="tx1"/>
            </w14:solidFill>
          </w14:textFill>
        </w:rPr>
      </w:pPr>
      <w:bookmarkStart w:id="284" w:name="_Toc1376"/>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1.</w:t>
      </w:r>
      <w:r>
        <w:rPr>
          <w:rFonts w:hint="eastAsia"/>
          <w:color w:val="000000" w:themeColor="text1"/>
          <w:kern w:val="2"/>
          <w:lang w:val="en-US" w:eastAsia="zh-CN"/>
          <w14:textFill>
            <w14:solidFill>
              <w14:schemeClr w14:val="tx1"/>
            </w14:solidFill>
          </w14:textFill>
        </w:rPr>
        <w:t>9</w:t>
      </w:r>
      <w:r>
        <w:rPr>
          <w:rFonts w:hint="eastAsia"/>
          <w:color w:val="000000" w:themeColor="text1"/>
          <w:kern w:val="2"/>
          <w14:textFill>
            <w14:solidFill>
              <w14:schemeClr w14:val="tx1"/>
            </w14:solidFill>
          </w14:textFill>
        </w:rPr>
        <w:t>现有工程环境影响回顾性调查与评价</w:t>
      </w:r>
      <w:bookmarkEnd w:id="284"/>
    </w:p>
    <w:p w14:paraId="254CB9B9">
      <w:pPr>
        <w:pStyle w:val="18"/>
        <w:spacing w:line="480" w:lineRule="exact"/>
        <w:ind w:firstLine="480"/>
        <w:rPr>
          <w:rFonts w:hint="eastAsia"/>
          <w:color w:val="000000" w:themeColor="text1"/>
          <w:sz w:val="24"/>
          <w:szCs w:val="28"/>
          <w14:textFill>
            <w14:solidFill>
              <w14:schemeClr w14:val="tx1"/>
            </w14:solidFill>
          </w14:textFill>
        </w:rPr>
      </w:pPr>
      <w:r>
        <w:rPr>
          <w:color w:val="000000" w:themeColor="text1"/>
          <w:sz w:val="24"/>
          <w:szCs w:val="24"/>
          <w14:textFill>
            <w14:solidFill>
              <w14:schemeClr w14:val="tx1"/>
            </w14:solidFill>
          </w14:textFill>
        </w:rPr>
        <w:t>2015</w:t>
      </w:r>
      <w:r>
        <w:rPr>
          <w:rFonts w:hint="eastAsia"/>
          <w:color w:val="000000" w:themeColor="text1"/>
          <w:sz w:val="24"/>
          <w:szCs w:val="24"/>
          <w14:textFill>
            <w14:solidFill>
              <w14:schemeClr w14:val="tx1"/>
            </w14:solidFill>
          </w14:textFill>
        </w:rPr>
        <w:t>年至今，</w:t>
      </w:r>
      <w:r>
        <w:rPr>
          <w:rFonts w:hint="eastAsia"/>
          <w:color w:val="000000" w:themeColor="text1"/>
          <w:sz w:val="24"/>
          <w:szCs w:val="28"/>
          <w14:textFill>
            <w14:solidFill>
              <w14:schemeClr w14:val="tx1"/>
            </w14:solidFill>
          </w14:textFill>
        </w:rPr>
        <w:t>哈密市西成矿业有限责任公司M1033铁矿</w:t>
      </w:r>
      <w:r>
        <w:rPr>
          <w:rFonts w:hint="eastAsia"/>
          <w:color w:val="000000" w:themeColor="text1"/>
          <w:sz w:val="24"/>
          <w:szCs w:val="24"/>
          <w14:textFill>
            <w14:solidFill>
              <w14:schemeClr w14:val="tx1"/>
            </w14:solidFill>
          </w14:textFill>
        </w:rPr>
        <w:t>处于停产状态</w:t>
      </w:r>
      <w:r>
        <w:rPr>
          <w:rFonts w:hint="eastAsia"/>
          <w:color w:val="000000" w:themeColor="text1"/>
          <w:sz w:val="24"/>
          <w:szCs w:val="24"/>
          <w:lang w:eastAsia="zh-CN"/>
          <w14:textFill>
            <w14:solidFill>
              <w14:schemeClr w14:val="tx1"/>
            </w14:solidFill>
          </w14:textFill>
        </w:rPr>
        <w:t>，现有工程未进行竣工环境保护验收。</w:t>
      </w:r>
      <w:r>
        <w:rPr>
          <w:rFonts w:hint="eastAsia"/>
          <w:color w:val="000000" w:themeColor="text1"/>
          <w:sz w:val="24"/>
          <w14:textFill>
            <w14:solidFill>
              <w14:schemeClr w14:val="tx1"/>
            </w14:solidFill>
          </w14:textFill>
        </w:rPr>
        <w:t>矿山完成了部分地面设施及地下巷道等设施的建设工程，完成了1187m、1144m、1080m、1030m中段水平的开拓工程，累计动用矿石量约245.07万t。</w:t>
      </w:r>
      <w:r>
        <w:rPr>
          <w:rFonts w:hint="eastAsia"/>
          <w:color w:val="000000" w:themeColor="text1"/>
          <w:sz w:val="24"/>
          <w:szCs w:val="28"/>
          <w14:textFill>
            <w14:solidFill>
              <w14:schemeClr w14:val="tx1"/>
            </w14:solidFill>
          </w14:textFill>
        </w:rPr>
        <w:t>本次评价</w:t>
      </w:r>
      <w:r>
        <w:rPr>
          <w:rFonts w:hint="eastAsia"/>
          <w:color w:val="000000" w:themeColor="text1"/>
          <w:sz w:val="24"/>
          <w:szCs w:val="28"/>
          <w:lang w:val="en-US" w:eastAsia="zh-CN"/>
          <w14:textFill>
            <w14:solidFill>
              <w14:schemeClr w14:val="tx1"/>
            </w14:solidFill>
          </w14:textFill>
        </w:rPr>
        <w:t>以原项目环评报告、环评批复、现场踏勘情况为依据，对现有采矿工程</w:t>
      </w:r>
      <w:r>
        <w:rPr>
          <w:rFonts w:hint="eastAsia"/>
          <w:color w:val="000000" w:themeColor="text1"/>
          <w:sz w:val="24"/>
          <w:szCs w:val="28"/>
          <w14:textFill>
            <w14:solidFill>
              <w14:schemeClr w14:val="tx1"/>
            </w14:solidFill>
          </w14:textFill>
        </w:rPr>
        <w:t>已产生的环境影响及遗留环境问题进行回顾性评价。</w:t>
      </w:r>
    </w:p>
    <w:p w14:paraId="7A9C67D1">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w:t>
      </w:r>
      <w:r>
        <w:rPr>
          <w:rFonts w:hint="eastAsia" w:ascii="Times New Roman" w:hAnsi="Times New Roman"/>
          <w:bCs w:val="0"/>
          <w:color w:val="000000" w:themeColor="text1"/>
          <w:kern w:val="2"/>
          <w:szCs w:val="24"/>
          <w:lang w:val="en-US" w:eastAsia="zh-CN"/>
          <w14:textFill>
            <w14:solidFill>
              <w14:schemeClr w14:val="tx1"/>
            </w14:solidFill>
          </w14:textFill>
        </w:rPr>
        <w:t>9</w:t>
      </w:r>
      <w:r>
        <w:rPr>
          <w:rFonts w:ascii="Times New Roman" w:hAnsi="Times New Roman"/>
          <w:bCs w:val="0"/>
          <w:color w:val="000000" w:themeColor="text1"/>
          <w:kern w:val="2"/>
          <w:szCs w:val="24"/>
          <w14:textFill>
            <w14:solidFill>
              <w14:schemeClr w14:val="tx1"/>
            </w14:solidFill>
          </w14:textFill>
        </w:rPr>
        <w:t>.1</w:t>
      </w:r>
      <w:r>
        <w:rPr>
          <w:rFonts w:hint="eastAsia" w:ascii="Times New Roman" w:hAnsi="Times New Roman"/>
          <w:bCs w:val="0"/>
          <w:color w:val="000000" w:themeColor="text1"/>
          <w:kern w:val="2"/>
          <w:szCs w:val="24"/>
          <w14:textFill>
            <w14:solidFill>
              <w14:schemeClr w14:val="tx1"/>
            </w14:solidFill>
          </w14:textFill>
        </w:rPr>
        <w:t>主要产排污情况及环境影响评价</w:t>
      </w:r>
    </w:p>
    <w:p w14:paraId="7380CD53">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（1）废气</w:t>
      </w:r>
    </w:p>
    <w:p w14:paraId="620D0FCD">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根据现场</w:t>
      </w:r>
      <w:r>
        <w:rPr>
          <w:rFonts w:hint="eastAsia"/>
          <w:color w:val="000000" w:themeColor="text1"/>
          <w:sz w:val="24"/>
          <w:szCs w:val="28"/>
          <w:lang w:val="en-US" w:eastAsia="zh-CN"/>
          <w14:textFill>
            <w14:solidFill>
              <w14:schemeClr w14:val="tx1"/>
            </w14:solidFill>
          </w14:textFill>
        </w:rPr>
        <w:t>踏勘</w:t>
      </w:r>
      <w:r>
        <w:rPr>
          <w:rFonts w:hint="eastAsia"/>
          <w:color w:val="000000" w:themeColor="text1"/>
          <w:sz w:val="24"/>
          <w:szCs w:val="28"/>
          <w14:textFill>
            <w14:solidFill>
              <w14:schemeClr w14:val="tx1"/>
            </w14:solidFill>
          </w14:textFill>
        </w:rPr>
        <w:t>，现有工程存在两处废石堆场及两处矿石堆场。废石堆场分别位于主竖井、副竖井工业广场南侧，总占地面积1.19hm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，总堆放量约3.83万m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；矿石堆场位于主竖井工业广场南侧，矿石堆1占地面积0.92hm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，堆高约4m；现状矿石堆2占地面积1.03hm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，堆高约4m。废石堆场、矿石堆场均未采取抑尘措施，存在</w:t>
      </w:r>
      <w:r>
        <w:rPr>
          <w:color w:val="000000" w:themeColor="text1"/>
          <w:sz w:val="24"/>
          <w:szCs w:val="28"/>
          <w14:textFill>
            <w14:solidFill>
              <w14:schemeClr w14:val="tx1"/>
            </w14:solidFill>
          </w14:textFill>
        </w:rPr>
        <w:t>风蚀扬尘</w:t>
      </w:r>
      <w:r>
        <w:rPr>
          <w:rFonts w:hint="eastAsia"/>
          <w:color w:val="000000" w:themeColor="text1"/>
          <w:sz w:val="24"/>
          <w:szCs w:val="28"/>
          <w14:textFill>
            <w14:solidFill>
              <w14:schemeClr w14:val="tx1"/>
            </w14:solidFill>
          </w14:textFill>
        </w:rPr>
        <w:t>污染问题。此外，矿区道路未全部硬化，存在道路扬尘。道路扬尘、废石及矿石堆场扬尘对评价区域大气环境均产生一定影响。</w:t>
      </w:r>
    </w:p>
    <w:p w14:paraId="21033F9D">
      <w:pPr>
        <w:pStyle w:val="18"/>
        <w:spacing w:line="480" w:lineRule="exact"/>
        <w:ind w:firstLine="48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（2）废水</w:t>
      </w:r>
    </w:p>
    <w:p w14:paraId="2DA164D0">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根据西成矿业3</w:t>
      </w:r>
      <w:r>
        <w:rPr>
          <w:color w:val="000000" w:themeColor="text1"/>
          <w:sz w:val="24"/>
          <w:szCs w:val="28"/>
          <w14:textFill>
            <w14:solidFill>
              <w14:schemeClr w14:val="tx1"/>
            </w14:solidFill>
          </w14:textFill>
        </w:rPr>
        <w:t>0</w:t>
      </w:r>
      <w:r>
        <w:rPr>
          <w:rFonts w:hint="eastAsia"/>
          <w:color w:val="000000" w:themeColor="text1"/>
          <w:sz w:val="24"/>
          <w:szCs w:val="28"/>
          <w14:textFill>
            <w14:solidFill>
              <w14:schemeClr w14:val="tx1"/>
            </w14:solidFill>
          </w14:textFill>
        </w:rPr>
        <w:t>万吨铁精粉报告表，评价区域地下水水质铜、砷、汞、铅、氰化物、六价铬、锰、亚硝酸盐氮、挥发酚、COD含量不超标，其他监测因子单项污染指数均＞1，其中总硬度、矿化度、氯化物等严重超标，不符合《地下水环境质量标准》Ⅲ类标准，说明评价区地下水环境本底质量较差。结合本次环境现状调查及地下水环境质量监测，评价区域地下水总硬度、矿化度、氯化物等仍存在严重超标，地下水环境质量较差。</w:t>
      </w:r>
    </w:p>
    <w:p w14:paraId="1CEE813B">
      <w:pPr>
        <w:pStyle w:val="18"/>
        <w:spacing w:line="480" w:lineRule="exact"/>
        <w:ind w:firstLine="48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现有工程长期停产，</w:t>
      </w:r>
      <w:r>
        <w:rPr>
          <w:rFonts w:hint="eastAsia"/>
          <w:color w:val="000000" w:themeColor="text1"/>
          <w:sz w:val="24"/>
          <w:szCs w:val="28"/>
          <w:highlight w:val="none"/>
          <w:lang w:val="en-US" w:eastAsia="zh-CN"/>
          <w14:textFill>
            <w14:solidFill>
              <w14:schemeClr w14:val="tx1"/>
            </w14:solidFill>
          </w14:textFill>
        </w:rPr>
        <w:t>根据本项目开发利用方案，</w:t>
      </w:r>
      <w:r>
        <w:rPr>
          <w:rFonts w:hint="eastAsia"/>
          <w:color w:val="000000" w:themeColor="text1"/>
          <w:sz w:val="24"/>
          <w:szCs w:val="28"/>
          <w:highlight w:val="none"/>
          <w14:textFill>
            <w14:solidFill>
              <w14:schemeClr w14:val="tx1"/>
            </w14:solidFill>
          </w14:textFill>
        </w:rPr>
        <w:t>目前</w:t>
      </w:r>
      <w:r>
        <w:rPr>
          <w:rFonts w:hint="eastAsia"/>
          <w:color w:val="000000" w:themeColor="text1"/>
          <w:sz w:val="24"/>
          <w:szCs w:val="28"/>
          <w:highlight w:val="none"/>
          <w:lang w:val="en-US" w:eastAsia="zh-CN"/>
          <w14:textFill>
            <w14:solidFill>
              <w14:schemeClr w14:val="tx1"/>
            </w14:solidFill>
          </w14:textFill>
        </w:rPr>
        <w:t>矿井涌水实际产生量较稳定，涌水量约582m</w:t>
      </w:r>
      <w:r>
        <w:rPr>
          <w:rFonts w:hint="eastAsia"/>
          <w:color w:val="000000" w:themeColor="text1"/>
          <w:sz w:val="24"/>
          <w:szCs w:val="28"/>
          <w:highlight w:val="none"/>
          <w:vertAlign w:val="superscript"/>
          <w:lang w:val="en-US" w:eastAsia="zh-CN"/>
          <w14:textFill>
            <w14:solidFill>
              <w14:schemeClr w14:val="tx1"/>
            </w14:solidFill>
          </w14:textFill>
        </w:rPr>
        <w:t>3</w:t>
      </w:r>
      <w:r>
        <w:rPr>
          <w:rFonts w:hint="eastAsia"/>
          <w:color w:val="000000" w:themeColor="text1"/>
          <w:sz w:val="24"/>
          <w:szCs w:val="28"/>
          <w:highlight w:val="none"/>
          <w:lang w:val="en-US" w:eastAsia="zh-CN"/>
          <w14:textFill>
            <w14:solidFill>
              <w14:schemeClr w14:val="tx1"/>
            </w14:solidFill>
          </w14:textFill>
        </w:rPr>
        <w:t>/d（2021年8月实测）。此外，</w:t>
      </w:r>
      <w:r>
        <w:rPr>
          <w:rFonts w:hint="eastAsia"/>
          <w:color w:val="000000" w:themeColor="text1"/>
          <w:sz w:val="24"/>
          <w:szCs w:val="28"/>
          <w:highlight w:val="none"/>
          <w14:textFill>
            <w14:solidFill>
              <w14:schemeClr w14:val="tx1"/>
            </w14:solidFill>
          </w14:textFill>
        </w:rPr>
        <w:t>生活区值守员工产生少量生活污水，生活污水由办公生活区配套污水处理站处理，生活污水经处理满足《农村生活污水处理排放标准》（DB65 4275-2019）中A级标准，灌溉期</w:t>
      </w:r>
      <w:r>
        <w:rPr>
          <w:rFonts w:hint="eastAsia"/>
          <w:color w:val="000000" w:themeColor="text1"/>
          <w:sz w:val="24"/>
          <w:szCs w:val="24"/>
          <w:highlight w:val="none"/>
          <w14:textFill>
            <w14:solidFill>
              <w14:schemeClr w14:val="tx1"/>
            </w14:solidFill>
          </w14:textFill>
        </w:rPr>
        <w:t>全部用于矿区绿化，非灌溉期输送至选厂生产使用，不外排</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8"/>
          <w:highlight w:val="none"/>
          <w14:textFill>
            <w14:solidFill>
              <w14:schemeClr w14:val="tx1"/>
            </w14:solidFill>
          </w14:textFill>
        </w:rPr>
        <w:t>对地下水环境基本无影响。</w:t>
      </w:r>
    </w:p>
    <w:p w14:paraId="1B2FED6D">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（3）噪声</w:t>
      </w:r>
    </w:p>
    <w:p w14:paraId="3ACC7E74">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目前，因矿山停产，</w:t>
      </w:r>
      <w:r>
        <w:rPr>
          <w:rFonts w:hint="eastAsia"/>
          <w:color w:val="000000" w:themeColor="text1"/>
          <w:sz w:val="24"/>
          <w:szCs w:val="28"/>
          <w:lang w:val="en-US" w:eastAsia="zh-CN"/>
          <w14:textFill>
            <w14:solidFill>
              <w14:schemeClr w14:val="tx1"/>
            </w14:solidFill>
          </w14:textFill>
        </w:rPr>
        <w:t>无生产设备运行，</w:t>
      </w:r>
      <w:r>
        <w:rPr>
          <w:rFonts w:hint="eastAsia"/>
          <w:color w:val="000000" w:themeColor="text1"/>
          <w:sz w:val="24"/>
          <w:szCs w:val="28"/>
          <w14:textFill>
            <w14:solidFill>
              <w14:schemeClr w14:val="tx1"/>
            </w14:solidFill>
          </w14:textFill>
        </w:rPr>
        <w:t>矿山声环境质量较好，</w:t>
      </w:r>
      <w:r>
        <w:rPr>
          <w:color w:val="000000" w:themeColor="text1"/>
          <w:sz w:val="24"/>
          <w14:textFill>
            <w14:solidFill>
              <w14:schemeClr w14:val="tx1"/>
            </w14:solidFill>
          </w14:textFill>
        </w:rPr>
        <w:t>对周围环境影响不显著</w:t>
      </w:r>
      <w:r>
        <w:rPr>
          <w:rFonts w:hint="eastAsia"/>
          <w:color w:val="000000" w:themeColor="text1"/>
          <w:sz w:val="24"/>
          <w:szCs w:val="28"/>
          <w14:textFill>
            <w14:solidFill>
              <w14:schemeClr w14:val="tx1"/>
            </w14:solidFill>
          </w14:textFill>
        </w:rPr>
        <w:t>。</w:t>
      </w:r>
    </w:p>
    <w:p w14:paraId="62A91A54">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（4）固体废物</w:t>
      </w:r>
    </w:p>
    <w:p w14:paraId="070CF5E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现有工程掘进废石堆存于现有废石堆场排弃；建构筑物建设过程产生的建筑垃圾部分回收利用，其余已运至当地</w:t>
      </w:r>
      <w:r>
        <w:rPr>
          <w:rFonts w:hint="eastAsia"/>
          <w:color w:val="000000" w:themeColor="text1"/>
          <w:sz w:val="24"/>
          <w:szCs w:val="28"/>
          <w:lang w:val="en-US" w:eastAsia="zh-CN"/>
          <w14:textFill>
            <w14:solidFill>
              <w14:schemeClr w14:val="tx1"/>
            </w14:solidFill>
          </w14:textFill>
        </w:rPr>
        <w:t>环卫部门</w:t>
      </w:r>
      <w:r>
        <w:rPr>
          <w:rFonts w:hint="eastAsia"/>
          <w:color w:val="000000" w:themeColor="text1"/>
          <w:sz w:val="24"/>
          <w:szCs w:val="28"/>
          <w14:textFill>
            <w14:solidFill>
              <w14:schemeClr w14:val="tx1"/>
            </w14:solidFill>
          </w14:textFill>
        </w:rPr>
        <w:t>指定场所处置。目前，因矿山停产，仅生活区值守员工产生少量生活垃圾，无其他固体废物产生。</w:t>
      </w:r>
    </w:p>
    <w:p w14:paraId="429FBBCD">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（5）生态环境</w:t>
      </w:r>
    </w:p>
    <w:p w14:paraId="3B972FDD">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现有工程产生的生态环境影响主要包括矿山的开挖及压占土地，辅助工程的建设开挖与占地，改变地表形态和生态景观，破坏地表植被，引发水土流失，同时还改变土地利用类型，造成土地利用结构和功能的变化。</w:t>
      </w:r>
    </w:p>
    <w:p w14:paraId="7345159E">
      <w:pPr>
        <w:pStyle w:val="18"/>
        <w:spacing w:line="480" w:lineRule="exact"/>
        <w:ind w:firstLine="480"/>
        <w:rPr>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①</w:t>
      </w:r>
      <w:r>
        <w:rPr>
          <w:color w:val="000000" w:themeColor="text1"/>
          <w:sz w:val="24"/>
          <w:szCs w:val="28"/>
          <w14:textFill>
            <w14:solidFill>
              <w14:schemeClr w14:val="tx1"/>
            </w14:solidFill>
          </w14:textFill>
        </w:rPr>
        <w:t>表土剥离导致一定面积的植被完全破坏，野生植物丧失，剥离物占用土地，从而导致土壤侵蚀和景观格局的改变</w:t>
      </w:r>
      <w:r>
        <w:rPr>
          <w:rFonts w:hint="eastAsia"/>
          <w:color w:val="000000" w:themeColor="text1"/>
          <w:sz w:val="24"/>
          <w:szCs w:val="28"/>
          <w14:textFill>
            <w14:solidFill>
              <w14:schemeClr w14:val="tx1"/>
            </w14:solidFill>
          </w14:textFill>
        </w:rPr>
        <w:t>。</w:t>
      </w:r>
    </w:p>
    <w:p w14:paraId="23790293">
      <w:pPr>
        <w:pStyle w:val="18"/>
        <w:spacing w:line="480" w:lineRule="exact"/>
        <w:ind w:firstLine="480"/>
        <w:rPr>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②</w:t>
      </w:r>
      <w:r>
        <w:rPr>
          <w:color w:val="000000" w:themeColor="text1"/>
          <w:sz w:val="24"/>
          <w:szCs w:val="28"/>
          <w14:textFill>
            <w14:solidFill>
              <w14:schemeClr w14:val="tx1"/>
            </w14:solidFill>
          </w14:textFill>
        </w:rPr>
        <w:t>地表剥离及剥离物的运输、排弃，形成水土流失。废石堆场排弃的剥离物在原始地形上形成松散的土岩堆体，废石堆场表层的松散土粒易被大风吹走，造成水土流失</w:t>
      </w:r>
      <w:r>
        <w:rPr>
          <w:rFonts w:hint="eastAsia"/>
          <w:color w:val="000000" w:themeColor="text1"/>
          <w:sz w:val="24"/>
          <w:szCs w:val="28"/>
          <w14:textFill>
            <w14:solidFill>
              <w14:schemeClr w14:val="tx1"/>
            </w14:solidFill>
          </w14:textFill>
        </w:rPr>
        <w:t>。</w:t>
      </w:r>
    </w:p>
    <w:p w14:paraId="703ED859">
      <w:pPr>
        <w:pStyle w:val="18"/>
        <w:spacing w:line="480" w:lineRule="exact"/>
        <w:ind w:firstLine="480"/>
        <w:rPr>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③</w:t>
      </w:r>
      <w:r>
        <w:rPr>
          <w:color w:val="000000" w:themeColor="text1"/>
          <w:sz w:val="24"/>
          <w:szCs w:val="28"/>
          <w14:textFill>
            <w14:solidFill>
              <w14:schemeClr w14:val="tx1"/>
            </w14:solidFill>
          </w14:textFill>
        </w:rPr>
        <w:t>工业场地、破碎场、废石堆场及道路改造建设</w:t>
      </w:r>
      <w:r>
        <w:rPr>
          <w:rFonts w:hint="eastAsia"/>
          <w:color w:val="000000" w:themeColor="text1"/>
          <w:sz w:val="24"/>
          <w:szCs w:val="28"/>
          <w:lang w:val="en-US" w:eastAsia="zh-CN"/>
          <w14:textFill>
            <w14:solidFill>
              <w14:schemeClr w14:val="tx1"/>
            </w14:solidFill>
          </w14:textFill>
        </w:rPr>
        <w:t>均</w:t>
      </w:r>
      <w:r>
        <w:rPr>
          <w:color w:val="000000" w:themeColor="text1"/>
          <w:sz w:val="24"/>
          <w:szCs w:val="28"/>
          <w14:textFill>
            <w14:solidFill>
              <w14:schemeClr w14:val="tx1"/>
            </w14:solidFill>
          </w14:textFill>
        </w:rPr>
        <w:t>压占土地，破坏原有地表植被。</w:t>
      </w:r>
    </w:p>
    <w:p w14:paraId="7A8248C6">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土地利用类型为戈壁及裸岩石砾地，矿山周边植被覆盖度低。结合现场调查，施工期临时占地已完成生态恢复，恢复为戈壁及裸岩石砾地。废石堆场沿原始地形堆放，未进行土地复垦及生态恢复。因矿山停产，除永久占地外，现有生态环境影响已逐步消失，</w:t>
      </w:r>
      <w:r>
        <w:rPr>
          <w:rFonts w:hint="eastAsia"/>
          <w:color w:val="000000" w:themeColor="text1"/>
          <w:sz w:val="24"/>
          <w:szCs w:val="28"/>
          <w:lang w:val="en-US" w:eastAsia="zh-CN"/>
          <w14:textFill>
            <w14:solidFill>
              <w14:schemeClr w14:val="tx1"/>
            </w14:solidFill>
          </w14:textFill>
        </w:rPr>
        <w:t>现有工程</w:t>
      </w:r>
      <w:r>
        <w:rPr>
          <w:rFonts w:hint="eastAsia"/>
          <w:color w:val="000000" w:themeColor="text1"/>
          <w:sz w:val="24"/>
          <w:szCs w:val="28"/>
          <w14:textFill>
            <w14:solidFill>
              <w14:schemeClr w14:val="tx1"/>
            </w14:solidFill>
          </w14:textFill>
        </w:rPr>
        <w:t>未引发地表移动变形。</w:t>
      </w:r>
    </w:p>
    <w:p w14:paraId="61BA33C6">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矿山及周边野生动物较少，</w:t>
      </w:r>
      <w:r>
        <w:rPr>
          <w:color w:val="000000" w:themeColor="text1"/>
          <w:sz w:val="24"/>
          <w14:textFill>
            <w14:solidFill>
              <w14:schemeClr w14:val="tx1"/>
            </w14:solidFill>
          </w14:textFill>
        </w:rPr>
        <w:t>仅有少量小型爬行类动物出没</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由于该区域野生动物密度较低，</w:t>
      </w:r>
      <w:r>
        <w:rPr>
          <w:rFonts w:hint="eastAsia"/>
          <w:color w:val="000000" w:themeColor="text1"/>
          <w:sz w:val="24"/>
          <w14:textFill>
            <w14:solidFill>
              <w14:schemeClr w14:val="tx1"/>
            </w14:solidFill>
          </w14:textFill>
        </w:rPr>
        <w:t>且</w:t>
      </w:r>
      <w:r>
        <w:rPr>
          <w:rFonts w:hint="eastAsia"/>
          <w:color w:val="000000" w:themeColor="text1"/>
          <w:sz w:val="24"/>
          <w:szCs w:val="28"/>
          <w14:textFill>
            <w14:solidFill>
              <w14:schemeClr w14:val="tx1"/>
            </w14:solidFill>
          </w14:textFill>
        </w:rPr>
        <w:t>野生动物适应力强，现有工程对区域野生动物的</w:t>
      </w:r>
      <w:r>
        <w:rPr>
          <w:color w:val="000000" w:themeColor="text1"/>
          <w:sz w:val="24"/>
          <w:szCs w:val="28"/>
          <w14:textFill>
            <w14:solidFill>
              <w14:schemeClr w14:val="tx1"/>
            </w14:solidFill>
          </w14:textFill>
        </w:rPr>
        <w:t>栖息、觅食及繁殖</w:t>
      </w:r>
      <w:r>
        <w:rPr>
          <w:rFonts w:hint="eastAsia"/>
          <w:color w:val="000000" w:themeColor="text1"/>
          <w:sz w:val="24"/>
          <w:szCs w:val="28"/>
          <w14:textFill>
            <w14:solidFill>
              <w14:schemeClr w14:val="tx1"/>
            </w14:solidFill>
          </w14:textFill>
        </w:rPr>
        <w:t>等已基本无影响。</w:t>
      </w:r>
    </w:p>
    <w:p w14:paraId="753613E0">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（6）环境风险</w:t>
      </w:r>
    </w:p>
    <w:p w14:paraId="4050CE81">
      <w:pPr>
        <w:pStyle w:val="18"/>
        <w:spacing w:line="480" w:lineRule="exact"/>
        <w:ind w:firstLine="480"/>
        <w:rPr>
          <w:rFonts w:hint="eastAsia" w:eastAsia="宋体"/>
          <w:color w:val="000000" w:themeColor="text1"/>
          <w:sz w:val="24"/>
          <w:szCs w:val="28"/>
          <w:lang w:eastAsia="zh-CN"/>
          <w14:textFill>
            <w14:solidFill>
              <w14:schemeClr w14:val="tx1"/>
            </w14:solidFill>
          </w14:textFill>
        </w:rPr>
      </w:pPr>
      <w:r>
        <w:rPr>
          <w:rFonts w:hint="eastAsia"/>
          <w:color w:val="000000" w:themeColor="text1"/>
          <w:sz w:val="24"/>
          <w:szCs w:val="28"/>
          <w14:textFill>
            <w14:solidFill>
              <w14:schemeClr w14:val="tx1"/>
            </w14:solidFill>
          </w14:textFill>
        </w:rPr>
        <w:t>因矿山停产，</w:t>
      </w:r>
      <w:r>
        <w:rPr>
          <w:rFonts w:hint="eastAsia"/>
          <w:color w:val="000000" w:themeColor="text1"/>
          <w:sz w:val="24"/>
          <w14:textFill>
            <w14:solidFill>
              <w14:schemeClr w14:val="tx1"/>
            </w14:solidFill>
          </w14:textFill>
        </w:rPr>
        <w:t>爆破器材库目前无炸药、雷管存放，</w:t>
      </w:r>
      <w:r>
        <w:rPr>
          <w:rFonts w:hint="eastAsia"/>
          <w:color w:val="000000" w:themeColor="text1"/>
          <w:sz w:val="24"/>
          <w:szCs w:val="28"/>
          <w14:textFill>
            <w14:solidFill>
              <w14:schemeClr w14:val="tx1"/>
            </w14:solidFill>
          </w14:textFill>
        </w:rPr>
        <w:t>现有工程风险源主要为</w:t>
      </w:r>
      <w:r>
        <w:rPr>
          <w:rFonts w:hint="eastAsia"/>
          <w:color w:val="000000" w:themeColor="text1"/>
          <w:sz w:val="24"/>
          <w14:textFill>
            <w14:solidFill>
              <w14:schemeClr w14:val="tx1"/>
            </w14:solidFill>
          </w14:textFill>
        </w:rPr>
        <w:t>废石堆场。现状下废石主要堆放在</w:t>
      </w:r>
      <w:r>
        <w:rPr>
          <w:rFonts w:hint="eastAsia"/>
          <w:color w:val="000000" w:themeColor="text1"/>
          <w:sz w:val="24"/>
          <w:szCs w:val="28"/>
          <w14:textFill>
            <w14:solidFill>
              <w14:schemeClr w14:val="tx1"/>
            </w14:solidFill>
          </w14:textFill>
        </w:rPr>
        <w:t>主竖井、副竖井工业广场南侧的废石堆场，堆高约4m，边坡角约30°。</w:t>
      </w:r>
      <w:r>
        <w:rPr>
          <w:rFonts w:hint="eastAsia"/>
          <w:color w:val="000000" w:themeColor="text1"/>
          <w:sz w:val="24"/>
          <w:szCs w:val="28"/>
          <w:lang w:eastAsia="zh-CN"/>
          <w14:textFill>
            <w14:solidFill>
              <w14:schemeClr w14:val="tx1"/>
            </w14:solidFill>
          </w14:textFill>
        </w:rPr>
        <w:t>因考虑到现状</w:t>
      </w:r>
      <w:r>
        <w:rPr>
          <w:rFonts w:hint="eastAsia"/>
          <w:color w:val="000000" w:themeColor="text1"/>
          <w:sz w:val="24"/>
          <w:szCs w:val="28"/>
          <w14:textFill>
            <w14:solidFill>
              <w14:schemeClr w14:val="tx1"/>
            </w14:solidFill>
          </w14:textFill>
        </w:rPr>
        <w:t>废石堆位于预测地面塌陷区，今后不再继续使用</w:t>
      </w:r>
      <w:r>
        <w:rPr>
          <w:rFonts w:hint="eastAsia"/>
          <w:color w:val="000000" w:themeColor="text1"/>
          <w:sz w:val="24"/>
          <w:szCs w:val="28"/>
          <w:lang w:eastAsia="zh-CN"/>
          <w14:textFill>
            <w14:solidFill>
              <w14:schemeClr w14:val="tx1"/>
            </w14:solidFill>
          </w14:textFill>
        </w:rPr>
        <w:t>，重新选址建设废石堆场。</w:t>
      </w:r>
    </w:p>
    <w:p w14:paraId="091360D1">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lang w:eastAsia="zh-CN"/>
          <w14:textFill>
            <w14:solidFill>
              <w14:schemeClr w14:val="tx1"/>
            </w14:solidFill>
          </w14:textFill>
        </w:rPr>
        <w:t>废石堆场存在</w:t>
      </w:r>
      <w:r>
        <w:rPr>
          <w:rFonts w:hint="eastAsia"/>
          <w:color w:val="000000" w:themeColor="text1"/>
          <w:sz w:val="24"/>
          <w14:textFill>
            <w14:solidFill>
              <w14:schemeClr w14:val="tx1"/>
            </w14:solidFill>
          </w14:textFill>
        </w:rPr>
        <w:t>强暴雨冲刷，破坏了边坡的坚固性和稳定性，造成废石堆场边坡滑坡、坍塌</w:t>
      </w:r>
      <w:r>
        <w:rPr>
          <w:rFonts w:hint="eastAsia"/>
          <w:color w:val="000000" w:themeColor="text1"/>
          <w:sz w:val="24"/>
          <w:lang w:eastAsia="zh-CN"/>
          <w14:textFill>
            <w14:solidFill>
              <w14:schemeClr w14:val="tx1"/>
            </w14:solidFill>
          </w14:textFill>
        </w:rPr>
        <w:t>等危险</w:t>
      </w:r>
      <w:r>
        <w:rPr>
          <w:rFonts w:hint="eastAsia"/>
          <w:color w:val="000000" w:themeColor="text1"/>
          <w:sz w:val="24"/>
          <w14:textFill>
            <w14:solidFill>
              <w14:schemeClr w14:val="tx1"/>
            </w14:solidFill>
          </w14:textFill>
        </w:rPr>
        <w:t>，因</w:t>
      </w:r>
      <w:r>
        <w:rPr>
          <w:rFonts w:hint="eastAsia"/>
          <w:color w:val="000000" w:themeColor="text1"/>
          <w:sz w:val="24"/>
          <w:szCs w:val="28"/>
          <w14:textFill>
            <w14:solidFill>
              <w14:schemeClr w14:val="tx1"/>
            </w14:solidFill>
          </w14:textFill>
        </w:rPr>
        <w:t>当地降雨量少，</w:t>
      </w:r>
      <w:r>
        <w:rPr>
          <w:rFonts w:hint="eastAsia"/>
          <w:color w:val="000000" w:themeColor="text1"/>
          <w:sz w:val="24"/>
          <w14:textFill>
            <w14:solidFill>
              <w14:schemeClr w14:val="tx1"/>
            </w14:solidFill>
          </w14:textFill>
        </w:rPr>
        <w:t>废石堆场边坡滑坡、坍塌风险小。</w:t>
      </w:r>
      <w:r>
        <w:rPr>
          <w:rFonts w:hint="eastAsia"/>
          <w:color w:val="000000" w:themeColor="text1"/>
          <w:sz w:val="24"/>
          <w:szCs w:val="28"/>
          <w14:textFill>
            <w14:solidFill>
              <w14:schemeClr w14:val="tx1"/>
            </w14:solidFill>
          </w14:textFill>
        </w:rPr>
        <w:t>废石堆场未进行加固封场处置，未</w:t>
      </w:r>
      <w:r>
        <w:rPr>
          <w:rFonts w:hint="eastAsia"/>
          <w:color w:val="000000" w:themeColor="text1"/>
          <w:sz w:val="24"/>
          <w:szCs w:val="28"/>
          <w:lang w:eastAsia="zh-CN"/>
          <w14:textFill>
            <w14:solidFill>
              <w14:schemeClr w14:val="tx1"/>
            </w14:solidFill>
          </w14:textFill>
        </w:rPr>
        <w:t>采取</w:t>
      </w:r>
      <w:r>
        <w:rPr>
          <w:rFonts w:hint="eastAsia"/>
          <w:color w:val="000000" w:themeColor="text1"/>
          <w:sz w:val="24"/>
          <w:szCs w:val="28"/>
          <w14:textFill>
            <w14:solidFill>
              <w14:schemeClr w14:val="tx1"/>
            </w14:solidFill>
          </w14:textFill>
        </w:rPr>
        <w:t>拦挡措施。因崩塌弱发育，现状不存在滑坡体。</w:t>
      </w:r>
    </w:p>
    <w:p w14:paraId="7468FBC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废石堆场1、废石堆场2现状情况见图3</w:t>
      </w:r>
      <w:r>
        <w:rPr>
          <w:color w:val="000000" w:themeColor="text1"/>
          <w:sz w:val="24"/>
          <w:szCs w:val="28"/>
          <w14:textFill>
            <w14:solidFill>
              <w14:schemeClr w14:val="tx1"/>
            </w14:solidFill>
          </w14:textFill>
        </w:rPr>
        <w:t>.1-</w:t>
      </w:r>
      <w:r>
        <w:rPr>
          <w:rFonts w:hint="eastAsia"/>
          <w:color w:val="000000" w:themeColor="text1"/>
          <w:sz w:val="24"/>
          <w:szCs w:val="28"/>
          <w:lang w:val="en-US" w:eastAsia="zh-CN"/>
          <w14:textFill>
            <w14:solidFill>
              <w14:schemeClr w14:val="tx1"/>
            </w14:solidFill>
          </w14:textFill>
        </w:rPr>
        <w:t>4</w:t>
      </w:r>
      <w:r>
        <w:rPr>
          <w:rFonts w:hint="eastAsia"/>
          <w:color w:val="000000" w:themeColor="text1"/>
          <w:sz w:val="24"/>
          <w:szCs w:val="28"/>
          <w14:textFill>
            <w14:solidFill>
              <w14:schemeClr w14:val="tx1"/>
            </w14:solidFill>
          </w14:textFill>
        </w:rPr>
        <w:t>。</w:t>
      </w:r>
    </w:p>
    <w:p w14:paraId="01B4BE5A">
      <w:pPr>
        <w:pStyle w:val="18"/>
        <w:spacing w:line="480" w:lineRule="exact"/>
        <w:ind w:firstLine="480"/>
        <w:rPr>
          <w:rFonts w:hint="eastAsia" w:ascii="Times New Roman" w:hAnsi="Times New Roman" w:cs="Times New Roman"/>
          <w:color w:val="000000" w:themeColor="text1"/>
          <w:sz w:val="24"/>
          <w:szCs w:val="28"/>
          <w14:textFill>
            <w14:solidFill>
              <w14:schemeClr w14:val="tx1"/>
            </w14:solidFill>
          </w14:textFill>
        </w:rPr>
      </w:pPr>
    </w:p>
    <w:p w14:paraId="1F101B59">
      <w:pPr>
        <w:rPr>
          <w:rFonts w:hint="eastAsia" w:ascii="Times New Roman" w:hAnsi="Times New Roman" w:cs="Times New Roman"/>
          <w:color w:val="000000" w:themeColor="text1"/>
          <w:sz w:val="24"/>
          <w:szCs w:val="28"/>
          <w14:textFill>
            <w14:solidFill>
              <w14:schemeClr w14:val="tx1"/>
            </w14:solidFill>
          </w14:textFill>
        </w:rPr>
      </w:pPr>
    </w:p>
    <w:p w14:paraId="06B99379">
      <w:pPr>
        <w:rPr>
          <w:rFonts w:hint="eastAsia" w:ascii="Times New Roman" w:hAnsi="Times New Roman" w:cs="Times New Roman"/>
          <w:color w:val="000000" w:themeColor="text1"/>
          <w:sz w:val="24"/>
          <w:szCs w:val="28"/>
          <w14:textFill>
            <w14:solidFill>
              <w14:schemeClr w14:val="tx1"/>
            </w14:solidFill>
          </w14:textFill>
        </w:rPr>
      </w:pPr>
    </w:p>
    <w:p w14:paraId="3056404C">
      <w:pPr>
        <w:rPr>
          <w:rFonts w:hint="eastAsia" w:ascii="Times New Roman" w:hAnsi="Times New Roman" w:cs="Times New Roman"/>
          <w:color w:val="000000" w:themeColor="text1"/>
          <w:sz w:val="24"/>
          <w:szCs w:val="28"/>
          <w14:textFill>
            <w14:solidFill>
              <w14:schemeClr w14:val="tx1"/>
            </w14:solidFill>
          </w14:textFill>
        </w:rPr>
      </w:pPr>
    </w:p>
    <w:p w14:paraId="1362F347">
      <w:pPr>
        <w:rPr>
          <w:rFonts w:hint="eastAsia" w:ascii="Times New Roman" w:hAnsi="Times New Roman" w:cs="Times New Roman"/>
          <w:color w:val="000000" w:themeColor="text1"/>
          <w:sz w:val="24"/>
          <w:szCs w:val="28"/>
          <w14:textFill>
            <w14:solidFill>
              <w14:schemeClr w14:val="tx1"/>
            </w14:solidFill>
          </w14:textFill>
        </w:rPr>
      </w:pPr>
    </w:p>
    <w:p w14:paraId="5B2A0984">
      <w:pPr>
        <w:rPr>
          <w:rFonts w:hint="eastAsia" w:ascii="Times New Roman" w:hAnsi="Times New Roman" w:cs="Times New Roman"/>
          <w:color w:val="000000" w:themeColor="text1"/>
          <w:sz w:val="24"/>
          <w:szCs w:val="28"/>
          <w14:textFill>
            <w14:solidFill>
              <w14:schemeClr w14:val="tx1"/>
            </w14:solidFill>
          </w14:textFill>
        </w:rPr>
      </w:pPr>
    </w:p>
    <w:p w14:paraId="465F6A29">
      <w:pPr>
        <w:rPr>
          <w:rFonts w:hint="eastAsia" w:ascii="Times New Roman" w:hAnsi="Times New Roman" w:cs="Times New Roman"/>
          <w:color w:val="000000" w:themeColor="text1"/>
          <w:sz w:val="24"/>
          <w:szCs w:val="28"/>
          <w14:textFill>
            <w14:solidFill>
              <w14:schemeClr w14:val="tx1"/>
            </w14:solidFill>
          </w14:textFill>
        </w:rPr>
      </w:pPr>
    </w:p>
    <w:p w14:paraId="229CD2C4">
      <w:pPr>
        <w:rPr>
          <w:rFonts w:hint="eastAsia" w:ascii="Times New Roman" w:hAnsi="Times New Roman" w:cs="Times New Roman"/>
          <w:color w:val="000000" w:themeColor="text1"/>
          <w:sz w:val="24"/>
          <w:szCs w:val="28"/>
          <w14:textFill>
            <w14:solidFill>
              <w14:schemeClr w14:val="tx1"/>
            </w14:solidFill>
          </w14:textFill>
        </w:rPr>
      </w:pPr>
    </w:p>
    <w:tbl>
      <w:tblPr>
        <w:tblStyle w:val="79"/>
        <w:tblW w:w="0" w:type="auto"/>
        <w:tblInd w:w="0" w:type="dxa"/>
        <w:tblLayout w:type="autofit"/>
        <w:tblCellMar>
          <w:top w:w="0" w:type="dxa"/>
          <w:left w:w="108" w:type="dxa"/>
          <w:bottom w:w="0" w:type="dxa"/>
          <w:right w:w="108" w:type="dxa"/>
        </w:tblCellMar>
      </w:tblPr>
      <w:tblGrid>
        <w:gridCol w:w="8522"/>
      </w:tblGrid>
      <w:tr w14:paraId="58CB74C1">
        <w:tblPrEx>
          <w:tblCellMar>
            <w:top w:w="0" w:type="dxa"/>
            <w:left w:w="108" w:type="dxa"/>
            <w:bottom w:w="0" w:type="dxa"/>
            <w:right w:w="108" w:type="dxa"/>
          </w:tblCellMar>
        </w:tblPrEx>
        <w:tc>
          <w:tcPr>
            <w:tcW w:w="8522" w:type="dxa"/>
            <w:noWrap w:val="0"/>
            <w:vAlign w:val="top"/>
          </w:tcPr>
          <w:p w14:paraId="774EE8D8">
            <w:pPr>
              <w:pStyle w:val="1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p w14:paraId="29B4954F">
            <w:pPr>
              <w:pStyle w:val="1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000000" w:themeColor="text1"/>
                <w:sz w:val="24"/>
                <w:szCs w:val="28"/>
                <w14:textFill>
                  <w14:solidFill>
                    <w14:schemeClr w14:val="tx1"/>
                  </w14:solidFill>
                </w14:textFill>
              </w:rPr>
            </w:pPr>
          </w:p>
          <w:p w14:paraId="1C71C1F9">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35E41881">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3D463EA6">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2A60D3EF">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5FD179CE">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768B34FA">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tc>
      </w:tr>
      <w:tr w14:paraId="05C16F60">
        <w:tblPrEx>
          <w:tblCellMar>
            <w:top w:w="0" w:type="dxa"/>
            <w:left w:w="108" w:type="dxa"/>
            <w:bottom w:w="0" w:type="dxa"/>
            <w:right w:w="108" w:type="dxa"/>
          </w:tblCellMar>
        </w:tblPrEx>
        <w:tc>
          <w:tcPr>
            <w:tcW w:w="8522" w:type="dxa"/>
            <w:noWrap w:val="0"/>
            <w:vAlign w:val="top"/>
          </w:tcPr>
          <w:p w14:paraId="41BFDE55">
            <w:pPr>
              <w:pStyle w:val="1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废石堆场1现状</w:t>
            </w:r>
          </w:p>
        </w:tc>
      </w:tr>
      <w:tr w14:paraId="32BBEDC5">
        <w:tblPrEx>
          <w:tblCellMar>
            <w:top w:w="0" w:type="dxa"/>
            <w:left w:w="108" w:type="dxa"/>
            <w:bottom w:w="0" w:type="dxa"/>
            <w:right w:w="108" w:type="dxa"/>
          </w:tblCellMar>
        </w:tblPrEx>
        <w:tc>
          <w:tcPr>
            <w:tcW w:w="8522" w:type="dxa"/>
            <w:noWrap w:val="0"/>
            <w:vAlign w:val="top"/>
          </w:tcPr>
          <w:p w14:paraId="0DD6C5EF">
            <w:pPr>
              <w:pStyle w:val="1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000000" w:themeColor="text1"/>
                <w:sz w:val="24"/>
                <w:szCs w:val="28"/>
                <w14:textFill>
                  <w14:solidFill>
                    <w14:schemeClr w14:val="tx1"/>
                  </w14:solidFill>
                </w14:textFill>
              </w:rPr>
            </w:pPr>
          </w:p>
          <w:p w14:paraId="033D0E15">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13A765A1">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341DBDA0">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2D495790">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4BE51277">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5C7FDBBF">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0215CFEF">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28172E2F">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p w14:paraId="709D02F5">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8"/>
                <w14:textFill>
                  <w14:solidFill>
                    <w14:schemeClr w14:val="tx1"/>
                  </w14:solidFill>
                </w14:textFill>
              </w:rPr>
            </w:pPr>
          </w:p>
        </w:tc>
      </w:tr>
      <w:tr w14:paraId="47EE4155">
        <w:tblPrEx>
          <w:tblCellMar>
            <w:top w:w="0" w:type="dxa"/>
            <w:left w:w="108" w:type="dxa"/>
            <w:bottom w:w="0" w:type="dxa"/>
            <w:right w:w="108" w:type="dxa"/>
          </w:tblCellMar>
        </w:tblPrEx>
        <w:trPr>
          <w:trHeight w:val="108" w:hRule="atLeast"/>
        </w:trPr>
        <w:tc>
          <w:tcPr>
            <w:tcW w:w="8522" w:type="dxa"/>
            <w:noWrap w:val="0"/>
            <w:vAlign w:val="top"/>
          </w:tcPr>
          <w:p w14:paraId="36E4A778">
            <w:pPr>
              <w:pStyle w:val="1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废石堆场2现状</w:t>
            </w:r>
          </w:p>
        </w:tc>
      </w:tr>
    </w:tbl>
    <w:p w14:paraId="2CB73BDC">
      <w:pPr>
        <w:pStyle w:val="18"/>
        <w:spacing w:line="480" w:lineRule="exact"/>
        <w:ind w:firstLine="0" w:firstLineChars="0"/>
        <w:jc w:val="center"/>
        <w:rPr>
          <w:rFonts w:hint="eastAsia"/>
          <w:b/>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图3</w:t>
      </w:r>
      <w:r>
        <w:rPr>
          <w:b/>
          <w:color w:val="000000" w:themeColor="text1"/>
          <w:sz w:val="24"/>
          <w:szCs w:val="28"/>
          <w14:textFill>
            <w14:solidFill>
              <w14:schemeClr w14:val="tx1"/>
            </w14:solidFill>
          </w14:textFill>
        </w:rPr>
        <w:t>.1-</w:t>
      </w:r>
      <w:r>
        <w:rPr>
          <w:rFonts w:hint="eastAsia"/>
          <w:b/>
          <w:color w:val="000000" w:themeColor="text1"/>
          <w:sz w:val="24"/>
          <w:szCs w:val="28"/>
          <w:lang w:val="en-US" w:eastAsia="zh-CN"/>
          <w14:textFill>
            <w14:solidFill>
              <w14:schemeClr w14:val="tx1"/>
            </w14:solidFill>
          </w14:textFill>
        </w:rPr>
        <w:t>4</w:t>
      </w:r>
      <w:r>
        <w:rPr>
          <w:b/>
          <w:color w:val="000000" w:themeColor="text1"/>
          <w:sz w:val="24"/>
          <w:szCs w:val="28"/>
          <w14:textFill>
            <w14:solidFill>
              <w14:schemeClr w14:val="tx1"/>
            </w14:solidFill>
          </w14:textFill>
        </w:rPr>
        <w:t xml:space="preserve">    </w:t>
      </w:r>
      <w:r>
        <w:rPr>
          <w:rFonts w:hint="eastAsia"/>
          <w:b/>
          <w:color w:val="000000" w:themeColor="text1"/>
          <w:sz w:val="24"/>
          <w:szCs w:val="28"/>
          <w14:textFill>
            <w14:solidFill>
              <w14:schemeClr w14:val="tx1"/>
            </w14:solidFill>
          </w14:textFill>
        </w:rPr>
        <w:t>废石堆场1、废石堆场2现状图</w:t>
      </w:r>
    </w:p>
    <w:p w14:paraId="6FAC1AC1">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w:t>
      </w:r>
      <w:r>
        <w:rPr>
          <w:rFonts w:hint="eastAsia" w:ascii="Times New Roman" w:hAnsi="Times New Roman"/>
          <w:bCs w:val="0"/>
          <w:color w:val="000000" w:themeColor="text1"/>
          <w:kern w:val="2"/>
          <w:szCs w:val="24"/>
          <w:lang w:val="en-US" w:eastAsia="zh-CN"/>
          <w14:textFill>
            <w14:solidFill>
              <w14:schemeClr w14:val="tx1"/>
            </w14:solidFill>
          </w14:textFill>
        </w:rPr>
        <w:t>9</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矿山现存的主要环境问题及</w:t>
      </w:r>
      <w:r>
        <w:rPr>
          <w:rFonts w:hint="eastAsia" w:ascii="Times New Roman" w:hAnsi="Times New Roman"/>
          <w:bCs w:val="0"/>
          <w:color w:val="000000" w:themeColor="text1"/>
          <w:kern w:val="2"/>
          <w:szCs w:val="24"/>
          <w:lang w:eastAsia="zh-CN"/>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以新带老</w:t>
      </w:r>
      <w:r>
        <w:rPr>
          <w:rFonts w:hint="eastAsia" w:ascii="Times New Roman" w:hAnsi="Times New Roman"/>
          <w:bCs w:val="0"/>
          <w:color w:val="000000" w:themeColor="text1"/>
          <w:kern w:val="2"/>
          <w:szCs w:val="24"/>
          <w:lang w:eastAsia="zh-CN"/>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措施</w:t>
      </w:r>
    </w:p>
    <w:p w14:paraId="7E0120F4">
      <w:pPr>
        <w:pStyle w:val="18"/>
        <w:spacing w:line="480" w:lineRule="exact"/>
        <w:ind w:firstLine="480"/>
        <w:rPr>
          <w:rFonts w:hint="eastAsia"/>
          <w:color w:val="000000" w:themeColor="text1"/>
          <w:sz w:val="24"/>
          <w:szCs w:val="28"/>
          <w14:textFill>
            <w14:solidFill>
              <w14:schemeClr w14:val="tx1"/>
            </w14:solidFill>
          </w14:textFill>
        </w:rPr>
      </w:pPr>
      <w:r>
        <w:rPr>
          <w:color w:val="000000" w:themeColor="text1"/>
          <w:sz w:val="24"/>
          <w14:textFill>
            <w14:solidFill>
              <w14:schemeClr w14:val="tx1"/>
            </w14:solidFill>
          </w14:textFill>
        </w:rPr>
        <w:t>矿山生产面临的主要环境问题及整改方案</w:t>
      </w:r>
      <w:r>
        <w:rPr>
          <w:rFonts w:hint="eastAsia"/>
          <w:color w:val="000000" w:themeColor="text1"/>
          <w:sz w:val="24"/>
          <w14:textFill>
            <w14:solidFill>
              <w14:schemeClr w14:val="tx1"/>
            </w14:solidFill>
          </w14:textFill>
        </w:rPr>
        <w:t>见表3</w:t>
      </w:r>
      <w:r>
        <w:rPr>
          <w:color w:val="000000" w:themeColor="text1"/>
          <w:sz w:val="24"/>
          <w14:textFill>
            <w14:solidFill>
              <w14:schemeClr w14:val="tx1"/>
            </w14:solidFill>
          </w14:textFill>
        </w:rPr>
        <w:t>.1-7</w:t>
      </w:r>
      <w:r>
        <w:rPr>
          <w:rFonts w:hint="eastAsia"/>
          <w:color w:val="000000" w:themeColor="text1"/>
          <w:sz w:val="24"/>
          <w14:textFill>
            <w14:solidFill>
              <w14:schemeClr w14:val="tx1"/>
            </w14:solidFill>
          </w14:textFill>
        </w:rPr>
        <w:t>。</w:t>
      </w:r>
    </w:p>
    <w:p w14:paraId="019775D0">
      <w:pPr>
        <w:pStyle w:val="999"/>
        <w:spacing w:line="480" w:lineRule="exact"/>
        <w:ind w:firstLine="0" w:firstLineChars="0"/>
        <w:jc w:val="center"/>
        <w:rPr>
          <w:rFonts w:cs="Times New Roman"/>
          <w:b/>
          <w:color w:val="000000" w:themeColor="text1"/>
          <w:szCs w:val="24"/>
          <w14:textFill>
            <w14:solidFill>
              <w14:schemeClr w14:val="tx1"/>
            </w14:solidFill>
          </w14:textFill>
        </w:rPr>
      </w:pPr>
      <w:r>
        <w:rPr>
          <w:rFonts w:hint="eastAsia" w:cs="Times New Roman"/>
          <w:b/>
          <w:color w:val="000000" w:themeColor="text1"/>
          <w:szCs w:val="24"/>
          <w14:textFill>
            <w14:solidFill>
              <w14:schemeClr w14:val="tx1"/>
            </w14:solidFill>
          </w14:textFill>
        </w:rPr>
        <w:t>表3</w:t>
      </w:r>
      <w:r>
        <w:rPr>
          <w:rFonts w:cs="Times New Roman"/>
          <w:b/>
          <w:color w:val="000000" w:themeColor="text1"/>
          <w:szCs w:val="24"/>
          <w14:textFill>
            <w14:solidFill>
              <w14:schemeClr w14:val="tx1"/>
            </w14:solidFill>
          </w14:textFill>
        </w:rPr>
        <w:t xml:space="preserve">.1-7    </w:t>
      </w:r>
      <w:r>
        <w:rPr>
          <w:rFonts w:hint="eastAsia" w:cs="Times New Roman"/>
          <w:b/>
          <w:color w:val="000000" w:themeColor="text1"/>
          <w:szCs w:val="24"/>
          <w14:textFill>
            <w14:solidFill>
              <w14:schemeClr w14:val="tx1"/>
            </w14:solidFill>
          </w14:textFill>
        </w:rPr>
        <w:t>矿山主要环境问题及整改措施</w:t>
      </w:r>
    </w:p>
    <w:tbl>
      <w:tblPr>
        <w:tblStyle w:val="7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650"/>
        <w:gridCol w:w="2633"/>
        <w:gridCol w:w="2139"/>
      </w:tblGrid>
      <w:tr w14:paraId="5470A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45" w:type="pct"/>
            <w:noWrap w:val="0"/>
            <w:vAlign w:val="center"/>
          </w:tcPr>
          <w:p w14:paraId="0CC774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环境问题</w:t>
            </w:r>
          </w:p>
        </w:tc>
        <w:tc>
          <w:tcPr>
            <w:tcW w:w="1554" w:type="pct"/>
            <w:noWrap w:val="0"/>
            <w:vAlign w:val="center"/>
          </w:tcPr>
          <w:p w14:paraId="7828D61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主要内容</w:t>
            </w:r>
          </w:p>
        </w:tc>
        <w:tc>
          <w:tcPr>
            <w:tcW w:w="1544" w:type="pct"/>
            <w:noWrap w:val="0"/>
            <w:vAlign w:val="center"/>
          </w:tcPr>
          <w:p w14:paraId="3B619B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整改方案</w:t>
            </w:r>
          </w:p>
        </w:tc>
        <w:tc>
          <w:tcPr>
            <w:tcW w:w="1254" w:type="pct"/>
            <w:noWrap w:val="0"/>
            <w:vAlign w:val="center"/>
          </w:tcPr>
          <w:p w14:paraId="39A1778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整改时限</w:t>
            </w:r>
          </w:p>
        </w:tc>
      </w:tr>
      <w:tr w14:paraId="406BC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pct"/>
            <w:vMerge w:val="restart"/>
            <w:noWrap w:val="0"/>
            <w:vAlign w:val="center"/>
          </w:tcPr>
          <w:p w14:paraId="6E90E1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大气环境</w:t>
            </w:r>
          </w:p>
        </w:tc>
        <w:tc>
          <w:tcPr>
            <w:tcW w:w="1554" w:type="pct"/>
            <w:noWrap w:val="0"/>
            <w:vAlign w:val="center"/>
          </w:tcPr>
          <w:p w14:paraId="42BB10B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两处废石堆场及两处矿石堆场均未采取抑尘措施，存在风蚀扬尘污染。</w:t>
            </w:r>
          </w:p>
        </w:tc>
        <w:tc>
          <w:tcPr>
            <w:tcW w:w="1544" w:type="pct"/>
            <w:noWrap w:val="0"/>
            <w:vAlign w:val="center"/>
          </w:tcPr>
          <w:p w14:paraId="5A2B19E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对两处废石堆场及两处矿石堆场进行覆土封场，并采取绿化、复垦措施。</w:t>
            </w:r>
          </w:p>
        </w:tc>
        <w:tc>
          <w:tcPr>
            <w:tcW w:w="1254" w:type="pct"/>
            <w:noWrap w:val="0"/>
            <w:vAlign w:val="center"/>
          </w:tcPr>
          <w:p w14:paraId="782A2DC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与本项目同步竣工。</w:t>
            </w:r>
          </w:p>
        </w:tc>
      </w:tr>
      <w:tr w14:paraId="4E242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pct"/>
            <w:vMerge w:val="continue"/>
            <w:noWrap w:val="0"/>
            <w:vAlign w:val="center"/>
          </w:tcPr>
          <w:p w14:paraId="7ED3DC4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p>
        </w:tc>
        <w:tc>
          <w:tcPr>
            <w:tcW w:w="1554" w:type="pct"/>
            <w:noWrap w:val="0"/>
            <w:vAlign w:val="center"/>
          </w:tcPr>
          <w:p w14:paraId="0994E62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矿区道路未全部硬化，存在道路扬尘污染。</w:t>
            </w:r>
          </w:p>
        </w:tc>
        <w:tc>
          <w:tcPr>
            <w:tcW w:w="1544" w:type="pct"/>
            <w:noWrap w:val="0"/>
            <w:vAlign w:val="center"/>
          </w:tcPr>
          <w:p w14:paraId="076437B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尽快将矿区道路全部硬化。</w:t>
            </w:r>
          </w:p>
        </w:tc>
        <w:tc>
          <w:tcPr>
            <w:tcW w:w="1254" w:type="pct"/>
            <w:noWrap w:val="0"/>
            <w:vAlign w:val="center"/>
          </w:tcPr>
          <w:p w14:paraId="35AE77F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与本项目同步竣工。</w:t>
            </w:r>
          </w:p>
        </w:tc>
      </w:tr>
      <w:tr w14:paraId="201AF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pct"/>
            <w:noWrap w:val="0"/>
            <w:vAlign w:val="center"/>
          </w:tcPr>
          <w:p w14:paraId="239EE0CD">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生态环境</w:t>
            </w:r>
          </w:p>
        </w:tc>
        <w:tc>
          <w:tcPr>
            <w:tcW w:w="1554" w:type="pct"/>
            <w:noWrap w:val="0"/>
            <w:vAlign w:val="center"/>
          </w:tcPr>
          <w:p w14:paraId="537AF44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现有</w:t>
            </w:r>
            <w:r>
              <w:rPr>
                <w:rFonts w:hint="eastAsia" w:ascii="Times New Roman" w:hAnsi="Times New Roman" w:cs="Times New Roman"/>
                <w:bCs/>
                <w:color w:val="000000" w:themeColor="text1"/>
                <w14:textFill>
                  <w14:solidFill>
                    <w14:schemeClr w14:val="tx1"/>
                  </w14:solidFill>
                </w14:textFill>
              </w:rPr>
              <w:t>两处废石堆场</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矿石堆场未进行生态恢复</w:t>
            </w:r>
          </w:p>
        </w:tc>
        <w:tc>
          <w:tcPr>
            <w:tcW w:w="1544" w:type="pct"/>
            <w:noWrap w:val="0"/>
            <w:vAlign w:val="center"/>
          </w:tcPr>
          <w:p w14:paraId="2B33E48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在本项目竣工环境保护验收前，完成现有</w:t>
            </w:r>
            <w:r>
              <w:rPr>
                <w:rFonts w:hint="eastAsia" w:ascii="Times New Roman" w:hAnsi="Times New Roman" w:cs="Times New Roman"/>
                <w:bCs/>
                <w:color w:val="000000" w:themeColor="text1"/>
                <w14:textFill>
                  <w14:solidFill>
                    <w14:schemeClr w14:val="tx1"/>
                  </w14:solidFill>
                </w14:textFill>
              </w:rPr>
              <w:t>两处废石堆场</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矿石堆场生态恢复工作。</w:t>
            </w:r>
          </w:p>
        </w:tc>
        <w:tc>
          <w:tcPr>
            <w:tcW w:w="1254" w:type="pct"/>
            <w:noWrap w:val="0"/>
            <w:vAlign w:val="center"/>
          </w:tcPr>
          <w:p w14:paraId="0E26BB1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与本项目同步竣工。</w:t>
            </w:r>
          </w:p>
        </w:tc>
      </w:tr>
      <w:tr w14:paraId="461A8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pct"/>
            <w:vMerge w:val="restart"/>
            <w:noWrap w:val="0"/>
            <w:vAlign w:val="center"/>
          </w:tcPr>
          <w:p w14:paraId="05D3B4F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环境风险</w:t>
            </w:r>
          </w:p>
        </w:tc>
        <w:tc>
          <w:tcPr>
            <w:tcW w:w="1554" w:type="pct"/>
            <w:noWrap w:val="0"/>
            <w:vAlign w:val="center"/>
          </w:tcPr>
          <w:p w14:paraId="106C68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废石堆场位于预测地面塌陷区</w:t>
            </w:r>
            <w:r>
              <w:rPr>
                <w:rFonts w:hint="eastAsia" w:cs="Times New Roman"/>
                <w:color w:val="000000" w:themeColor="text1"/>
                <w:lang w:eastAsia="zh-CN"/>
                <w14:textFill>
                  <w14:solidFill>
                    <w14:schemeClr w14:val="tx1"/>
                  </w14:solidFill>
                </w14:textFill>
              </w:rPr>
              <w:t>；且</w:t>
            </w:r>
            <w:r>
              <w:rPr>
                <w:rFonts w:hint="eastAsia" w:ascii="Times New Roman" w:hAnsi="Times New Roman" w:cs="Times New Roman"/>
                <w:color w:val="000000" w:themeColor="text1"/>
                <w14:textFill>
                  <w14:solidFill>
                    <w14:schemeClr w14:val="tx1"/>
                  </w14:solidFill>
                </w14:textFill>
              </w:rPr>
              <w:t>未进行加固封场处置，未采</w:t>
            </w:r>
            <w:r>
              <w:rPr>
                <w:rFonts w:hint="eastAsia" w:cs="Times New Roman"/>
                <w:color w:val="000000" w:themeColor="text1"/>
                <w:lang w:eastAsia="zh-CN"/>
                <w14:textFill>
                  <w14:solidFill>
                    <w14:schemeClr w14:val="tx1"/>
                  </w14:solidFill>
                </w14:textFill>
              </w:rPr>
              <w:t>取</w:t>
            </w:r>
            <w:r>
              <w:rPr>
                <w:rFonts w:hint="eastAsia" w:ascii="Times New Roman" w:hAnsi="Times New Roman" w:cs="Times New Roman"/>
                <w:color w:val="000000" w:themeColor="text1"/>
                <w14:textFill>
                  <w14:solidFill>
                    <w14:schemeClr w14:val="tx1"/>
                  </w14:solidFill>
                </w14:textFill>
              </w:rPr>
              <w:t>拦挡措施。</w:t>
            </w:r>
          </w:p>
        </w:tc>
        <w:tc>
          <w:tcPr>
            <w:tcW w:w="1544" w:type="pct"/>
            <w:noWrap w:val="0"/>
            <w:vAlign w:val="center"/>
          </w:tcPr>
          <w:p w14:paraId="075F83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highlight w:val="yellow"/>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对两处废石堆场</w:t>
            </w:r>
            <w:r>
              <w:rPr>
                <w:rFonts w:hint="eastAsia" w:ascii="Times New Roman" w:hAnsi="Times New Roman" w:cs="Times New Roman"/>
                <w:color w:val="000000" w:themeColor="text1"/>
                <w14:textFill>
                  <w14:solidFill>
                    <w14:schemeClr w14:val="tx1"/>
                  </w14:solidFill>
                </w14:textFill>
              </w:rPr>
              <w:t>进行加固封场处置</w:t>
            </w:r>
            <w:r>
              <w:rPr>
                <w:rFonts w:hint="eastAsia" w:cs="Times New Roman"/>
                <w:color w:val="000000" w:themeColor="text1"/>
                <w:lang w:eastAsia="zh-CN"/>
                <w14:textFill>
                  <w14:solidFill>
                    <w14:schemeClr w14:val="tx1"/>
                  </w14:solidFill>
                </w14:textFill>
              </w:rPr>
              <w:t>，不再继续使用</w:t>
            </w:r>
            <w:r>
              <w:rPr>
                <w:rFonts w:hint="eastAsia" w:ascii="Times New Roman" w:hAnsi="Times New Roman" w:cs="Times New Roman"/>
                <w:color w:val="000000" w:themeColor="text1"/>
                <w14:textFill>
                  <w14:solidFill>
                    <w14:schemeClr w14:val="tx1"/>
                  </w14:solidFill>
                </w14:textFill>
              </w:rPr>
              <w:t>。</w:t>
            </w:r>
          </w:p>
        </w:tc>
        <w:tc>
          <w:tcPr>
            <w:tcW w:w="1254" w:type="pct"/>
            <w:noWrap w:val="0"/>
            <w:vAlign w:val="center"/>
          </w:tcPr>
          <w:p w14:paraId="3F6F653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highlight w:val="yellow"/>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与本项目同步竣工。</w:t>
            </w:r>
          </w:p>
        </w:tc>
      </w:tr>
      <w:tr w14:paraId="6DA06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pct"/>
            <w:vMerge w:val="continue"/>
            <w:noWrap w:val="0"/>
            <w:vAlign w:val="center"/>
          </w:tcPr>
          <w:p w14:paraId="3A22D64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p>
        </w:tc>
        <w:tc>
          <w:tcPr>
            <w:tcW w:w="1554" w:type="pct"/>
            <w:noWrap w:val="0"/>
            <w:vAlign w:val="center"/>
          </w:tcPr>
          <w:p w14:paraId="626706A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未编制突发环境事件应急预案</w:t>
            </w:r>
          </w:p>
        </w:tc>
        <w:tc>
          <w:tcPr>
            <w:tcW w:w="1544" w:type="pct"/>
            <w:noWrap w:val="0"/>
            <w:vAlign w:val="center"/>
          </w:tcPr>
          <w:p w14:paraId="43F6C7D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本项目竣工环境保护验收前，完成全矿</w:t>
            </w:r>
            <w:r>
              <w:rPr>
                <w:rFonts w:hint="eastAsia" w:cs="Times New Roman"/>
                <w:color w:val="000000" w:themeColor="text1"/>
                <w:lang w:val="en-US" w:eastAsia="zh-CN"/>
                <w14:textFill>
                  <w14:solidFill>
                    <w14:schemeClr w14:val="tx1"/>
                  </w14:solidFill>
                </w14:textFill>
              </w:rPr>
              <w:t>突发环境事件应急预案备案工作。</w:t>
            </w:r>
          </w:p>
        </w:tc>
        <w:tc>
          <w:tcPr>
            <w:tcW w:w="1254" w:type="pct"/>
            <w:noWrap w:val="0"/>
            <w:vAlign w:val="center"/>
          </w:tcPr>
          <w:p w14:paraId="1B1960E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与本项目同步竣工。</w:t>
            </w:r>
          </w:p>
        </w:tc>
      </w:tr>
      <w:tr w14:paraId="679E0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645" w:type="pct"/>
            <w:vMerge w:val="restart"/>
            <w:noWrap w:val="0"/>
            <w:vAlign w:val="center"/>
          </w:tcPr>
          <w:p w14:paraId="559A895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环境管理</w:t>
            </w:r>
          </w:p>
        </w:tc>
        <w:tc>
          <w:tcPr>
            <w:tcW w:w="1554" w:type="pct"/>
            <w:noWrap w:val="0"/>
            <w:vAlign w:val="center"/>
          </w:tcPr>
          <w:p w14:paraId="628783F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环境管理机构尚不完善，尚未设置环保专职部门负责日常环境保护管理工作，尚未制定有关环境保护规章和制度。</w:t>
            </w:r>
          </w:p>
        </w:tc>
        <w:tc>
          <w:tcPr>
            <w:tcW w:w="1544" w:type="pct"/>
            <w:noWrap w:val="0"/>
            <w:vAlign w:val="center"/>
          </w:tcPr>
          <w:p w14:paraId="6478CB7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设置环保专职部门负责日常环境保护管理工作，制定有关环境保护规章和制度。</w:t>
            </w:r>
          </w:p>
        </w:tc>
        <w:tc>
          <w:tcPr>
            <w:tcW w:w="1254" w:type="pct"/>
            <w:noWrap w:val="0"/>
            <w:vAlign w:val="center"/>
          </w:tcPr>
          <w:p w14:paraId="46E11C3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与本项目同步实施。</w:t>
            </w:r>
          </w:p>
        </w:tc>
      </w:tr>
      <w:tr w14:paraId="3C308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645" w:type="pct"/>
            <w:vMerge w:val="continue"/>
            <w:noWrap w:val="0"/>
            <w:vAlign w:val="center"/>
          </w:tcPr>
          <w:p w14:paraId="1187219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bookmarkStart w:id="285" w:name="_Toc4220"/>
            <w:bookmarkStart w:id="286" w:name="_Toc22046"/>
            <w:bookmarkStart w:id="287" w:name="_Toc111767550"/>
          </w:p>
        </w:tc>
        <w:tc>
          <w:tcPr>
            <w:tcW w:w="1554" w:type="pct"/>
            <w:noWrap w:val="0"/>
            <w:vAlign w:val="center"/>
          </w:tcPr>
          <w:p w14:paraId="6AED3CF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因矿山停产多年，企业未制定例行环境监测计划。</w:t>
            </w:r>
          </w:p>
        </w:tc>
        <w:tc>
          <w:tcPr>
            <w:tcW w:w="1544" w:type="pct"/>
            <w:noWrap w:val="0"/>
            <w:vAlign w:val="center"/>
          </w:tcPr>
          <w:p w14:paraId="4BBE8C0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按本次评价提出的监测计划实施。</w:t>
            </w:r>
          </w:p>
        </w:tc>
        <w:tc>
          <w:tcPr>
            <w:tcW w:w="1254" w:type="pct"/>
            <w:noWrap w:val="0"/>
            <w:vAlign w:val="center"/>
          </w:tcPr>
          <w:p w14:paraId="57CBBDF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与本项目同步实施。</w:t>
            </w:r>
          </w:p>
        </w:tc>
      </w:tr>
      <w:tr w14:paraId="03B59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0"/>
            <w:vAlign w:val="center"/>
          </w:tcPr>
          <w:p w14:paraId="723CB92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p>
        </w:tc>
        <w:tc>
          <w:tcPr>
            <w:tcW w:w="1554" w:type="pct"/>
            <w:noWrap w:val="0"/>
            <w:vAlign w:val="center"/>
          </w:tcPr>
          <w:p w14:paraId="7C895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因矿山停产多年，企业未办理排污许可证。</w:t>
            </w:r>
          </w:p>
        </w:tc>
        <w:tc>
          <w:tcPr>
            <w:tcW w:w="1544" w:type="pct"/>
            <w:noWrap w:val="0"/>
            <w:vAlign w:val="center"/>
          </w:tcPr>
          <w:p w14:paraId="1AA86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待本项目取得环评批复后，填报排污许可。</w:t>
            </w:r>
          </w:p>
        </w:tc>
        <w:tc>
          <w:tcPr>
            <w:tcW w:w="1254" w:type="pct"/>
            <w:noWrap w:val="0"/>
            <w:vAlign w:val="center"/>
          </w:tcPr>
          <w:p w14:paraId="56123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cs="Times New Roman"/>
                <w:bCs/>
                <w:color w:val="000000" w:themeColor="text1"/>
                <w:lang w:val="en-US" w:eastAsia="zh-CN"/>
                <w14:textFill>
                  <w14:solidFill>
                    <w14:schemeClr w14:val="tx1"/>
                  </w14:solidFill>
                </w14:textFill>
              </w:rPr>
              <w:t>本项目竣工环境保护验收前取得排污许可证。</w:t>
            </w:r>
          </w:p>
        </w:tc>
      </w:tr>
    </w:tbl>
    <w:p w14:paraId="714EA2A0">
      <w:pPr>
        <w:pStyle w:val="3"/>
        <w:jc w:val="left"/>
        <w:rPr>
          <w:bCs/>
          <w:color w:val="000000" w:themeColor="text1"/>
          <w:kern w:val="2"/>
          <w:szCs w:val="32"/>
          <w14:textFill>
            <w14:solidFill>
              <w14:schemeClr w14:val="tx1"/>
            </w14:solidFill>
          </w14:textFill>
        </w:rPr>
      </w:pPr>
      <w:bookmarkStart w:id="288" w:name="_Toc1142"/>
      <w:r>
        <w:rPr>
          <w:rFonts w:hint="eastAsia"/>
          <w:bCs/>
          <w:color w:val="000000" w:themeColor="text1"/>
          <w:kern w:val="2"/>
          <w:szCs w:val="32"/>
          <w14:textFill>
            <w14:solidFill>
              <w14:schemeClr w14:val="tx1"/>
            </w14:solidFill>
          </w14:textFill>
        </w:rPr>
        <w:t>3.</w:t>
      </w:r>
      <w:r>
        <w:rPr>
          <w:bCs/>
          <w:color w:val="000000" w:themeColor="text1"/>
          <w:kern w:val="2"/>
          <w:szCs w:val="32"/>
          <w14:textFill>
            <w14:solidFill>
              <w14:schemeClr w14:val="tx1"/>
            </w14:solidFill>
          </w14:textFill>
        </w:rPr>
        <w:t>2</w:t>
      </w:r>
      <w:r>
        <w:rPr>
          <w:rFonts w:hint="eastAsia"/>
          <w:bCs/>
          <w:color w:val="000000" w:themeColor="text1"/>
          <w:kern w:val="2"/>
          <w:szCs w:val="32"/>
          <w:lang w:val="en-US" w:eastAsia="zh-CN"/>
          <w14:textFill>
            <w14:solidFill>
              <w14:schemeClr w14:val="tx1"/>
            </w14:solidFill>
          </w14:textFill>
        </w:rPr>
        <w:t>本项目</w:t>
      </w:r>
      <w:r>
        <w:rPr>
          <w:rFonts w:hint="eastAsia"/>
          <w:bCs/>
          <w:color w:val="000000" w:themeColor="text1"/>
          <w:kern w:val="2"/>
          <w:szCs w:val="32"/>
          <w14:textFill>
            <w14:solidFill>
              <w14:schemeClr w14:val="tx1"/>
            </w14:solidFill>
          </w14:textFill>
        </w:rPr>
        <w:t>概况</w:t>
      </w:r>
      <w:bookmarkEnd w:id="285"/>
      <w:bookmarkEnd w:id="286"/>
      <w:bookmarkEnd w:id="287"/>
      <w:bookmarkEnd w:id="288"/>
    </w:p>
    <w:p w14:paraId="161A8372">
      <w:pPr>
        <w:pStyle w:val="4"/>
        <w:spacing w:before="60" w:after="60" w:line="480" w:lineRule="exact"/>
        <w:rPr>
          <w:color w:val="000000" w:themeColor="text1"/>
          <w:kern w:val="2"/>
          <w14:textFill>
            <w14:solidFill>
              <w14:schemeClr w14:val="tx1"/>
            </w14:solidFill>
          </w14:textFill>
        </w:rPr>
      </w:pPr>
      <w:bookmarkStart w:id="289" w:name="_Toc7794"/>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.1项目基本情况</w:t>
      </w:r>
      <w:bookmarkEnd w:id="289"/>
    </w:p>
    <w:p w14:paraId="238FB026">
      <w:pPr>
        <w:pStyle w:val="18"/>
        <w:spacing w:line="480" w:lineRule="exact"/>
        <w:ind w:firstLine="480"/>
        <w:rPr>
          <w:rFonts w:hint="eastAsia" w:eastAsia="宋体"/>
          <w:color w:val="000000" w:themeColor="text1"/>
          <w:sz w:val="24"/>
          <w:szCs w:val="28"/>
          <w:lang w:eastAsia="zh-CN"/>
          <w14:textFill>
            <w14:solidFill>
              <w14:schemeClr w14:val="tx1"/>
            </w14:solidFill>
          </w14:textFill>
        </w:rPr>
      </w:pPr>
      <w:r>
        <w:rPr>
          <w:color w:val="000000" w:themeColor="text1"/>
          <w:sz w:val="24"/>
          <w:lang w:bidi="ar"/>
          <w14:textFill>
            <w14:solidFill>
              <w14:schemeClr w14:val="tx1"/>
            </w14:solidFill>
          </w14:textFill>
        </w:rPr>
        <w:t>项目名称：</w:t>
      </w:r>
      <w:r>
        <w:rPr>
          <w:rFonts w:hint="eastAsia"/>
          <w:color w:val="000000" w:themeColor="text1"/>
          <w:sz w:val="24"/>
          <w:lang w:eastAsia="zh-CN" w:bidi="ar"/>
          <w14:textFill>
            <w14:solidFill>
              <w14:schemeClr w14:val="tx1"/>
            </w14:solidFill>
          </w14:textFill>
        </w:rPr>
        <w:t>哈密市西成矿业有限责任公司M1033矿年产30万吨铁矿采矿建设项目（重大变动）</w:t>
      </w:r>
    </w:p>
    <w:p w14:paraId="0972DA73">
      <w:pPr>
        <w:pStyle w:val="18"/>
        <w:spacing w:line="480" w:lineRule="exact"/>
        <w:ind w:firstLine="480"/>
        <w:rPr>
          <w:rFonts w:hint="eastAsia"/>
          <w:color w:val="000000" w:themeColor="text1"/>
          <w:sz w:val="24"/>
          <w:szCs w:val="28"/>
          <w14:textFill>
            <w14:solidFill>
              <w14:schemeClr w14:val="tx1"/>
            </w14:solidFill>
          </w14:textFill>
        </w:rPr>
      </w:pPr>
      <w:r>
        <w:rPr>
          <w:color w:val="000000" w:themeColor="text1"/>
          <w:sz w:val="24"/>
          <w:lang w:bidi="ar"/>
          <w14:textFill>
            <w14:solidFill>
              <w14:schemeClr w14:val="tx1"/>
            </w14:solidFill>
          </w14:textFill>
        </w:rPr>
        <w:t>建设单位：</w:t>
      </w:r>
      <w:r>
        <w:rPr>
          <w:rFonts w:hint="eastAsia"/>
          <w:color w:val="000000" w:themeColor="text1"/>
          <w:sz w:val="24"/>
          <w:lang w:bidi="ar"/>
          <w14:textFill>
            <w14:solidFill>
              <w14:schemeClr w14:val="tx1"/>
            </w14:solidFill>
          </w14:textFill>
        </w:rPr>
        <w:t>哈密市西成矿业有限责任公司</w:t>
      </w:r>
    </w:p>
    <w:p w14:paraId="68CCA482">
      <w:pPr>
        <w:pStyle w:val="18"/>
        <w:spacing w:line="480" w:lineRule="exact"/>
        <w:ind w:firstLine="480"/>
        <w:rPr>
          <w:rFonts w:hint="eastAsia" w:eastAsia="宋体"/>
          <w:color w:val="000000" w:themeColor="text1"/>
          <w:sz w:val="24"/>
          <w:lang w:eastAsia="zh-CN" w:bidi="ar"/>
          <w14:textFill>
            <w14:solidFill>
              <w14:schemeClr w14:val="tx1"/>
            </w14:solidFill>
          </w14:textFill>
        </w:rPr>
      </w:pPr>
      <w:r>
        <w:rPr>
          <w:color w:val="000000" w:themeColor="text1"/>
          <w:sz w:val="24"/>
          <w:lang w:bidi="ar"/>
          <w14:textFill>
            <w14:solidFill>
              <w14:schemeClr w14:val="tx1"/>
            </w14:solidFill>
          </w14:textFill>
        </w:rPr>
        <w:t>建设性质：</w:t>
      </w:r>
      <w:r>
        <w:rPr>
          <w:rFonts w:hint="eastAsia"/>
          <w:color w:val="000000" w:themeColor="text1"/>
          <w:sz w:val="24"/>
          <w:lang w:val="en-US" w:eastAsia="zh-CN" w:bidi="ar"/>
          <w14:textFill>
            <w14:solidFill>
              <w14:schemeClr w14:val="tx1"/>
            </w14:solidFill>
          </w14:textFill>
        </w:rPr>
        <w:t>新建（重大变动重新报批）</w:t>
      </w:r>
    </w:p>
    <w:p w14:paraId="749A3451">
      <w:pPr>
        <w:pStyle w:val="18"/>
        <w:spacing w:line="480" w:lineRule="exact"/>
        <w:ind w:firstLine="480"/>
        <w:rPr>
          <w:rFonts w:hint="eastAsia"/>
          <w:color w:val="000000" w:themeColor="text1"/>
          <w:sz w:val="24"/>
          <w:lang w:val="en-US" w:eastAsia="zh-CN" w:bidi="ar"/>
          <w14:textFill>
            <w14:solidFill>
              <w14:schemeClr w14:val="tx1"/>
            </w14:solidFill>
          </w14:textFill>
        </w:rPr>
      </w:pPr>
      <w:r>
        <w:rPr>
          <w:rFonts w:hint="eastAsia"/>
          <w:color w:val="000000" w:themeColor="text1"/>
          <w:sz w:val="24"/>
          <w:lang w:val="en-US" w:eastAsia="zh-CN" w:bidi="ar"/>
          <w14:textFill>
            <w14:solidFill>
              <w14:schemeClr w14:val="tx1"/>
            </w14:solidFill>
          </w14:textFill>
        </w:rPr>
        <w:t>建设规模：</w:t>
      </w:r>
      <w:r>
        <w:rPr>
          <w:rFonts w:hint="eastAsia"/>
          <w:color w:val="000000" w:themeColor="text1"/>
          <w:sz w:val="24"/>
          <w:lang w:bidi="ar"/>
          <w14:textFill>
            <w14:solidFill>
              <w14:schemeClr w14:val="tx1"/>
            </w14:solidFill>
          </w14:textFill>
        </w:rPr>
        <w:t>6</w:t>
      </w:r>
      <w:r>
        <w:rPr>
          <w:color w:val="000000" w:themeColor="text1"/>
          <w:sz w:val="24"/>
          <w:lang w:bidi="ar"/>
          <w14:textFill>
            <w14:solidFill>
              <w14:schemeClr w14:val="tx1"/>
            </w14:solidFill>
          </w14:textFill>
        </w:rPr>
        <w:t>0</w:t>
      </w:r>
      <w:r>
        <w:rPr>
          <w:rFonts w:hint="eastAsia"/>
          <w:color w:val="000000" w:themeColor="text1"/>
          <w:sz w:val="24"/>
          <w:lang w:bidi="ar"/>
          <w14:textFill>
            <w14:solidFill>
              <w14:schemeClr w14:val="tx1"/>
            </w14:solidFill>
          </w14:textFill>
        </w:rPr>
        <w:t>万t/a</w:t>
      </w:r>
    </w:p>
    <w:p w14:paraId="2B026F18">
      <w:pPr>
        <w:pStyle w:val="18"/>
        <w:spacing w:line="480" w:lineRule="exact"/>
        <w:ind w:firstLine="480"/>
        <w:rPr>
          <w:rFonts w:hint="default"/>
          <w:color w:val="000000" w:themeColor="text1"/>
          <w:sz w:val="24"/>
          <w:lang w:val="en-US" w:eastAsia="zh-CN" w:bidi="ar"/>
          <w14:textFill>
            <w14:solidFill>
              <w14:schemeClr w14:val="tx1"/>
            </w14:solidFill>
          </w14:textFill>
        </w:rPr>
      </w:pPr>
      <w:r>
        <w:rPr>
          <w:rFonts w:hint="eastAsia"/>
          <w:color w:val="000000" w:themeColor="text1"/>
          <w:sz w:val="24"/>
          <w:lang w:val="en-US" w:eastAsia="zh-CN" w:bidi="ar"/>
          <w14:textFill>
            <w14:solidFill>
              <w14:schemeClr w14:val="tx1"/>
            </w14:solidFill>
          </w14:textFill>
        </w:rPr>
        <w:t>建设内容：</w:t>
      </w:r>
      <w:r>
        <w:rPr>
          <w:rFonts w:hint="eastAsia"/>
          <w:color w:val="000000" w:themeColor="text1"/>
          <w:sz w:val="24"/>
          <w:lang w:bidi="ar"/>
          <w14:textFill>
            <w14:solidFill>
              <w14:schemeClr w14:val="tx1"/>
            </w14:solidFill>
          </w14:textFill>
        </w:rPr>
        <w:t>建设内容包括井巷工程</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2处</w:t>
      </w:r>
      <w:r>
        <w:rPr>
          <w:rFonts w:hint="eastAsia"/>
          <w:color w:val="000000" w:themeColor="text1"/>
          <w:sz w:val="24"/>
          <w:lang w:eastAsia="zh-CN" w:bidi="ar"/>
          <w14:textFill>
            <w14:solidFill>
              <w14:schemeClr w14:val="tx1"/>
            </w14:solidFill>
          </w14:textFill>
        </w:rPr>
        <w:t>风井</w:t>
      </w:r>
      <w:r>
        <w:rPr>
          <w:rFonts w:hint="eastAsia"/>
          <w:color w:val="000000" w:themeColor="text1"/>
          <w:sz w:val="24"/>
          <w:lang w:val="en-US" w:eastAsia="zh-CN" w:bidi="ar"/>
          <w14:textFill>
            <w14:solidFill>
              <w14:schemeClr w14:val="tx1"/>
            </w14:solidFill>
          </w14:textFill>
        </w:rPr>
        <w:t>及风井</w:t>
      </w:r>
      <w:r>
        <w:rPr>
          <w:rFonts w:hint="eastAsia"/>
          <w:color w:val="000000" w:themeColor="text1"/>
          <w:sz w:val="24"/>
          <w:lang w:eastAsia="zh-CN" w:bidi="ar"/>
          <w14:textFill>
            <w14:solidFill>
              <w14:schemeClr w14:val="tx1"/>
            </w14:solidFill>
          </w14:textFill>
        </w:rPr>
        <w:t>工业场地、2处废石堆场、</w:t>
      </w:r>
      <w:r>
        <w:rPr>
          <w:rFonts w:hint="eastAsia"/>
          <w:color w:val="000000" w:themeColor="text1"/>
          <w:sz w:val="24"/>
          <w:lang w:val="en-US" w:eastAsia="zh-CN" w:bidi="ar"/>
          <w14:textFill>
            <w14:solidFill>
              <w14:schemeClr w14:val="tx1"/>
            </w14:solidFill>
          </w14:textFill>
        </w:rPr>
        <w:t>机修车间、油库、矿山道路、危废贮存点及配套环保工程等。</w:t>
      </w:r>
    </w:p>
    <w:p w14:paraId="1D523B06">
      <w:pPr>
        <w:pStyle w:val="18"/>
        <w:spacing w:line="480" w:lineRule="exact"/>
        <w:ind w:firstLine="480"/>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建设地点：矿区</w:t>
      </w:r>
      <w:r>
        <w:rPr>
          <w:rFonts w:hint="eastAsia"/>
          <w:color w:val="000000" w:themeColor="text1"/>
          <w:sz w:val="24"/>
          <w14:textFill>
            <w14:solidFill>
              <w14:schemeClr w14:val="tx1"/>
            </w14:solidFill>
          </w14:textFill>
        </w:rPr>
        <w:t>位于新疆维吾尔自治区哈密市168</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方位（与哈密市直线距离约179km），雅满苏镇以南约7</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km处，行政区划属于新疆维吾尔自治区哈密市雅满苏镇管辖。矿区中心地理坐标：</w:t>
      </w:r>
      <w:r>
        <w:rPr>
          <w:color w:val="000000" w:themeColor="text1"/>
          <w:sz w:val="24"/>
          <w14:textFill>
            <w14:solidFill>
              <w14:schemeClr w14:val="tx1"/>
            </w14:solidFill>
          </w14:textFill>
        </w:rPr>
        <w:t>E</w:t>
      </w:r>
      <w:r>
        <w:rPr>
          <w:rFonts w:hint="default" w:ascii="Times New Roman" w:hAnsi="Times New Roman" w:cs="Times New Roman"/>
          <w:color w:val="000000" w:themeColor="text1"/>
          <w:szCs w:val="21"/>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N</w:t>
      </w:r>
      <w:r>
        <w:rPr>
          <w:rFonts w:hint="default" w:ascii="Times New Roman" w:hAnsi="Times New Roman" w:cs="Times New Roman"/>
          <w:color w:val="000000" w:themeColor="text1"/>
          <w:szCs w:val="21"/>
          <w14:textFill>
            <w14:solidFill>
              <w14:schemeClr w14:val="tx1"/>
            </w14:solidFill>
          </w14:textFill>
        </w:rPr>
        <w:t>********</w:t>
      </w:r>
      <w:r>
        <w:rPr>
          <w:rFonts w:hint="eastAsia"/>
          <w:color w:val="000000" w:themeColor="text1"/>
          <w:sz w:val="24"/>
          <w14:textFill>
            <w14:solidFill>
              <w14:schemeClr w14:val="tx1"/>
            </w14:solidFill>
          </w14:textFill>
        </w:rPr>
        <w:t>（2000地理坐标）。</w:t>
      </w:r>
      <w:r>
        <w:rPr>
          <w:rFonts w:hint="eastAsia" w:ascii="Times New Roman" w:hAnsi="Times New Roman" w:cs="Times New Roman"/>
          <w:color w:val="000000" w:themeColor="text1"/>
          <w:sz w:val="24"/>
          <w:lang w:bidi="ar"/>
          <w14:textFill>
            <w14:solidFill>
              <w14:schemeClr w14:val="tx1"/>
            </w14:solidFill>
          </w14:textFill>
        </w:rPr>
        <w:t>项目所在区域地理位置见图3.</w:t>
      </w:r>
      <w:r>
        <w:rPr>
          <w:rFonts w:hint="eastAsia" w:ascii="Times New Roman" w:hAnsi="Times New Roman" w:cs="Times New Roman"/>
          <w:color w:val="000000" w:themeColor="text1"/>
          <w:sz w:val="24"/>
          <w:lang w:val="en-US" w:eastAsia="zh-CN" w:bidi="ar"/>
          <w14:textFill>
            <w14:solidFill>
              <w14:schemeClr w14:val="tx1"/>
            </w14:solidFill>
          </w14:textFill>
        </w:rPr>
        <w:t>2</w:t>
      </w:r>
      <w:r>
        <w:rPr>
          <w:rFonts w:hint="eastAsia" w:ascii="Times New Roman" w:hAnsi="Times New Roman" w:cs="Times New Roman"/>
          <w:color w:val="000000" w:themeColor="text1"/>
          <w:sz w:val="24"/>
          <w:lang w:bidi="ar"/>
          <w14:textFill>
            <w14:solidFill>
              <w14:schemeClr w14:val="tx1"/>
            </w14:solidFill>
          </w14:textFill>
        </w:rPr>
        <w:t>-1，项目</w:t>
      </w:r>
      <w:r>
        <w:rPr>
          <w:rFonts w:hint="eastAsia"/>
          <w:color w:val="000000" w:themeColor="text1"/>
          <w:sz w:val="24"/>
          <w14:textFill>
            <w14:solidFill>
              <w14:schemeClr w14:val="tx1"/>
            </w14:solidFill>
          </w14:textFill>
        </w:rPr>
        <w:t>区域位置见图3.</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-2。</w:t>
      </w:r>
    </w:p>
    <w:p w14:paraId="67B68805">
      <w:pPr>
        <w:pStyle w:val="5"/>
        <w:spacing w:before="0" w:after="0" w:line="480" w:lineRule="exact"/>
        <w:ind w:firstLine="482"/>
        <w:rPr>
          <w:rFonts w:hint="default" w:ascii="Times New Roman" w:hAnsi="Times New Roman" w:eastAsia="宋体"/>
          <w:bCs w:val="0"/>
          <w:color w:val="000000" w:themeColor="text1"/>
          <w:kern w:val="2"/>
          <w:szCs w:val="24"/>
          <w:lang w:val="en-US" w:eastAsia="zh-CN"/>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.1.1</w:t>
      </w:r>
      <w:r>
        <w:rPr>
          <w:rFonts w:hint="eastAsia" w:ascii="Times New Roman" w:hAnsi="Times New Roman"/>
          <w:bCs w:val="0"/>
          <w:color w:val="000000" w:themeColor="text1"/>
          <w:kern w:val="2"/>
          <w:szCs w:val="24"/>
          <w:lang w:val="en-US" w:eastAsia="zh-CN"/>
          <w14:textFill>
            <w14:solidFill>
              <w14:schemeClr w14:val="tx1"/>
            </w14:solidFill>
          </w14:textFill>
        </w:rPr>
        <w:t>项目组成</w:t>
      </w:r>
    </w:p>
    <w:p w14:paraId="7F54EB89">
      <w:pPr>
        <w:pStyle w:val="18"/>
        <w:spacing w:line="480" w:lineRule="exact"/>
        <w:ind w:firstLine="480"/>
        <w:rPr>
          <w:rFonts w:hint="eastAsia"/>
          <w:color w:val="000000" w:themeColor="text1"/>
          <w:sz w:val="24"/>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000000" w:themeColor="text1"/>
          <w:sz w:val="24"/>
          <w:lang w:bidi="ar"/>
          <w14:textFill>
            <w14:solidFill>
              <w14:schemeClr w14:val="tx1"/>
            </w14:solidFill>
          </w14:textFill>
        </w:rPr>
        <w:t>本项目组成主要包括主体工程、辅助工程、公用工程、运输工程、环保工程等，见表3.</w:t>
      </w:r>
      <w:r>
        <w:rPr>
          <w:color w:val="000000" w:themeColor="text1"/>
          <w:sz w:val="24"/>
          <w:lang w:bidi="ar"/>
          <w14:textFill>
            <w14:solidFill>
              <w14:schemeClr w14:val="tx1"/>
            </w14:solidFill>
          </w14:textFill>
        </w:rPr>
        <w:t>2</w:t>
      </w:r>
      <w:r>
        <w:rPr>
          <w:rFonts w:hint="eastAsia"/>
          <w:color w:val="000000" w:themeColor="text1"/>
          <w:sz w:val="24"/>
          <w:lang w:bidi="ar"/>
          <w14:textFill>
            <w14:solidFill>
              <w14:schemeClr w14:val="tx1"/>
            </w14:solidFill>
          </w14:textFill>
        </w:rPr>
        <w:t>-1。</w:t>
      </w:r>
    </w:p>
    <w:p w14:paraId="4474A8BB">
      <w:pPr>
        <w:snapToGrid w:val="0"/>
        <w:spacing w:line="480" w:lineRule="exact"/>
        <w:jc w:val="center"/>
        <w:rPr>
          <w:b/>
          <w:color w:val="000000" w:themeColor="text1"/>
          <w:sz w:val="24"/>
          <w:szCs w:val="24"/>
          <w:lang w:val="zh-CN"/>
          <w14:textFill>
            <w14:solidFill>
              <w14:schemeClr w14:val="tx1"/>
            </w14:solidFill>
          </w14:textFill>
        </w:rPr>
      </w:pPr>
      <w:r>
        <w:rPr>
          <w:b/>
          <w:color w:val="000000" w:themeColor="text1"/>
          <w:sz w:val="24"/>
          <w:szCs w:val="24"/>
          <w:lang w:val="zh-CN"/>
          <w14:textFill>
            <w14:solidFill>
              <w14:schemeClr w14:val="tx1"/>
            </w14:solidFill>
          </w14:textFill>
        </w:rPr>
        <w:t>表3.</w:t>
      </w:r>
      <w:r>
        <w:rPr>
          <w:b/>
          <w:color w:val="000000" w:themeColor="text1"/>
          <w:sz w:val="24"/>
          <w:szCs w:val="24"/>
          <w14:textFill>
            <w14:solidFill>
              <w14:schemeClr w14:val="tx1"/>
            </w14:solidFill>
          </w14:textFill>
        </w:rPr>
        <w:t>2</w:t>
      </w:r>
      <w:r>
        <w:rPr>
          <w:b/>
          <w:color w:val="000000" w:themeColor="text1"/>
          <w:sz w:val="24"/>
          <w:szCs w:val="24"/>
          <w:lang w:val="zh-CN"/>
          <w14:textFill>
            <w14:solidFill>
              <w14:schemeClr w14:val="tx1"/>
            </w14:solidFill>
          </w14:textFill>
        </w:rPr>
        <w:t>-1    项目组成一览表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1118"/>
        <w:gridCol w:w="5642"/>
        <w:gridCol w:w="6121"/>
        <w:gridCol w:w="791"/>
      </w:tblGrid>
      <w:tr w14:paraId="2D6C89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77" w:type="pct"/>
            <w:noWrap w:val="0"/>
            <w:vAlign w:val="center"/>
          </w:tcPr>
          <w:p w14:paraId="45F9229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b/>
                <w:color w:val="000000" w:themeColor="text1"/>
                <w:kern w:val="0"/>
                <w:szCs w:val="21"/>
                <w:lang w:eastAsia="zh-CN"/>
                <w14:textFill>
                  <w14:solidFill>
                    <w14:schemeClr w14:val="tx1"/>
                  </w14:solidFill>
                </w14:textFill>
              </w:rPr>
            </w:pPr>
            <w:r>
              <w:rPr>
                <w:rFonts w:hint="eastAsia" w:cs="Times New Roman"/>
                <w:b/>
                <w:color w:val="000000" w:themeColor="text1"/>
                <w:kern w:val="0"/>
                <w:szCs w:val="21"/>
                <w:lang w:val="en-US" w:eastAsia="zh-CN"/>
                <w14:textFill>
                  <w14:solidFill>
                    <w14:schemeClr w14:val="tx1"/>
                  </w14:solidFill>
                </w14:textFill>
              </w:rPr>
              <w:t>工程类别</w:t>
            </w:r>
          </w:p>
        </w:tc>
        <w:tc>
          <w:tcPr>
            <w:tcW w:w="394" w:type="pct"/>
            <w:noWrap w:val="0"/>
            <w:vAlign w:val="center"/>
          </w:tcPr>
          <w:p w14:paraId="0483AA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名称</w:t>
            </w:r>
          </w:p>
        </w:tc>
        <w:tc>
          <w:tcPr>
            <w:tcW w:w="1989" w:type="pct"/>
            <w:tcBorders>
              <w:right w:val="single" w:color="auto" w:sz="4" w:space="0"/>
            </w:tcBorders>
            <w:noWrap w:val="0"/>
            <w:vAlign w:val="center"/>
          </w:tcPr>
          <w:p w14:paraId="6571FE2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cs="Times New Roman"/>
                <w:b/>
                <w:color w:val="000000" w:themeColor="text1"/>
                <w:kern w:val="0"/>
                <w:szCs w:val="21"/>
                <w:lang w:val="en-US" w:eastAsia="zh-CN"/>
                <w14:textFill>
                  <w14:solidFill>
                    <w14:schemeClr w14:val="tx1"/>
                  </w14:solidFill>
                </w14:textFill>
              </w:rPr>
              <w:t>原项目</w:t>
            </w:r>
            <w:r>
              <w:rPr>
                <w:rFonts w:hint="eastAsia" w:ascii="Times New Roman" w:hAnsi="Times New Roman" w:cs="Times New Roman"/>
                <w:b/>
                <w:color w:val="000000" w:themeColor="text1"/>
                <w:kern w:val="0"/>
                <w:szCs w:val="21"/>
                <w14:textFill>
                  <w14:solidFill>
                    <w14:schemeClr w14:val="tx1"/>
                  </w14:solidFill>
                </w14:textFill>
              </w:rPr>
              <w:t>建设内容</w:t>
            </w:r>
          </w:p>
        </w:tc>
        <w:tc>
          <w:tcPr>
            <w:tcW w:w="2158" w:type="pct"/>
            <w:tcBorders>
              <w:right w:val="single" w:color="auto" w:sz="4" w:space="0"/>
            </w:tcBorders>
            <w:noWrap w:val="0"/>
            <w:vAlign w:val="center"/>
          </w:tcPr>
          <w:p w14:paraId="39A8701E">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
                <w:color w:val="000000" w:themeColor="text1"/>
                <w:kern w:val="0"/>
                <w:szCs w:val="21"/>
                <w:lang w:val="en-US" w:eastAsia="zh-CN"/>
                <w14:textFill>
                  <w14:solidFill>
                    <w14:schemeClr w14:val="tx1"/>
                  </w14:solidFill>
                </w14:textFill>
              </w:rPr>
            </w:pPr>
            <w:r>
              <w:rPr>
                <w:rFonts w:hint="eastAsia" w:cs="Times New Roman"/>
                <w:b/>
                <w:color w:val="000000" w:themeColor="text1"/>
                <w:kern w:val="0"/>
                <w:szCs w:val="21"/>
                <w:lang w:val="en-US" w:eastAsia="zh-CN"/>
                <w14:textFill>
                  <w14:solidFill>
                    <w14:schemeClr w14:val="tx1"/>
                  </w14:solidFill>
                </w14:textFill>
              </w:rPr>
              <w:t>变更后本项目</w:t>
            </w:r>
            <w:r>
              <w:rPr>
                <w:rFonts w:hint="eastAsia" w:ascii="Times New Roman" w:hAnsi="Times New Roman" w:cs="Times New Roman"/>
                <w:b/>
                <w:color w:val="000000" w:themeColor="text1"/>
                <w:kern w:val="0"/>
                <w:szCs w:val="21"/>
                <w14:textFill>
                  <w14:solidFill>
                    <w14:schemeClr w14:val="tx1"/>
                  </w14:solidFill>
                </w14:textFill>
              </w:rPr>
              <w:t>建设内容</w:t>
            </w:r>
          </w:p>
        </w:tc>
        <w:tc>
          <w:tcPr>
            <w:tcW w:w="279" w:type="pct"/>
            <w:tcBorders>
              <w:left w:val="single" w:color="auto" w:sz="4" w:space="0"/>
            </w:tcBorders>
            <w:noWrap w:val="0"/>
            <w:vAlign w:val="center"/>
          </w:tcPr>
          <w:p w14:paraId="283D361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kern w:val="0"/>
                <w:szCs w:val="21"/>
                <w14:textFill>
                  <w14:solidFill>
                    <w14:schemeClr w14:val="tx1"/>
                  </w14:solidFill>
                </w14:textFill>
              </w:rPr>
            </w:pPr>
            <w:r>
              <w:rPr>
                <w:rFonts w:hint="eastAsia" w:ascii="Times New Roman" w:hAnsi="Times New Roman" w:cs="Times New Roman"/>
                <w:b/>
                <w:color w:val="000000" w:themeColor="text1"/>
                <w:kern w:val="0"/>
                <w:szCs w:val="21"/>
                <w14:textFill>
                  <w14:solidFill>
                    <w14:schemeClr w14:val="tx1"/>
                  </w14:solidFill>
                </w14:textFill>
              </w:rPr>
              <w:t>备注</w:t>
            </w:r>
          </w:p>
        </w:tc>
      </w:tr>
      <w:tr w14:paraId="30F58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restart"/>
            <w:noWrap w:val="0"/>
            <w:vAlign w:val="center"/>
          </w:tcPr>
          <w:p w14:paraId="7D74BA8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b/>
                <w:bCs/>
                <w:color w:val="000000" w:themeColor="text1"/>
                <w:kern w:val="0"/>
                <w:szCs w:val="21"/>
                <w:lang w:val="en-US" w:eastAsia="zh-CN"/>
                <w14:textFill>
                  <w14:solidFill>
                    <w14:schemeClr w14:val="tx1"/>
                  </w14:solidFill>
                </w14:textFill>
              </w:rPr>
              <w:t>主体工程</w:t>
            </w:r>
          </w:p>
        </w:tc>
        <w:tc>
          <w:tcPr>
            <w:tcW w:w="394" w:type="pct"/>
            <w:vMerge w:val="restart"/>
            <w:noWrap w:val="0"/>
            <w:vAlign w:val="center"/>
          </w:tcPr>
          <w:p w14:paraId="35917FC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井巷工程</w:t>
            </w:r>
          </w:p>
        </w:tc>
        <w:tc>
          <w:tcPr>
            <w:tcW w:w="1989" w:type="pct"/>
            <w:tcBorders>
              <w:right w:val="single" w:color="auto" w:sz="4" w:space="0"/>
            </w:tcBorders>
            <w:noWrap w:val="0"/>
            <w:vAlign w:val="center"/>
          </w:tcPr>
          <w:p w14:paraId="5932B6EE">
            <w:pPr>
              <w:pStyle w:val="29"/>
              <w:keepNext w:val="0"/>
              <w:keepLines w:val="0"/>
              <w:suppressLineNumbers w:val="0"/>
              <w:spacing w:before="0" w:beforeAutospacing="0" w:afterAutospacing="0"/>
              <w:ind w:left="0" w:right="0"/>
              <w:jc w:val="both"/>
              <w:rPr>
                <w:rFonts w:hint="default"/>
                <w:lang w:val="en-US" w:eastAsia="zh-CN"/>
              </w:rPr>
            </w:pPr>
            <w:r>
              <w:rPr>
                <w:rFonts w:hint="default"/>
                <w:sz w:val="21"/>
                <w:szCs w:val="21"/>
                <w:lang w:val="en-US" w:eastAsia="zh-CN"/>
              </w:rPr>
              <w:t>箕斗井（主井），采用300mm砼支护形式，井筒净直径4.20m，净断面13.85m</w:t>
            </w:r>
            <w:r>
              <w:rPr>
                <w:rFonts w:hint="default"/>
                <w:sz w:val="21"/>
                <w:szCs w:val="21"/>
                <w:vertAlign w:val="superscript"/>
                <w:lang w:val="en-US" w:eastAsia="zh-CN"/>
              </w:rPr>
              <w:t>2</w:t>
            </w:r>
            <w:r>
              <w:rPr>
                <w:rFonts w:hint="default"/>
                <w:sz w:val="21"/>
                <w:szCs w:val="21"/>
                <w:lang w:val="en-US" w:eastAsia="zh-CN"/>
              </w:rPr>
              <w:t>，掘进断面18.09m</w:t>
            </w:r>
            <w:r>
              <w:rPr>
                <w:rFonts w:hint="default"/>
                <w:sz w:val="21"/>
                <w:szCs w:val="21"/>
                <w:vertAlign w:val="superscript"/>
                <w:lang w:val="en-US" w:eastAsia="zh-CN"/>
              </w:rPr>
              <w:t>2</w:t>
            </w:r>
            <w:r>
              <w:rPr>
                <w:rFonts w:hint="default"/>
                <w:sz w:val="21"/>
                <w:szCs w:val="21"/>
                <w:lang w:val="en-US" w:eastAsia="zh-CN"/>
              </w:rPr>
              <w:t>，深度230m（含井窝25m），断面为圆形，井筒内装备一套4.0m</w:t>
            </w:r>
            <w:r>
              <w:rPr>
                <w:rFonts w:hint="default"/>
                <w:sz w:val="21"/>
                <w:szCs w:val="21"/>
                <w:vertAlign w:val="superscript"/>
                <w:lang w:val="en-US" w:eastAsia="zh-CN"/>
              </w:rPr>
              <w:t>3</w:t>
            </w:r>
            <w:r>
              <w:rPr>
                <w:rFonts w:hint="default"/>
                <w:sz w:val="21"/>
                <w:szCs w:val="21"/>
                <w:lang w:val="en-US" w:eastAsia="zh-CN"/>
              </w:rPr>
              <w:t>翻转式箕斗配平衡锤的提升系统，承担全部矿石的提升任务。箕斗竖井中心坐标：X=</w:t>
            </w:r>
            <w:r>
              <w:rPr>
                <w:rFonts w:hint="default" w:ascii="Times New Roman" w:hAnsi="Times New Roman" w:cs="Times New Roman"/>
                <w:color w:val="000000" w:themeColor="text1"/>
                <w:szCs w:val="21"/>
                <w14:textFill>
                  <w14:solidFill>
                    <w14:schemeClr w14:val="tx1"/>
                  </w14:solidFill>
                </w14:textFill>
              </w:rPr>
              <w:t>********</w:t>
            </w:r>
            <w:r>
              <w:rPr>
                <w:rFonts w:hint="default"/>
                <w:sz w:val="21"/>
                <w:szCs w:val="21"/>
                <w:lang w:val="en-US" w:eastAsia="zh-CN"/>
              </w:rPr>
              <w:t>、Y=</w:t>
            </w:r>
            <w:r>
              <w:rPr>
                <w:rFonts w:hint="default" w:ascii="Times New Roman" w:hAnsi="Times New Roman" w:cs="Times New Roman"/>
                <w:color w:val="000000" w:themeColor="text1"/>
                <w:szCs w:val="21"/>
                <w14:textFill>
                  <w14:solidFill>
                    <w14:schemeClr w14:val="tx1"/>
                  </w14:solidFill>
                </w14:textFill>
              </w:rPr>
              <w:t>********</w:t>
            </w:r>
            <w:r>
              <w:rPr>
                <w:rFonts w:hint="default"/>
                <w:sz w:val="21"/>
                <w:szCs w:val="21"/>
                <w:lang w:val="en-US" w:eastAsia="zh-CN"/>
              </w:rPr>
              <w:t>，井口标高1238m。</w:t>
            </w:r>
          </w:p>
        </w:tc>
        <w:tc>
          <w:tcPr>
            <w:tcW w:w="2158" w:type="pct"/>
            <w:tcBorders>
              <w:right w:val="single" w:color="auto" w:sz="4" w:space="0"/>
            </w:tcBorders>
            <w:shd w:val="clear" w:color="auto" w:fill="auto"/>
            <w:noWrap w:val="0"/>
            <w:vAlign w:val="center"/>
          </w:tcPr>
          <w:p w14:paraId="7988186B">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箕斗井（主</w:t>
            </w:r>
            <w:r>
              <w:rPr>
                <w:rFonts w:hint="default" w:ascii="Times New Roman" w:hAnsi="Times New Roman" w:cs="Times New Roman"/>
                <w:color w:val="000000" w:themeColor="text1"/>
                <w14:textFill>
                  <w14:solidFill>
                    <w14:schemeClr w14:val="tx1"/>
                  </w14:solidFill>
                </w14:textFill>
              </w:rPr>
              <w:t>井</w:t>
            </w:r>
            <w:r>
              <w:rPr>
                <w:rFonts w:hint="eastAsia" w:ascii="Times New Roman" w:hAnsi="Times New Roman" w:cs="Times New Roman"/>
                <w:color w:val="000000" w:themeColor="text1"/>
                <w14:textFill>
                  <w14:solidFill>
                    <w14:schemeClr w14:val="tx1"/>
                  </w14:solidFill>
                </w14:textFill>
              </w:rPr>
              <w:t>），采用</w:t>
            </w: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mm砼支护形式，</w:t>
            </w:r>
            <w:r>
              <w:rPr>
                <w:rFonts w:hint="eastAsia" w:ascii="Times New Roman" w:hAnsi="Times New Roman" w:cs="Times New Roman"/>
                <w:color w:val="000000" w:themeColor="text1"/>
                <w14:textFill>
                  <w14:solidFill>
                    <w14:schemeClr w14:val="tx1"/>
                  </w14:solidFill>
                </w14:textFill>
              </w:rPr>
              <w:t>井筒</w:t>
            </w:r>
            <w:r>
              <w:rPr>
                <w:rFonts w:hint="default" w:ascii="Times New Roman" w:hAnsi="Times New Roman" w:cs="Times New Roman"/>
                <w:color w:val="000000" w:themeColor="text1"/>
                <w14:textFill>
                  <w14:solidFill>
                    <w14:schemeClr w14:val="tx1"/>
                  </w14:solidFill>
                </w14:textFill>
              </w:rPr>
              <w:t>净直径4.20m，</w:t>
            </w:r>
            <w:r>
              <w:rPr>
                <w:rFonts w:hint="eastAsia" w:ascii="Times New Roman" w:hAnsi="Times New Roman" w:cs="Times New Roman"/>
                <w:color w:val="000000" w:themeColor="text1"/>
                <w14:textFill>
                  <w14:solidFill>
                    <w14:schemeClr w14:val="tx1"/>
                  </w14:solidFill>
                </w14:textFill>
              </w:rPr>
              <w:t>净断面</w:t>
            </w:r>
            <w:r>
              <w:rPr>
                <w:rFonts w:hint="default" w:ascii="Times New Roman" w:hAnsi="Times New Roman" w:cs="Times New Roman"/>
                <w:color w:val="000000" w:themeColor="text1"/>
                <w14:textFill>
                  <w14:solidFill>
                    <w14:schemeClr w14:val="tx1"/>
                  </w14:solidFill>
                </w14:textFill>
              </w:rPr>
              <w:t>13.85</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，掘进断面</w:t>
            </w:r>
            <w:r>
              <w:rPr>
                <w:rFonts w:hint="default" w:ascii="Times New Roman" w:hAnsi="Times New Roman" w:cs="Times New Roman"/>
                <w:color w:val="000000" w:themeColor="text1"/>
                <w14:textFill>
                  <w14:solidFill>
                    <w14:schemeClr w14:val="tx1"/>
                  </w14:solidFill>
                </w14:textFill>
              </w:rPr>
              <w:t>18.09</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，深度230m（含井窝25m），断面为圆形，井筒内装备一套4.0m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翻转式箕斗配平衡锤的提升系统，</w:t>
            </w:r>
            <w:r>
              <w:rPr>
                <w:rFonts w:hint="default" w:ascii="Times New Roman" w:hAnsi="Times New Roman" w:cs="Times New Roman"/>
                <w:color w:val="000000" w:themeColor="text1"/>
                <w14:textFill>
                  <w14:solidFill>
                    <w14:schemeClr w14:val="tx1"/>
                  </w14:solidFill>
                </w14:textFill>
              </w:rPr>
              <w:t>承担全部矿石的提升任务</w:t>
            </w:r>
            <w:r>
              <w:rPr>
                <w:rFonts w:hint="eastAsia" w:ascii="Times New Roman" w:hAnsi="Times New Roman" w:cs="Times New Roman"/>
                <w:color w:val="000000" w:themeColor="text1"/>
                <w14:textFill>
                  <w14:solidFill>
                    <w14:schemeClr w14:val="tx1"/>
                  </w14:solidFill>
                </w14:textFill>
              </w:rPr>
              <w:t>。箕斗</w:t>
            </w:r>
            <w:r>
              <w:rPr>
                <w:rFonts w:hint="default" w:ascii="Times New Roman" w:hAnsi="Times New Roman" w:cs="Times New Roman"/>
                <w:color w:val="000000" w:themeColor="text1"/>
                <w14:textFill>
                  <w14:solidFill>
                    <w14:schemeClr w14:val="tx1"/>
                  </w14:solidFill>
                </w14:textFill>
              </w:rPr>
              <w:t>竖井中心坐标：X=</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、Y=</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，井口标高1238m</w:t>
            </w:r>
            <w:r>
              <w:rPr>
                <w:rFonts w:hint="eastAsia" w:ascii="Times New Roman" w:hAnsi="Times New Roman" w:cs="Times New Roman"/>
                <w:color w:val="000000" w:themeColor="text1"/>
                <w14:textFill>
                  <w14:solidFill>
                    <w14:schemeClr w14:val="tx1"/>
                  </w14:solidFill>
                </w14:textFill>
              </w:rPr>
              <w:t>。箕斗井（主</w:t>
            </w:r>
            <w:r>
              <w:rPr>
                <w:rFonts w:hint="default" w:ascii="Times New Roman" w:hAnsi="Times New Roman" w:cs="Times New Roman"/>
                <w:color w:val="000000" w:themeColor="text1"/>
                <w14:textFill>
                  <w14:solidFill>
                    <w14:schemeClr w14:val="tx1"/>
                  </w14:solidFill>
                </w14:textFill>
              </w:rPr>
              <w:t>井</w:t>
            </w:r>
            <w:r>
              <w:rPr>
                <w:rFonts w:hint="eastAsia"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利用现有井进行延深改造。</w:t>
            </w:r>
          </w:p>
        </w:tc>
        <w:tc>
          <w:tcPr>
            <w:tcW w:w="279" w:type="pct"/>
            <w:tcBorders>
              <w:left w:val="single" w:color="auto" w:sz="4" w:space="0"/>
            </w:tcBorders>
            <w:noWrap w:val="0"/>
            <w:vAlign w:val="center"/>
          </w:tcPr>
          <w:p w14:paraId="2A2F0E2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利旧/改造</w:t>
            </w:r>
          </w:p>
        </w:tc>
      </w:tr>
      <w:tr w14:paraId="4884B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70C1548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394" w:type="pct"/>
            <w:vMerge w:val="continue"/>
            <w:noWrap w:val="0"/>
            <w:vAlign w:val="center"/>
          </w:tcPr>
          <w:p w14:paraId="3AAC51C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p>
        </w:tc>
        <w:tc>
          <w:tcPr>
            <w:tcW w:w="1989" w:type="pct"/>
            <w:tcBorders>
              <w:right w:val="single" w:color="auto" w:sz="4" w:space="0"/>
            </w:tcBorders>
            <w:noWrap w:val="0"/>
            <w:vAlign w:val="center"/>
          </w:tcPr>
          <w:p w14:paraId="12C671C2">
            <w:pPr>
              <w:keepNext w:val="0"/>
              <w:keepLines w:val="0"/>
              <w:suppressLineNumbers w:val="0"/>
              <w:spacing w:before="0" w:beforeAutospacing="0" w:after="0" w:afterAutospacing="0" w:line="360" w:lineRule="exact"/>
              <w:ind w:left="0" w:right="0"/>
              <w:jc w:val="both"/>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罐笼井（副</w:t>
            </w:r>
            <w:r>
              <w:rPr>
                <w:rFonts w:hint="default" w:ascii="Times New Roman" w:hAnsi="Times New Roman" w:cs="Times New Roman"/>
                <w:color w:val="000000" w:themeColor="text1"/>
                <w14:textFill>
                  <w14:solidFill>
                    <w14:schemeClr w14:val="tx1"/>
                  </w14:solidFill>
                </w14:textFill>
              </w:rPr>
              <w:t>井</w:t>
            </w:r>
            <w:r>
              <w:rPr>
                <w:rFonts w:hint="eastAsia" w:ascii="Times New Roman" w:hAnsi="Times New Roman" w:cs="Times New Roman"/>
                <w:color w:val="000000" w:themeColor="text1"/>
                <w14:textFill>
                  <w14:solidFill>
                    <w14:schemeClr w14:val="tx1"/>
                  </w14:solidFill>
                </w14:textFill>
              </w:rPr>
              <w:t>），井筒</w:t>
            </w:r>
            <w:r>
              <w:rPr>
                <w:rFonts w:hint="default" w:ascii="Times New Roman" w:hAnsi="Times New Roman" w:cs="Times New Roman"/>
                <w:color w:val="000000" w:themeColor="text1"/>
                <w14:textFill>
                  <w14:solidFill>
                    <w14:schemeClr w14:val="tx1"/>
                  </w14:solidFill>
                </w14:textFill>
              </w:rPr>
              <w:t>净直径5m，</w:t>
            </w:r>
            <w:r>
              <w:rPr>
                <w:rFonts w:hint="eastAsia" w:ascii="Times New Roman" w:hAnsi="Times New Roman" w:cs="Times New Roman"/>
                <w:color w:val="000000" w:themeColor="text1"/>
                <w14:textFill>
                  <w14:solidFill>
                    <w14:schemeClr w14:val="tx1"/>
                  </w14:solidFill>
                </w14:textFill>
              </w:rPr>
              <w:t>净断面1</w:t>
            </w:r>
            <w:r>
              <w:rPr>
                <w:rFonts w:hint="default" w:ascii="Times New Roman" w:hAnsi="Times New Roman" w:cs="Times New Roman"/>
                <w:color w:val="000000" w:themeColor="text1"/>
                <w14:textFill>
                  <w14:solidFill>
                    <w14:schemeClr w14:val="tx1"/>
                  </w14:solidFill>
                </w14:textFill>
              </w:rPr>
              <w:t>9.63</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，掘进断面2</w:t>
            </w:r>
            <w:r>
              <w:rPr>
                <w:rFonts w:hint="default" w:ascii="Times New Roman" w:hAnsi="Times New Roman" w:cs="Times New Roman"/>
                <w:color w:val="000000" w:themeColor="text1"/>
                <w14:textFill>
                  <w14:solidFill>
                    <w14:schemeClr w14:val="tx1"/>
                  </w14:solidFill>
                </w14:textFill>
              </w:rPr>
              <w:t>4.62</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深度225m（含井窝15m），断面为圆形，井筒内装备一套5</w:t>
            </w:r>
            <w:r>
              <w:rPr>
                <w:rFonts w:hint="default" w:ascii="Times New Roman" w:hAnsi="Times New Roman" w:cs="Times New Roman"/>
                <w:color w:val="000000" w:themeColor="text1"/>
                <w:vertAlign w:val="superscript"/>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单绳</w:t>
            </w:r>
            <w:r>
              <w:rPr>
                <w:rFonts w:hint="eastAsia" w:ascii="Times New Roman" w:hAnsi="Times New Roman" w:cs="Times New Roman"/>
                <w:color w:val="000000" w:themeColor="text1"/>
                <w14:textFill>
                  <w14:solidFill>
                    <w14:schemeClr w14:val="tx1"/>
                  </w14:solidFill>
                </w14:textFill>
              </w:rPr>
              <w:t>单</w:t>
            </w:r>
            <w:r>
              <w:rPr>
                <w:rFonts w:hint="default" w:ascii="Times New Roman" w:hAnsi="Times New Roman" w:cs="Times New Roman"/>
                <w:color w:val="000000" w:themeColor="text1"/>
                <w14:textFill>
                  <w14:solidFill>
                    <w14:schemeClr w14:val="tx1"/>
                  </w14:solidFill>
                </w14:textFill>
              </w:rPr>
              <w:t>层罐笼配平衡锤的提升系统</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承担全部废石</w:t>
            </w:r>
            <w:r>
              <w:rPr>
                <w:rFonts w:hint="eastAsia" w:ascii="Times New Roman" w:hAnsi="Times New Roman" w:cs="Times New Roman"/>
                <w:color w:val="000000" w:themeColor="text1"/>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人员、设备、材料的提升任务</w:t>
            </w:r>
            <w:r>
              <w:rPr>
                <w:rFonts w:hint="eastAsia" w:ascii="Times New Roman" w:hAnsi="Times New Roman" w:cs="Times New Roman"/>
                <w:color w:val="000000" w:themeColor="text1"/>
                <w14:textFill>
                  <w14:solidFill>
                    <w14:schemeClr w14:val="tx1"/>
                  </w14:solidFill>
                </w14:textFill>
              </w:rPr>
              <w:t>。罐笼</w:t>
            </w:r>
            <w:r>
              <w:rPr>
                <w:rFonts w:hint="default" w:ascii="Times New Roman" w:hAnsi="Times New Roman" w:cs="Times New Roman"/>
                <w:color w:val="000000" w:themeColor="text1"/>
                <w14:textFill>
                  <w14:solidFill>
                    <w14:schemeClr w14:val="tx1"/>
                  </w14:solidFill>
                </w14:textFill>
              </w:rPr>
              <w:t>竖井</w:t>
            </w:r>
            <w:r>
              <w:rPr>
                <w:rFonts w:hint="eastAsia" w:ascii="Times New Roman" w:hAnsi="Times New Roman" w:cs="Times New Roman"/>
                <w:color w:val="000000" w:themeColor="text1"/>
                <w14:textFill>
                  <w14:solidFill>
                    <w14:schemeClr w14:val="tx1"/>
                  </w14:solidFill>
                </w14:textFill>
              </w:rPr>
              <w:t>井筒</w:t>
            </w:r>
            <w:r>
              <w:rPr>
                <w:rFonts w:hint="default" w:ascii="Times New Roman" w:hAnsi="Times New Roman" w:cs="Times New Roman"/>
                <w:color w:val="000000" w:themeColor="text1"/>
                <w14:textFill>
                  <w14:solidFill>
                    <w14:schemeClr w14:val="tx1"/>
                  </w14:solidFill>
                </w14:textFill>
              </w:rPr>
              <w:t>中心坐标：X=</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、Y=</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，井口标高1240m</w:t>
            </w:r>
            <w:r>
              <w:rPr>
                <w:rFonts w:hint="eastAsia" w:ascii="Times New Roman" w:hAnsi="Times New Roman" w:cs="Times New Roman"/>
                <w:color w:val="000000" w:themeColor="text1"/>
                <w14:textFill>
                  <w14:solidFill>
                    <w14:schemeClr w14:val="tx1"/>
                  </w14:solidFill>
                </w14:textFill>
              </w:rPr>
              <w:t>。</w:t>
            </w:r>
          </w:p>
        </w:tc>
        <w:tc>
          <w:tcPr>
            <w:tcW w:w="2158" w:type="pct"/>
            <w:tcBorders>
              <w:right w:val="single" w:color="auto" w:sz="4" w:space="0"/>
            </w:tcBorders>
            <w:shd w:val="clear" w:color="auto" w:fill="auto"/>
            <w:noWrap w:val="0"/>
            <w:vAlign w:val="center"/>
          </w:tcPr>
          <w:p w14:paraId="4FDE4A49">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罐笼井（副</w:t>
            </w:r>
            <w:r>
              <w:rPr>
                <w:rFonts w:hint="default" w:ascii="Times New Roman" w:hAnsi="Times New Roman" w:cs="Times New Roman"/>
                <w:color w:val="000000" w:themeColor="text1"/>
                <w14:textFill>
                  <w14:solidFill>
                    <w14:schemeClr w14:val="tx1"/>
                  </w14:solidFill>
                </w14:textFill>
              </w:rPr>
              <w:t>井</w:t>
            </w:r>
            <w:r>
              <w:rPr>
                <w:rFonts w:hint="eastAsia" w:ascii="Times New Roman" w:hAnsi="Times New Roman" w:cs="Times New Roman"/>
                <w:color w:val="000000" w:themeColor="text1"/>
                <w14:textFill>
                  <w14:solidFill>
                    <w14:schemeClr w14:val="tx1"/>
                  </w14:solidFill>
                </w14:textFill>
              </w:rPr>
              <w:t>），井筒</w:t>
            </w:r>
            <w:r>
              <w:rPr>
                <w:rFonts w:hint="default" w:ascii="Times New Roman" w:hAnsi="Times New Roman" w:cs="Times New Roman"/>
                <w:color w:val="000000" w:themeColor="text1"/>
                <w14:textFill>
                  <w14:solidFill>
                    <w14:schemeClr w14:val="tx1"/>
                  </w14:solidFill>
                </w14:textFill>
              </w:rPr>
              <w:t>净直径5m，</w:t>
            </w:r>
            <w:r>
              <w:rPr>
                <w:rFonts w:hint="eastAsia" w:ascii="Times New Roman" w:hAnsi="Times New Roman" w:cs="Times New Roman"/>
                <w:color w:val="000000" w:themeColor="text1"/>
                <w14:textFill>
                  <w14:solidFill>
                    <w14:schemeClr w14:val="tx1"/>
                  </w14:solidFill>
                </w14:textFill>
              </w:rPr>
              <w:t>净断面1</w:t>
            </w:r>
            <w:r>
              <w:rPr>
                <w:rFonts w:hint="default" w:ascii="Times New Roman" w:hAnsi="Times New Roman" w:cs="Times New Roman"/>
                <w:color w:val="000000" w:themeColor="text1"/>
                <w14:textFill>
                  <w14:solidFill>
                    <w14:schemeClr w14:val="tx1"/>
                  </w14:solidFill>
                </w14:textFill>
              </w:rPr>
              <w:t>9.63</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，掘进断面2</w:t>
            </w:r>
            <w:r>
              <w:rPr>
                <w:rFonts w:hint="default" w:ascii="Times New Roman" w:hAnsi="Times New Roman" w:cs="Times New Roman"/>
                <w:color w:val="000000" w:themeColor="text1"/>
                <w14:textFill>
                  <w14:solidFill>
                    <w14:schemeClr w14:val="tx1"/>
                  </w14:solidFill>
                </w14:textFill>
              </w:rPr>
              <w:t>4.62</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深度225m（含井窝15m），断面为圆形，井筒内装备一套5</w:t>
            </w:r>
            <w:r>
              <w:rPr>
                <w:rFonts w:hint="default" w:ascii="Times New Roman" w:hAnsi="Times New Roman" w:cs="Times New Roman"/>
                <w:color w:val="000000" w:themeColor="text1"/>
                <w:vertAlign w:val="superscript"/>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单绳</w:t>
            </w:r>
            <w:r>
              <w:rPr>
                <w:rFonts w:hint="eastAsia" w:ascii="Times New Roman" w:hAnsi="Times New Roman" w:cs="Times New Roman"/>
                <w:color w:val="000000" w:themeColor="text1"/>
                <w14:textFill>
                  <w14:solidFill>
                    <w14:schemeClr w14:val="tx1"/>
                  </w14:solidFill>
                </w14:textFill>
              </w:rPr>
              <w:t>单</w:t>
            </w:r>
            <w:r>
              <w:rPr>
                <w:rFonts w:hint="default" w:ascii="Times New Roman" w:hAnsi="Times New Roman" w:cs="Times New Roman"/>
                <w:color w:val="000000" w:themeColor="text1"/>
                <w14:textFill>
                  <w14:solidFill>
                    <w14:schemeClr w14:val="tx1"/>
                  </w14:solidFill>
                </w14:textFill>
              </w:rPr>
              <w:t>层罐笼配平衡锤的提升系统</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承担全部废石</w:t>
            </w:r>
            <w:r>
              <w:rPr>
                <w:rFonts w:hint="eastAsia" w:ascii="Times New Roman" w:hAnsi="Times New Roman" w:cs="Times New Roman"/>
                <w:color w:val="000000" w:themeColor="text1"/>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人员、设备、材料的提升任务</w:t>
            </w:r>
            <w:r>
              <w:rPr>
                <w:rFonts w:hint="eastAsia" w:ascii="Times New Roman" w:hAnsi="Times New Roman" w:cs="Times New Roman"/>
                <w:color w:val="000000" w:themeColor="text1"/>
                <w14:textFill>
                  <w14:solidFill>
                    <w14:schemeClr w14:val="tx1"/>
                  </w14:solidFill>
                </w14:textFill>
              </w:rPr>
              <w:t>。罐笼</w:t>
            </w:r>
            <w:r>
              <w:rPr>
                <w:rFonts w:hint="default" w:ascii="Times New Roman" w:hAnsi="Times New Roman" w:cs="Times New Roman"/>
                <w:color w:val="000000" w:themeColor="text1"/>
                <w14:textFill>
                  <w14:solidFill>
                    <w14:schemeClr w14:val="tx1"/>
                  </w14:solidFill>
                </w14:textFill>
              </w:rPr>
              <w:t>竖井</w:t>
            </w:r>
            <w:r>
              <w:rPr>
                <w:rFonts w:hint="eastAsia" w:ascii="Times New Roman" w:hAnsi="Times New Roman" w:cs="Times New Roman"/>
                <w:color w:val="000000" w:themeColor="text1"/>
                <w14:textFill>
                  <w14:solidFill>
                    <w14:schemeClr w14:val="tx1"/>
                  </w14:solidFill>
                </w14:textFill>
              </w:rPr>
              <w:t>井筒</w:t>
            </w:r>
            <w:r>
              <w:rPr>
                <w:rFonts w:hint="default" w:ascii="Times New Roman" w:hAnsi="Times New Roman" w:cs="Times New Roman"/>
                <w:color w:val="000000" w:themeColor="text1"/>
                <w14:textFill>
                  <w14:solidFill>
                    <w14:schemeClr w14:val="tx1"/>
                  </w14:solidFill>
                </w14:textFill>
              </w:rPr>
              <w:t>中心坐标：X=</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、Y=</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，井口标高1240m</w:t>
            </w:r>
            <w:r>
              <w:rPr>
                <w:rFonts w:hint="eastAsia" w:ascii="Times New Roman" w:hAnsi="Times New Roman" w:cs="Times New Roman"/>
                <w:color w:val="000000" w:themeColor="text1"/>
                <w14:textFill>
                  <w14:solidFill>
                    <w14:schemeClr w14:val="tx1"/>
                  </w14:solidFill>
                </w14:textFill>
              </w:rPr>
              <w:t>。罐笼井（副井）利用原有竖井并进行延深改造</w:t>
            </w:r>
            <w:r>
              <w:rPr>
                <w:rFonts w:hint="eastAsia" w:cs="Times New Roman"/>
                <w:color w:val="000000" w:themeColor="text1"/>
                <w:lang w:eastAsia="zh-CN"/>
                <w14:textFill>
                  <w14:solidFill>
                    <w14:schemeClr w14:val="tx1"/>
                  </w14:solidFill>
                </w14:textFill>
              </w:rPr>
              <w:t>。</w:t>
            </w:r>
          </w:p>
        </w:tc>
        <w:tc>
          <w:tcPr>
            <w:tcW w:w="279" w:type="pct"/>
            <w:tcBorders>
              <w:left w:val="single" w:color="auto" w:sz="4" w:space="0"/>
            </w:tcBorders>
            <w:noWrap w:val="0"/>
            <w:vAlign w:val="center"/>
          </w:tcPr>
          <w:p w14:paraId="24856BF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利旧/改造</w:t>
            </w:r>
          </w:p>
        </w:tc>
      </w:tr>
      <w:tr w14:paraId="4C8C1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423E9A1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vMerge w:val="continue"/>
            <w:noWrap w:val="0"/>
            <w:vAlign w:val="center"/>
          </w:tcPr>
          <w:p w14:paraId="0F585DC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989" w:type="pct"/>
            <w:tcBorders>
              <w:right w:val="single" w:color="auto" w:sz="4" w:space="0"/>
            </w:tcBorders>
            <w:noWrap w:val="0"/>
            <w:vAlign w:val="center"/>
          </w:tcPr>
          <w:p w14:paraId="4C4FA1E0">
            <w:pPr>
              <w:keepNext w:val="0"/>
              <w:keepLines w:val="0"/>
              <w:suppressLineNumbers w:val="0"/>
              <w:spacing w:before="0" w:beforeAutospacing="0" w:after="0" w:afterAutospacing="0" w:line="360" w:lineRule="exact"/>
              <w:ind w:left="0" w:right="0"/>
              <w:jc w:val="both"/>
              <w:rPr>
                <w:rFonts w:hint="eastAsia"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4个中段</w:t>
            </w:r>
            <w:r>
              <w:rPr>
                <w:rFonts w:hint="eastAsia" w:ascii="Times New Roman" w:hAnsi="Times New Roman" w:cs="Times New Roman"/>
                <w:color w:val="000000" w:themeColor="text1"/>
                <w14:textFill>
                  <w14:solidFill>
                    <w14:schemeClr w14:val="tx1"/>
                  </w14:solidFill>
                </w14:textFill>
              </w:rPr>
              <w:t>巷道</w:t>
            </w:r>
            <w:r>
              <w:rPr>
                <w:rFonts w:hint="default" w:ascii="Times New Roman" w:hAnsi="Times New Roman" w:cs="Times New Roman"/>
                <w:color w:val="000000" w:themeColor="text1"/>
                <w14:textFill>
                  <w14:solidFill>
                    <w14:schemeClr w14:val="tx1"/>
                  </w14:solidFill>
                </w14:textFill>
              </w:rPr>
              <w:t>，各中段标高分别为1187m、1144m、1080m、1030m。</w:t>
            </w:r>
            <w:r>
              <w:rPr>
                <w:rFonts w:hint="eastAsia" w:ascii="Times New Roman" w:hAnsi="Times New Roman" w:cs="Times New Roman"/>
                <w:color w:val="000000" w:themeColor="text1"/>
                <w14:textFill>
                  <w14:solidFill>
                    <w14:schemeClr w14:val="tx1"/>
                  </w14:solidFill>
                </w14:textFill>
              </w:rPr>
              <w:t>各中段均采用7</w:t>
            </w:r>
            <w:r>
              <w:rPr>
                <w:rFonts w:hint="default" w:ascii="Times New Roman" w:hAnsi="Times New Roman" w:cs="Times New Roman"/>
                <w:color w:val="000000" w:themeColor="text1"/>
                <w14:textFill>
                  <w14:solidFill>
                    <w14:schemeClr w14:val="tx1"/>
                  </w14:solidFill>
                </w14:textFill>
              </w:rPr>
              <w:t>0</w:t>
            </w:r>
            <w:r>
              <w:rPr>
                <w:rFonts w:hint="eastAsia" w:ascii="Times New Roman" w:hAnsi="Times New Roman" w:cs="Times New Roman"/>
                <w:color w:val="000000" w:themeColor="text1"/>
                <w14:textFill>
                  <w14:solidFill>
                    <w14:schemeClr w14:val="tx1"/>
                  </w14:solidFill>
                </w14:textFill>
              </w:rPr>
              <w:t>mm喷砼支护形式，净断面均为7</w:t>
            </w:r>
            <w:r>
              <w:rPr>
                <w:rFonts w:hint="default" w:ascii="Times New Roman" w:hAnsi="Times New Roman" w:cs="Times New Roman"/>
                <w:color w:val="000000" w:themeColor="text1"/>
                <w14:textFill>
                  <w14:solidFill>
                    <w14:schemeClr w14:val="tx1"/>
                  </w14:solidFill>
                </w14:textFill>
              </w:rPr>
              <w:t>.46</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，掘进断面均为8</w:t>
            </w:r>
            <w:r>
              <w:rPr>
                <w:rFonts w:hint="default" w:ascii="Times New Roman" w:hAnsi="Times New Roman" w:cs="Times New Roman"/>
                <w:color w:val="000000" w:themeColor="text1"/>
                <w14:textFill>
                  <w14:solidFill>
                    <w14:schemeClr w14:val="tx1"/>
                  </w14:solidFill>
                </w14:textFill>
              </w:rPr>
              <w:t>.68</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tc>
        <w:tc>
          <w:tcPr>
            <w:tcW w:w="2158" w:type="pct"/>
            <w:tcBorders>
              <w:right w:val="single" w:color="auto" w:sz="4" w:space="0"/>
            </w:tcBorders>
            <w:shd w:val="clear" w:color="auto" w:fill="auto"/>
            <w:noWrap w:val="0"/>
            <w:vAlign w:val="center"/>
          </w:tcPr>
          <w:p w14:paraId="3853055F">
            <w:pPr>
              <w:keepNext w:val="0"/>
              <w:keepLines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4个中段</w:t>
            </w:r>
            <w:r>
              <w:rPr>
                <w:rFonts w:hint="eastAsia" w:ascii="Times New Roman" w:hAnsi="Times New Roman" w:cs="Times New Roman"/>
                <w:color w:val="000000" w:themeColor="text1"/>
                <w14:textFill>
                  <w14:solidFill>
                    <w14:schemeClr w14:val="tx1"/>
                  </w14:solidFill>
                </w14:textFill>
              </w:rPr>
              <w:t>巷道</w:t>
            </w:r>
            <w:r>
              <w:rPr>
                <w:rFonts w:hint="default" w:ascii="Times New Roman" w:hAnsi="Times New Roman" w:cs="Times New Roman"/>
                <w:color w:val="000000" w:themeColor="text1"/>
                <w14:textFill>
                  <w14:solidFill>
                    <w14:schemeClr w14:val="tx1"/>
                  </w14:solidFill>
                </w14:textFill>
              </w:rPr>
              <w:t>，各中段标高分别为1187m、1144m、1080m、1030m。</w:t>
            </w:r>
            <w:r>
              <w:rPr>
                <w:rFonts w:hint="eastAsia" w:ascii="Times New Roman" w:hAnsi="Times New Roman" w:cs="Times New Roman"/>
                <w:color w:val="000000" w:themeColor="text1"/>
                <w14:textFill>
                  <w14:solidFill>
                    <w14:schemeClr w14:val="tx1"/>
                  </w14:solidFill>
                </w14:textFill>
              </w:rPr>
              <w:t>各中段均采用7</w:t>
            </w:r>
            <w:r>
              <w:rPr>
                <w:rFonts w:hint="default" w:ascii="Times New Roman" w:hAnsi="Times New Roman" w:cs="Times New Roman"/>
                <w:color w:val="000000" w:themeColor="text1"/>
                <w14:textFill>
                  <w14:solidFill>
                    <w14:schemeClr w14:val="tx1"/>
                  </w14:solidFill>
                </w14:textFill>
              </w:rPr>
              <w:t>0</w:t>
            </w:r>
            <w:r>
              <w:rPr>
                <w:rFonts w:hint="eastAsia" w:ascii="Times New Roman" w:hAnsi="Times New Roman" w:cs="Times New Roman"/>
                <w:color w:val="000000" w:themeColor="text1"/>
                <w14:textFill>
                  <w14:solidFill>
                    <w14:schemeClr w14:val="tx1"/>
                  </w14:solidFill>
                </w14:textFill>
              </w:rPr>
              <w:t>mm喷砼支护形式，净断面均为7</w:t>
            </w:r>
            <w:r>
              <w:rPr>
                <w:rFonts w:hint="default" w:ascii="Times New Roman" w:hAnsi="Times New Roman" w:cs="Times New Roman"/>
                <w:color w:val="000000" w:themeColor="text1"/>
                <w14:textFill>
                  <w14:solidFill>
                    <w14:schemeClr w14:val="tx1"/>
                  </w14:solidFill>
                </w14:textFill>
              </w:rPr>
              <w:t>.46</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，掘进断面均为8</w:t>
            </w:r>
            <w:r>
              <w:rPr>
                <w:rFonts w:hint="default" w:ascii="Times New Roman" w:hAnsi="Times New Roman" w:cs="Times New Roman"/>
                <w:color w:val="000000" w:themeColor="text1"/>
                <w14:textFill>
                  <w14:solidFill>
                    <w14:schemeClr w14:val="tx1"/>
                  </w14:solidFill>
                </w14:textFill>
              </w:rPr>
              <w:t>.68</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tc>
        <w:tc>
          <w:tcPr>
            <w:tcW w:w="279" w:type="pct"/>
            <w:tcBorders>
              <w:left w:val="single" w:color="auto" w:sz="4" w:space="0"/>
            </w:tcBorders>
            <w:noWrap w:val="0"/>
            <w:vAlign w:val="center"/>
          </w:tcPr>
          <w:p w14:paraId="5F62D6B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1D0D8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69D897E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vMerge w:val="continue"/>
            <w:noWrap w:val="0"/>
            <w:vAlign w:val="center"/>
          </w:tcPr>
          <w:p w14:paraId="523E74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989" w:type="pct"/>
            <w:tcBorders>
              <w:right w:val="single" w:color="auto" w:sz="4" w:space="0"/>
            </w:tcBorders>
            <w:noWrap w:val="0"/>
            <w:vAlign w:val="center"/>
          </w:tcPr>
          <w:p w14:paraId="56C2C793">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20F616BA">
            <w:pPr>
              <w:keepNext w:val="0"/>
              <w:keepLines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1187m中段平巷</w:t>
            </w:r>
            <w:r>
              <w:rPr>
                <w:rFonts w:hint="eastAsia" w:cs="Times New Roman"/>
                <w:color w:val="000000" w:themeColor="text1"/>
                <w:lang w:eastAsia="zh-CN"/>
                <w14:textFill>
                  <w14:solidFill>
                    <w14:schemeClr w14:val="tx1"/>
                  </w14:solidFill>
                </w14:textFill>
              </w:rPr>
              <w:t>、1187m中段回风石门、1144m中段平巷、1144m中段倒段进风井、1144m中段倒段回风井、1144m中段回风石门、1080m中段运输平巷、1080m中段倒段进风井、1080m中段倒段回风井、1080m中段回风石门。</w:t>
            </w:r>
          </w:p>
        </w:tc>
        <w:tc>
          <w:tcPr>
            <w:tcW w:w="279" w:type="pct"/>
            <w:tcBorders>
              <w:left w:val="single" w:color="auto" w:sz="4" w:space="0"/>
            </w:tcBorders>
            <w:noWrap w:val="0"/>
            <w:vAlign w:val="center"/>
          </w:tcPr>
          <w:p w14:paraId="75B5BDEC">
            <w:pPr>
              <w:keepNext w:val="0"/>
              <w:keepLines w:val="0"/>
              <w:suppressLineNumbers w:val="0"/>
              <w:spacing w:before="0" w:beforeAutospacing="0" w:after="0" w:afterAutospacing="0" w:line="360" w:lineRule="exact"/>
              <w:ind w:left="0" w:right="0"/>
              <w:jc w:val="center"/>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新建</w:t>
            </w:r>
          </w:p>
        </w:tc>
      </w:tr>
      <w:tr w14:paraId="6CA1E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6047965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vMerge w:val="continue"/>
            <w:noWrap w:val="0"/>
            <w:vAlign w:val="center"/>
          </w:tcPr>
          <w:p w14:paraId="34D1A1D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989" w:type="pct"/>
            <w:tcBorders>
              <w:right w:val="single" w:color="auto" w:sz="4" w:space="0"/>
            </w:tcBorders>
            <w:noWrap w:val="0"/>
            <w:vAlign w:val="center"/>
          </w:tcPr>
          <w:p w14:paraId="78A968A5">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0718713A">
            <w:pPr>
              <w:keepNext w:val="0"/>
              <w:keepLines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地面至1187m中段斜坡道</w:t>
            </w:r>
            <w:r>
              <w:rPr>
                <w:rFonts w:hint="eastAsia" w:cs="Times New Roman"/>
                <w:color w:val="000000" w:themeColor="text1"/>
                <w:lang w:eastAsia="zh-CN"/>
                <w14:textFill>
                  <w14:solidFill>
                    <w14:schemeClr w14:val="tx1"/>
                  </w14:solidFill>
                </w14:textFill>
              </w:rPr>
              <w:t>、1187m中段至1144m中段斜坡道、1144m中段至1080m中段斜坡道，</w:t>
            </w:r>
            <w:r>
              <w:rPr>
                <w:rFonts w:hint="eastAsia" w:cs="Times New Roman"/>
                <w:color w:val="000000" w:themeColor="text1"/>
                <w:lang w:val="en-US" w:eastAsia="zh-CN"/>
                <w14:textFill>
                  <w14:solidFill>
                    <w14:schemeClr w14:val="tx1"/>
                  </w14:solidFill>
                </w14:textFill>
              </w:rPr>
              <w:t>喷砼支护。</w:t>
            </w:r>
          </w:p>
        </w:tc>
        <w:tc>
          <w:tcPr>
            <w:tcW w:w="279" w:type="pct"/>
            <w:tcBorders>
              <w:left w:val="single" w:color="auto" w:sz="4" w:space="0"/>
            </w:tcBorders>
            <w:noWrap w:val="0"/>
            <w:vAlign w:val="center"/>
          </w:tcPr>
          <w:p w14:paraId="05F97D32">
            <w:pPr>
              <w:keepNext w:val="0"/>
              <w:keepLines w:val="0"/>
              <w:suppressLineNumbers w:val="0"/>
              <w:spacing w:before="0" w:beforeAutospacing="0" w:after="0" w:afterAutospacing="0" w:line="360" w:lineRule="exact"/>
              <w:ind w:left="0" w:right="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新建</w:t>
            </w:r>
          </w:p>
        </w:tc>
      </w:tr>
      <w:tr w14:paraId="7345D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0BC3DCE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vMerge w:val="continue"/>
            <w:noWrap w:val="0"/>
            <w:vAlign w:val="center"/>
          </w:tcPr>
          <w:p w14:paraId="2BE2D1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p>
        </w:tc>
        <w:tc>
          <w:tcPr>
            <w:tcW w:w="1989" w:type="pct"/>
            <w:tcBorders>
              <w:right w:val="single" w:color="auto" w:sz="4" w:space="0"/>
            </w:tcBorders>
            <w:noWrap w:val="0"/>
            <w:vAlign w:val="center"/>
          </w:tcPr>
          <w:p w14:paraId="5057F1E9">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497303EF">
            <w:pPr>
              <w:keepNext w:val="0"/>
              <w:keepLines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各中段配电硐室</w:t>
            </w:r>
            <w:r>
              <w:rPr>
                <w:rFonts w:hint="eastAsia" w:cs="Times New Roman"/>
                <w:color w:val="000000" w:themeColor="text1"/>
                <w:lang w:eastAsia="zh-CN"/>
                <w14:textFill>
                  <w14:solidFill>
                    <w14:schemeClr w14:val="tx1"/>
                  </w14:solidFill>
                </w14:textFill>
              </w:rPr>
              <w:t>、1080m中段水泵房、1080m中段水仓、躲避硐。</w:t>
            </w:r>
          </w:p>
        </w:tc>
        <w:tc>
          <w:tcPr>
            <w:tcW w:w="279" w:type="pct"/>
            <w:tcBorders>
              <w:left w:val="single" w:color="auto" w:sz="4" w:space="0"/>
            </w:tcBorders>
            <w:noWrap w:val="0"/>
            <w:vAlign w:val="center"/>
          </w:tcPr>
          <w:p w14:paraId="017D5AFE">
            <w:pPr>
              <w:keepNext w:val="0"/>
              <w:keepLines w:val="0"/>
              <w:suppressLineNumbers w:val="0"/>
              <w:spacing w:before="0" w:beforeAutospacing="0" w:after="0" w:afterAutospacing="0" w:line="360" w:lineRule="exact"/>
              <w:ind w:left="0" w:right="0"/>
              <w:jc w:val="center"/>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新建</w:t>
            </w:r>
          </w:p>
        </w:tc>
      </w:tr>
      <w:tr w14:paraId="44F54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1DCA46F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4DF50F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排水系统</w:t>
            </w:r>
          </w:p>
        </w:tc>
        <w:tc>
          <w:tcPr>
            <w:tcW w:w="1989" w:type="pct"/>
            <w:tcBorders>
              <w:right w:val="single" w:color="auto" w:sz="4" w:space="0"/>
            </w:tcBorders>
            <w:noWrap w:val="0"/>
            <w:vAlign w:val="center"/>
          </w:tcPr>
          <w:p w14:paraId="195487F6">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采用集中排水，水仓和泵房设在</w:t>
            </w:r>
            <w:r>
              <w:rPr>
                <w:rFonts w:hint="default" w:ascii="Times New Roman" w:hAnsi="Times New Roman" w:cs="Times New Roman"/>
                <w:color w:val="000000" w:themeColor="text1"/>
                <w14:textFill>
                  <w14:solidFill>
                    <w14:schemeClr w14:val="tx1"/>
                  </w14:solidFill>
                </w14:textFill>
              </w:rPr>
              <w:t>900m中段井底车场附近，最大排水高度340m。井下涌水抽排至</w:t>
            </w:r>
            <w:r>
              <w:rPr>
                <w:rFonts w:hint="eastAsia" w:ascii="Times New Roman" w:hAnsi="Times New Roman" w:cs="Times New Roman"/>
                <w:color w:val="000000" w:themeColor="text1"/>
                <w14:textFill>
                  <w14:solidFill>
                    <w14:schemeClr w14:val="tx1"/>
                  </w14:solidFill>
                </w14:textFill>
              </w:rPr>
              <w:t>地表</w:t>
            </w:r>
            <w:r>
              <w:rPr>
                <w:rFonts w:hint="default" w:ascii="Times New Roman" w:hAnsi="Times New Roman" w:cs="Times New Roman"/>
                <w:color w:val="000000" w:themeColor="text1"/>
                <w14:textFill>
                  <w14:solidFill>
                    <w14:schemeClr w14:val="tx1"/>
                  </w14:solidFill>
                </w14:textFill>
              </w:rPr>
              <w:t>1240m</w:t>
            </w:r>
            <w:r>
              <w:rPr>
                <w:rFonts w:hint="eastAsia" w:cs="Times New Roman"/>
                <w:color w:val="000000" w:themeColor="text1"/>
                <w:lang w:eastAsia="zh-CN"/>
                <w14:textFill>
                  <w14:solidFill>
                    <w14:schemeClr w14:val="tx1"/>
                  </w14:solidFill>
                </w14:textFill>
              </w:rPr>
              <w:t>沉淀</w:t>
            </w:r>
            <w:r>
              <w:rPr>
                <w:rFonts w:hint="eastAsia" w:ascii="Times New Roman" w:hAnsi="Times New Roman" w:cs="Times New Roman"/>
                <w:color w:val="000000" w:themeColor="text1"/>
                <w14:textFill>
                  <w14:solidFill>
                    <w14:schemeClr w14:val="tx1"/>
                  </w14:solidFill>
                </w14:textFill>
              </w:rPr>
              <w:t>池。</w:t>
            </w:r>
            <w:r>
              <w:rPr>
                <w:rFonts w:hint="eastAsia" w:cs="Times New Roman"/>
                <w:color w:val="000000" w:themeColor="text1"/>
                <w:lang w:val="en-US" w:eastAsia="zh-CN"/>
                <w14:textFill>
                  <w14:solidFill>
                    <w14:schemeClr w14:val="tx1"/>
                  </w14:solidFill>
                </w14:textFill>
              </w:rPr>
              <w:t>沉淀池容积：800m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w:t>
            </w:r>
          </w:p>
        </w:tc>
        <w:tc>
          <w:tcPr>
            <w:tcW w:w="2158" w:type="pct"/>
            <w:tcBorders>
              <w:right w:val="single" w:color="auto" w:sz="4" w:space="0"/>
            </w:tcBorders>
            <w:shd w:val="clear" w:color="auto" w:fill="auto"/>
            <w:noWrap w:val="0"/>
            <w:vAlign w:val="center"/>
          </w:tcPr>
          <w:p w14:paraId="7DAB63DD">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采用集中排水，水仓和泵房设在</w:t>
            </w:r>
            <w:r>
              <w:rPr>
                <w:rFonts w:hint="default" w:ascii="Times New Roman" w:hAnsi="Times New Roman" w:cs="Times New Roman"/>
                <w:color w:val="000000" w:themeColor="text1"/>
                <w14:textFill>
                  <w14:solidFill>
                    <w14:schemeClr w14:val="tx1"/>
                  </w14:solidFill>
                </w14:textFill>
              </w:rPr>
              <w:t>900m中段井底车场附近，最大排水高度340m。井下涌水抽排至</w:t>
            </w:r>
            <w:r>
              <w:rPr>
                <w:rFonts w:hint="eastAsia" w:ascii="Times New Roman" w:hAnsi="Times New Roman" w:cs="Times New Roman"/>
                <w:color w:val="000000" w:themeColor="text1"/>
                <w14:textFill>
                  <w14:solidFill>
                    <w14:schemeClr w14:val="tx1"/>
                  </w14:solidFill>
                </w14:textFill>
              </w:rPr>
              <w:t>地表</w:t>
            </w:r>
            <w:r>
              <w:rPr>
                <w:rFonts w:hint="default" w:ascii="Times New Roman" w:hAnsi="Times New Roman" w:cs="Times New Roman"/>
                <w:color w:val="000000" w:themeColor="text1"/>
                <w14:textFill>
                  <w14:solidFill>
                    <w14:schemeClr w14:val="tx1"/>
                  </w14:solidFill>
                </w14:textFill>
              </w:rPr>
              <w:t>1240m</w:t>
            </w:r>
            <w:r>
              <w:rPr>
                <w:rFonts w:hint="eastAsia" w:cs="Times New Roman"/>
                <w:color w:val="000000" w:themeColor="text1"/>
                <w:lang w:eastAsia="zh-CN"/>
                <w14:textFill>
                  <w14:solidFill>
                    <w14:schemeClr w14:val="tx1"/>
                  </w14:solidFill>
                </w14:textFill>
              </w:rPr>
              <w:t>沉淀</w:t>
            </w:r>
            <w:r>
              <w:rPr>
                <w:rFonts w:hint="eastAsia" w:ascii="Times New Roman" w:hAnsi="Times New Roman" w:cs="Times New Roman"/>
                <w:color w:val="000000" w:themeColor="text1"/>
                <w14:textFill>
                  <w14:solidFill>
                    <w14:schemeClr w14:val="tx1"/>
                  </w14:solidFill>
                </w14:textFill>
              </w:rPr>
              <w:t>池。</w:t>
            </w:r>
            <w:r>
              <w:rPr>
                <w:rFonts w:hint="eastAsia" w:cs="Times New Roman"/>
                <w:color w:val="000000" w:themeColor="text1"/>
                <w:lang w:val="en-US" w:eastAsia="zh-CN"/>
                <w14:textFill>
                  <w14:solidFill>
                    <w14:schemeClr w14:val="tx1"/>
                  </w14:solidFill>
                </w14:textFill>
              </w:rPr>
              <w:t>沉淀池容积：800m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w:t>
            </w:r>
          </w:p>
        </w:tc>
        <w:tc>
          <w:tcPr>
            <w:tcW w:w="279" w:type="pct"/>
            <w:tcBorders>
              <w:left w:val="single" w:color="auto" w:sz="4" w:space="0"/>
            </w:tcBorders>
            <w:noWrap w:val="0"/>
            <w:vAlign w:val="center"/>
          </w:tcPr>
          <w:p w14:paraId="25DD0B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51CA46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restart"/>
            <w:noWrap w:val="0"/>
            <w:vAlign w:val="center"/>
          </w:tcPr>
          <w:p w14:paraId="13FC45E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b/>
                <w:bCs/>
                <w:color w:val="000000" w:themeColor="text1"/>
                <w:kern w:val="0"/>
                <w:szCs w:val="21"/>
                <w:lang w:val="en-US" w:eastAsia="zh-CN"/>
                <w14:textFill>
                  <w14:solidFill>
                    <w14:schemeClr w14:val="tx1"/>
                  </w14:solidFill>
                </w14:textFill>
              </w:rPr>
              <w:t>辅助工程</w:t>
            </w:r>
          </w:p>
        </w:tc>
        <w:tc>
          <w:tcPr>
            <w:tcW w:w="394" w:type="pct"/>
            <w:noWrap w:val="0"/>
            <w:vAlign w:val="center"/>
          </w:tcPr>
          <w:p w14:paraId="5B9A1F7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主竖井工业广场</w:t>
            </w:r>
          </w:p>
        </w:tc>
        <w:tc>
          <w:tcPr>
            <w:tcW w:w="1989" w:type="pct"/>
            <w:tcBorders>
              <w:right w:val="single" w:color="auto" w:sz="4" w:space="0"/>
            </w:tcBorders>
            <w:noWrap w:val="0"/>
            <w:vAlign w:val="center"/>
          </w:tcPr>
          <w:p w14:paraId="4F97E595">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kern w:val="0"/>
                <w:szCs w:val="21"/>
                <w14:textFill>
                  <w14:solidFill>
                    <w14:schemeClr w14:val="tx1"/>
                  </w14:solidFill>
                </w14:textFill>
              </w:rPr>
            </w:pPr>
            <w:r>
              <w:rPr>
                <w:rFonts w:hint="eastAsia" w:ascii="宋体" w:hAnsi="Times New Roman" w:cs="Times New Roman"/>
                <w:color w:val="000000" w:themeColor="text1"/>
                <w14:textFill>
                  <w14:solidFill>
                    <w14:schemeClr w14:val="tx1"/>
                  </w14:solidFill>
                </w14:textFill>
              </w:rPr>
              <w:t>包括主竖井、空压机房、信号室、竖井值班室、卷扬机房、综合值班室。总建筑面积为</w:t>
            </w:r>
            <w:r>
              <w:rPr>
                <w:rFonts w:hint="default" w:ascii="Times New Roman" w:hAnsi="Times New Roman" w:cs="Times New Roman"/>
                <w:color w:val="000000" w:themeColor="text1"/>
                <w14:textFill>
                  <w14:solidFill>
                    <w14:schemeClr w14:val="tx1"/>
                  </w14:solidFill>
                </w14:textFill>
              </w:rPr>
              <w:t>1900m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宋体" w:hAnsi="Times New Roman" w:cs="Times New Roman"/>
                <w:color w:val="000000" w:themeColor="text1"/>
                <w14:textFill>
                  <w14:solidFill>
                    <w14:schemeClr w14:val="tx1"/>
                  </w14:solidFill>
                </w14:textFill>
              </w:rPr>
              <w:t>，</w:t>
            </w:r>
            <w:r>
              <w:rPr>
                <w:rFonts w:hint="eastAsia" w:ascii="Times New Roman" w:hAnsi="Times New Roman" w:cs="Times New Roman"/>
                <w:bCs/>
                <w:color w:val="000000" w:themeColor="text1"/>
                <w14:textFill>
                  <w14:solidFill>
                    <w14:schemeClr w14:val="tx1"/>
                  </w14:solidFill>
                </w14:textFill>
              </w:rPr>
              <w:t>结构为钢结构及砖混结构</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包含地面硬化场地。</w:t>
            </w:r>
          </w:p>
        </w:tc>
        <w:tc>
          <w:tcPr>
            <w:tcW w:w="2158" w:type="pct"/>
            <w:tcBorders>
              <w:right w:val="single" w:color="auto" w:sz="4" w:space="0"/>
            </w:tcBorders>
            <w:shd w:val="clear" w:color="auto" w:fill="auto"/>
            <w:noWrap w:val="0"/>
            <w:vAlign w:val="center"/>
          </w:tcPr>
          <w:p w14:paraId="41C49579">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hAnsi="Times New Roman" w:cs="Times New Roman"/>
                <w:color w:val="000000" w:themeColor="text1"/>
                <w14:textFill>
                  <w14:solidFill>
                    <w14:schemeClr w14:val="tx1"/>
                  </w14:solidFill>
                </w14:textFill>
              </w:rPr>
              <w:t>包括主竖井、空压机房、信号室、竖井值班室、卷扬机房、综合值班室。总建筑面积为</w:t>
            </w:r>
            <w:r>
              <w:rPr>
                <w:rFonts w:hint="default" w:ascii="Times New Roman" w:hAnsi="Times New Roman" w:cs="Times New Roman"/>
                <w:color w:val="000000" w:themeColor="text1"/>
                <w14:textFill>
                  <w14:solidFill>
                    <w14:schemeClr w14:val="tx1"/>
                  </w14:solidFill>
                </w14:textFill>
              </w:rPr>
              <w:t>1900m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宋体" w:hAnsi="Times New Roman" w:cs="Times New Roman"/>
                <w:color w:val="000000" w:themeColor="text1"/>
                <w14:textFill>
                  <w14:solidFill>
                    <w14:schemeClr w14:val="tx1"/>
                  </w14:solidFill>
                </w14:textFill>
              </w:rPr>
              <w:t>，</w:t>
            </w:r>
            <w:r>
              <w:rPr>
                <w:rFonts w:hint="eastAsia" w:ascii="Times New Roman" w:hAnsi="Times New Roman" w:cs="Times New Roman"/>
                <w:bCs/>
                <w:color w:val="000000" w:themeColor="text1"/>
                <w14:textFill>
                  <w14:solidFill>
                    <w14:schemeClr w14:val="tx1"/>
                  </w14:solidFill>
                </w14:textFill>
              </w:rPr>
              <w:t>结构为钢结构及砖混结构</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包含地面硬化场地。</w:t>
            </w:r>
          </w:p>
        </w:tc>
        <w:tc>
          <w:tcPr>
            <w:tcW w:w="279" w:type="pct"/>
            <w:tcBorders>
              <w:left w:val="single" w:color="auto" w:sz="4" w:space="0"/>
            </w:tcBorders>
            <w:noWrap w:val="0"/>
            <w:vAlign w:val="center"/>
          </w:tcPr>
          <w:p w14:paraId="207A67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1DC85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5A52075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6045802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副竖井工业广场</w:t>
            </w:r>
          </w:p>
        </w:tc>
        <w:tc>
          <w:tcPr>
            <w:tcW w:w="1989" w:type="pct"/>
            <w:tcBorders>
              <w:right w:val="single" w:color="auto" w:sz="4" w:space="0"/>
            </w:tcBorders>
            <w:noWrap w:val="0"/>
            <w:vAlign w:val="center"/>
          </w:tcPr>
          <w:p w14:paraId="0174D14B">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包括副竖井、空压机房、信号室、竖井值班室、卷扬机房、综合值班室、生活区至井口廊道。总建筑面积为1700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，结构为钢结构及砖混结构，包含地面硬化场地。</w:t>
            </w:r>
          </w:p>
        </w:tc>
        <w:tc>
          <w:tcPr>
            <w:tcW w:w="2158" w:type="pct"/>
            <w:tcBorders>
              <w:right w:val="single" w:color="auto" w:sz="4" w:space="0"/>
            </w:tcBorders>
            <w:shd w:val="clear" w:color="auto" w:fill="auto"/>
            <w:noWrap w:val="0"/>
            <w:vAlign w:val="center"/>
          </w:tcPr>
          <w:p w14:paraId="70DB7AFD">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包括副竖井、空压机房、信号室、竖井值班室、卷扬机房、综合值班室、生活区至井口廊道。总建筑面积为1700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，结构为钢结构及砖混结构，包含地面硬化场地。</w:t>
            </w:r>
          </w:p>
        </w:tc>
        <w:tc>
          <w:tcPr>
            <w:tcW w:w="279" w:type="pct"/>
            <w:tcBorders>
              <w:left w:val="single" w:color="auto" w:sz="4" w:space="0"/>
            </w:tcBorders>
            <w:noWrap w:val="0"/>
            <w:vAlign w:val="center"/>
          </w:tcPr>
          <w:p w14:paraId="3054B4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41E51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493ECDC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360DE1B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西风井工业场地</w:t>
            </w:r>
          </w:p>
        </w:tc>
        <w:tc>
          <w:tcPr>
            <w:tcW w:w="1989" w:type="pct"/>
            <w:tcBorders>
              <w:right w:val="single" w:color="auto" w:sz="4" w:space="0"/>
            </w:tcBorders>
            <w:noWrap w:val="0"/>
            <w:vAlign w:val="center"/>
          </w:tcPr>
          <w:p w14:paraId="187426D5">
            <w:pPr>
              <w:keepNext w:val="0"/>
              <w:keepLines w:val="0"/>
              <w:suppressLineNumbers w:val="0"/>
              <w:spacing w:before="0" w:beforeAutospacing="0" w:after="0" w:afterAutospacing="0" w:line="360" w:lineRule="exact"/>
              <w:ind w:left="0" w:right="0"/>
              <w:jc w:val="both"/>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1D34BDE7">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规划2处西风井工业场地，总占地面积0.08h</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，建筑面积</w:t>
            </w:r>
            <w:r>
              <w:rPr>
                <w:rFonts w:hint="eastAsia" w:cs="Times New Roman"/>
                <w:color w:val="000000" w:themeColor="text1"/>
                <w:kern w:val="0"/>
                <w:szCs w:val="21"/>
                <w:lang w:val="en-US" w:eastAsia="zh-CN"/>
                <w14:textFill>
                  <w14:solidFill>
                    <w14:schemeClr w14:val="tx1"/>
                  </w14:solidFill>
                </w14:textFill>
              </w:rPr>
              <w:t>24</w:t>
            </w:r>
            <w:r>
              <w:rPr>
                <w:rFonts w:hint="eastAsia" w:ascii="Times New Roman" w:hAnsi="Times New Roman" w:cs="Times New Roman"/>
                <w:color w:val="000000" w:themeColor="text1"/>
                <w:kern w:val="0"/>
                <w:szCs w:val="21"/>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w:t>
            </w:r>
          </w:p>
          <w:p w14:paraId="41B49F60">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西风井1工业场地，位于02号勘查线与03号勘查线之间北侧，采用机械通风系统，井口附近设置通风机房、配电室</w:t>
            </w:r>
            <w:r>
              <w:rPr>
                <w:rFonts w:hint="eastAsia" w:cs="Times New Roman"/>
                <w:color w:val="000000" w:themeColor="text1"/>
                <w:kern w:val="0"/>
                <w:szCs w:val="21"/>
                <w:lang w:eastAsia="zh-CN"/>
                <w14:textFill>
                  <w14:solidFill>
                    <w14:schemeClr w14:val="tx1"/>
                  </w14:solidFill>
                </w14:textFill>
              </w:rPr>
              <w:t>、机修车间、油库</w:t>
            </w:r>
            <w:r>
              <w:rPr>
                <w:rFonts w:hint="eastAsia" w:ascii="Times New Roman" w:hAnsi="Times New Roman" w:cs="Times New Roman"/>
                <w:color w:val="000000" w:themeColor="text1"/>
                <w:kern w:val="0"/>
                <w:szCs w:val="21"/>
                <w14:textFill>
                  <w14:solidFill>
                    <w14:schemeClr w14:val="tx1"/>
                  </w14:solidFill>
                </w14:textFill>
              </w:rPr>
              <w:t>，建筑面积</w:t>
            </w:r>
            <w:r>
              <w:rPr>
                <w:rFonts w:hint="eastAsia" w:cs="Times New Roman"/>
                <w:color w:val="000000" w:themeColor="text1"/>
                <w:kern w:val="0"/>
                <w:szCs w:val="21"/>
                <w:lang w:val="en-US" w:eastAsia="zh-CN"/>
                <w14:textFill>
                  <w14:solidFill>
                    <w14:schemeClr w14:val="tx1"/>
                  </w14:solidFill>
                </w14:textFill>
              </w:rPr>
              <w:t>210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，建筑均为彩钢结构，包含地面硬化场地。</w:t>
            </w:r>
          </w:p>
          <w:p w14:paraId="75A0D837">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西风井</w:t>
            </w:r>
            <w:r>
              <w:rPr>
                <w:rFonts w:hint="default" w:ascii="Times New Roman" w:hAnsi="Times New Roman" w:cs="Times New Roman"/>
                <w:color w:val="000000" w:themeColor="text1"/>
                <w:kern w:val="0"/>
                <w:szCs w:val="21"/>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工业场地，</w:t>
            </w:r>
            <w:r>
              <w:rPr>
                <w:rFonts w:hint="default" w:ascii="Times New Roman" w:hAnsi="Times New Roman" w:cs="Times New Roman"/>
                <w:color w:val="000000" w:themeColor="text1"/>
                <w:kern w:val="0"/>
                <w:szCs w:val="21"/>
                <w14:textFill>
                  <w14:solidFill>
                    <w14:schemeClr w14:val="tx1"/>
                  </w14:solidFill>
                </w14:textFill>
              </w:rPr>
              <w:t>位于06号勘查线</w:t>
            </w:r>
            <w:r>
              <w:rPr>
                <w:rFonts w:hint="eastAsia" w:ascii="Times New Roman" w:hAnsi="Times New Roman" w:cs="Times New Roman"/>
                <w:color w:val="000000" w:themeColor="text1"/>
                <w:kern w:val="0"/>
                <w:szCs w:val="21"/>
                <w14:textFill>
                  <w14:solidFill>
                    <w14:schemeClr w14:val="tx1"/>
                  </w14:solidFill>
                </w14:textFill>
              </w:rPr>
              <w:t>西侧1</w:t>
            </w:r>
            <w:r>
              <w:rPr>
                <w:rFonts w:hint="default" w:ascii="Times New Roman" w:hAnsi="Times New Roman" w:cs="Times New Roman"/>
                <w:color w:val="000000" w:themeColor="text1"/>
                <w:kern w:val="0"/>
                <w:szCs w:val="21"/>
                <w14:textFill>
                  <w14:solidFill>
                    <w14:schemeClr w14:val="tx1"/>
                  </w14:solidFill>
                </w14:textFill>
              </w:rPr>
              <w:t>16</w:t>
            </w:r>
            <w:r>
              <w:rPr>
                <w:rFonts w:hint="eastAsia" w:ascii="Times New Roman" w:hAnsi="Times New Roman" w:cs="Times New Roman"/>
                <w:color w:val="000000" w:themeColor="text1"/>
                <w:kern w:val="0"/>
                <w:szCs w:val="21"/>
                <w14:textFill>
                  <w14:solidFill>
                    <w14:schemeClr w14:val="tx1"/>
                  </w14:solidFill>
                </w14:textFill>
              </w:rPr>
              <w:t>m处，采用机械通风系统，井口附近设置通风机房、配电室，建筑面积为30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，建筑均为彩钢结构，包含地面硬化场地。</w:t>
            </w:r>
          </w:p>
        </w:tc>
        <w:tc>
          <w:tcPr>
            <w:tcW w:w="279" w:type="pct"/>
            <w:tcBorders>
              <w:left w:val="single" w:color="auto" w:sz="4" w:space="0"/>
            </w:tcBorders>
            <w:noWrap w:val="0"/>
            <w:vAlign w:val="center"/>
          </w:tcPr>
          <w:p w14:paraId="5709C7D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新建</w:t>
            </w:r>
          </w:p>
        </w:tc>
      </w:tr>
      <w:tr w14:paraId="28B3C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42F37D0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24CEB10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pacing w:val="-6"/>
                <w:kern w:val="0"/>
                <w:szCs w:val="21"/>
                <w14:textFill>
                  <w14:solidFill>
                    <w14:schemeClr w14:val="tx1"/>
                  </w14:solidFill>
                </w14:textFill>
              </w:rPr>
              <w:t>生活办公区</w:t>
            </w:r>
          </w:p>
        </w:tc>
        <w:tc>
          <w:tcPr>
            <w:tcW w:w="1989" w:type="pct"/>
            <w:tcBorders>
              <w:right w:val="single" w:color="auto" w:sz="4" w:space="0"/>
            </w:tcBorders>
            <w:noWrap w:val="0"/>
            <w:vAlign w:val="center"/>
          </w:tcPr>
          <w:p w14:paraId="7F69FE4F">
            <w:pPr>
              <w:keepNext w:val="0"/>
              <w:keepLines w:val="0"/>
              <w:suppressLineNumbers w:val="0"/>
              <w:spacing w:before="0" w:beforeAutospacing="0" w:after="0" w:afterAutospacing="0" w:line="360" w:lineRule="exact"/>
              <w:ind w:left="0" w:right="0"/>
              <w:jc w:val="both"/>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olor w:val="auto"/>
                <w:sz w:val="21"/>
                <w:highlight w:val="none"/>
              </w:rPr>
              <w:t>选矿</w:t>
            </w:r>
            <w:r>
              <w:rPr>
                <w:rFonts w:hint="eastAsia" w:ascii="Times New Roman" w:hAnsi="Times New Roman"/>
                <w:color w:val="auto"/>
                <w:sz w:val="21"/>
                <w:highlight w:val="none"/>
                <w:lang w:eastAsia="zh-CN"/>
              </w:rPr>
              <w:t>办公室</w:t>
            </w:r>
            <w:r>
              <w:rPr>
                <w:rFonts w:hint="default" w:ascii="Times New Roman" w:hAnsi="Times New Roman"/>
                <w:color w:val="auto"/>
                <w:sz w:val="21"/>
                <w:highlight w:val="none"/>
              </w:rPr>
              <w:t>、职工宿舍、食堂及浴池</w:t>
            </w:r>
            <w:r>
              <w:rPr>
                <w:rFonts w:hint="eastAsia" w:ascii="Times New Roman" w:hAnsi="Times New Roman"/>
                <w:color w:val="auto"/>
                <w:sz w:val="21"/>
                <w:highlight w:val="none"/>
                <w:lang w:eastAsia="zh-CN"/>
              </w:rPr>
              <w:t>。</w:t>
            </w:r>
          </w:p>
        </w:tc>
        <w:tc>
          <w:tcPr>
            <w:tcW w:w="2158" w:type="pct"/>
            <w:tcBorders>
              <w:right w:val="single" w:color="auto" w:sz="4" w:space="0"/>
            </w:tcBorders>
            <w:shd w:val="clear" w:color="auto" w:fill="auto"/>
            <w:noWrap w:val="0"/>
            <w:vAlign w:val="center"/>
          </w:tcPr>
          <w:p w14:paraId="74736050">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依托选厂现有生活办公区。</w:t>
            </w:r>
          </w:p>
        </w:tc>
        <w:tc>
          <w:tcPr>
            <w:tcW w:w="279" w:type="pct"/>
            <w:tcBorders>
              <w:left w:val="single" w:color="auto" w:sz="4" w:space="0"/>
            </w:tcBorders>
            <w:noWrap w:val="0"/>
            <w:vAlign w:val="center"/>
          </w:tcPr>
          <w:p w14:paraId="26EDCD19">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依托</w:t>
            </w:r>
          </w:p>
        </w:tc>
      </w:tr>
      <w:tr w14:paraId="383C8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44BD24C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p>
        </w:tc>
        <w:tc>
          <w:tcPr>
            <w:tcW w:w="394" w:type="pct"/>
            <w:noWrap w:val="0"/>
            <w:vAlign w:val="center"/>
          </w:tcPr>
          <w:p w14:paraId="17BD6AF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6"/>
                <w:kern w:val="0"/>
                <w:szCs w:val="21"/>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矿石堆场</w:t>
            </w:r>
          </w:p>
        </w:tc>
        <w:tc>
          <w:tcPr>
            <w:tcW w:w="1989" w:type="pct"/>
            <w:tcBorders>
              <w:right w:val="single" w:color="auto" w:sz="4" w:space="0"/>
            </w:tcBorders>
            <w:noWrap w:val="0"/>
            <w:vAlign w:val="center"/>
          </w:tcPr>
          <w:p w14:paraId="52AB6241">
            <w:pPr>
              <w:keepNext w:val="0"/>
              <w:keepLines w:val="0"/>
              <w:suppressLineNumbers w:val="0"/>
              <w:spacing w:before="0" w:beforeAutospacing="0" w:after="0" w:afterAutospacing="0" w:line="360" w:lineRule="exact"/>
              <w:ind w:left="0" w:right="0"/>
              <w:jc w:val="both"/>
              <w:rPr>
                <w:rFonts w:hint="eastAsia" w:ascii="Times New Roman" w:hAnsi="Times New Roman" w:cs="Times New Roman"/>
                <w:color w:val="000000" w:themeColor="text1"/>
                <w:spacing w:val="-6"/>
                <w:kern w:val="0"/>
                <w:szCs w:val="21"/>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主竖井工业广场南侧建有2处矿石堆，矿石堆1占地面积0.92h</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spacing w:val="-6"/>
                <w:kern w:val="0"/>
                <w:szCs w:val="21"/>
                <w14:textFill>
                  <w14:solidFill>
                    <w14:schemeClr w14:val="tx1"/>
                  </w14:solidFill>
                </w14:textFill>
              </w:rPr>
              <w:t>，堆高约4m；现状矿石堆2占地面积1.03h</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spacing w:val="-6"/>
                <w:kern w:val="0"/>
                <w:szCs w:val="21"/>
                <w14:textFill>
                  <w14:solidFill>
                    <w14:schemeClr w14:val="tx1"/>
                  </w14:solidFill>
                </w14:textFill>
              </w:rPr>
              <w:t>，堆高约4m。</w:t>
            </w:r>
          </w:p>
        </w:tc>
        <w:tc>
          <w:tcPr>
            <w:tcW w:w="2158" w:type="pct"/>
            <w:tcBorders>
              <w:right w:val="single" w:color="auto" w:sz="4" w:space="0"/>
            </w:tcBorders>
            <w:shd w:val="clear" w:color="auto" w:fill="auto"/>
            <w:noWrap w:val="0"/>
            <w:vAlign w:val="center"/>
          </w:tcPr>
          <w:p w14:paraId="23C9A1FD">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spacing w:val="-6"/>
                <w:kern w:val="0"/>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拟将</w:t>
            </w:r>
            <w:r>
              <w:rPr>
                <w:rFonts w:hint="eastAsia" w:cs="Times New Roman"/>
                <w:color w:val="000000" w:themeColor="text1"/>
                <w:lang w:eastAsia="zh-CN"/>
                <w14:textFill>
                  <w14:solidFill>
                    <w14:schemeClr w14:val="tx1"/>
                  </w14:solidFill>
                </w14:textFill>
              </w:rPr>
              <w:t>已有</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处</w:t>
            </w:r>
            <w:r>
              <w:rPr>
                <w:rFonts w:hint="eastAsia" w:ascii="Times New Roman" w:hAnsi="Times New Roman" w:cs="Times New Roman"/>
                <w:color w:val="000000" w:themeColor="text1"/>
                <w:spacing w:val="-6"/>
                <w:kern w:val="0"/>
                <w:szCs w:val="21"/>
                <w14:textFill>
                  <w14:solidFill>
                    <w14:schemeClr w14:val="tx1"/>
                  </w14:solidFill>
                </w14:textFill>
              </w:rPr>
              <w:t>2处矿石堆</w:t>
            </w:r>
            <w:r>
              <w:rPr>
                <w:rFonts w:hint="eastAsia" w:ascii="Times New Roman" w:hAnsi="Times New Roman" w:cs="Times New Roman"/>
                <w:color w:val="000000" w:themeColor="text1"/>
                <w:spacing w:val="-6"/>
                <w:kern w:val="0"/>
                <w:szCs w:val="21"/>
                <w:lang w:val="en-US" w:eastAsia="zh-CN"/>
                <w14:textFill>
                  <w14:solidFill>
                    <w14:schemeClr w14:val="tx1"/>
                  </w14:solidFill>
                </w14:textFill>
              </w:rPr>
              <w:t>封场。</w:t>
            </w:r>
          </w:p>
        </w:tc>
        <w:tc>
          <w:tcPr>
            <w:tcW w:w="279" w:type="pct"/>
            <w:tcBorders>
              <w:left w:val="single" w:color="auto" w:sz="4" w:space="0"/>
            </w:tcBorders>
            <w:noWrap w:val="0"/>
            <w:vAlign w:val="center"/>
          </w:tcPr>
          <w:p w14:paraId="25A5470F">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pacing w:val="-6"/>
                <w:kern w:val="0"/>
                <w:szCs w:val="21"/>
                <w:lang w:eastAsia="zh-CN"/>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现有</w:t>
            </w:r>
            <w:r>
              <w:rPr>
                <w:rFonts w:hint="eastAsia" w:cs="Times New Roman"/>
                <w:color w:val="000000" w:themeColor="text1"/>
                <w:kern w:val="0"/>
                <w:szCs w:val="21"/>
                <w:lang w:eastAsia="zh-CN"/>
                <w14:textFill>
                  <w14:solidFill>
                    <w14:schemeClr w14:val="tx1"/>
                  </w14:solidFill>
                </w14:textFill>
              </w:rPr>
              <w:t>，</w:t>
            </w:r>
            <w:r>
              <w:rPr>
                <w:rFonts w:hint="eastAsia" w:ascii="宋体" w:hAnsi="宋体" w:cs="Times New Roman"/>
                <w:color w:val="000000" w:themeColor="text1"/>
                <w14:textFill>
                  <w14:solidFill>
                    <w14:schemeClr w14:val="tx1"/>
                  </w14:solidFill>
                </w14:textFill>
              </w:rPr>
              <w:t>计划封场</w:t>
            </w:r>
          </w:p>
        </w:tc>
      </w:tr>
      <w:tr w14:paraId="1E286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46C4813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p>
        </w:tc>
        <w:tc>
          <w:tcPr>
            <w:tcW w:w="394" w:type="pct"/>
            <w:vMerge w:val="restart"/>
            <w:noWrap w:val="0"/>
            <w:vAlign w:val="center"/>
          </w:tcPr>
          <w:p w14:paraId="7168C6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废石堆场</w:t>
            </w:r>
          </w:p>
        </w:tc>
        <w:tc>
          <w:tcPr>
            <w:tcW w:w="1989" w:type="pct"/>
            <w:tcBorders>
              <w:right w:val="single" w:color="auto" w:sz="4" w:space="0"/>
            </w:tcBorders>
            <w:noWrap w:val="0"/>
            <w:vAlign w:val="center"/>
          </w:tcPr>
          <w:p w14:paraId="0A362901">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已有</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处废石堆场，均位于主竖井、副竖井工业广场南侧，总占地面积</w:t>
            </w:r>
            <w:r>
              <w:rPr>
                <w:rFonts w:hint="default" w:ascii="Times New Roman" w:hAnsi="Times New Roman" w:cs="Times New Roman"/>
                <w:color w:val="000000" w:themeColor="text1"/>
                <w14:textFill>
                  <w14:solidFill>
                    <w14:schemeClr w14:val="tx1"/>
                  </w14:solidFill>
                </w14:textFill>
              </w:rPr>
              <w:t>1.19hm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，总堆放量约</w:t>
            </w:r>
            <w:r>
              <w:rPr>
                <w:rFonts w:hint="default" w:ascii="Times New Roman" w:hAnsi="Times New Roman" w:cs="Times New Roman"/>
                <w:color w:val="000000" w:themeColor="text1"/>
                <w14:textFill>
                  <w14:solidFill>
                    <w14:schemeClr w14:val="tx1"/>
                  </w14:solidFill>
                </w14:textFill>
              </w:rPr>
              <w:t>3.83</w:t>
            </w:r>
            <w:r>
              <w:rPr>
                <w:rFonts w:hint="eastAsia"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w:t>
            </w:r>
          </w:p>
          <w:p w14:paraId="56A6B29B">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szCs w:val="28"/>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废石堆场1占地面积0.78</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，堆高</w:t>
            </w:r>
            <w:r>
              <w:rPr>
                <w:rFonts w:hint="eastAsia" w:ascii="Times New Roman" w:hAnsi="Times New Roman" w:cs="Times New Roman"/>
                <w:color w:val="000000" w:themeColor="text1"/>
                <w:szCs w:val="28"/>
                <w14:textFill>
                  <w14:solidFill>
                    <w14:schemeClr w14:val="tx1"/>
                  </w14:solidFill>
                </w14:textFill>
              </w:rPr>
              <w:t>约4</w:t>
            </w:r>
            <w:r>
              <w:rPr>
                <w:rFonts w:hint="default"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szCs w:val="28"/>
                <w14:textFill>
                  <w14:solidFill>
                    <w14:schemeClr w14:val="tx1"/>
                  </w14:solidFill>
                </w14:textFill>
              </w:rPr>
              <w:t>，废渣石压实堆放，边坡角约30°，</w:t>
            </w:r>
            <w:r>
              <w:rPr>
                <w:rFonts w:hint="eastAsia" w:ascii="Times New Roman" w:hAnsi="Times New Roman" w:cs="Times New Roman"/>
                <w:color w:val="000000" w:themeColor="text1"/>
                <w14:textFill>
                  <w14:solidFill>
                    <w14:schemeClr w14:val="tx1"/>
                  </w14:solidFill>
                </w14:textFill>
              </w:rPr>
              <w:t>堆放量约2.51万</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szCs w:val="28"/>
                <w14:textFill>
                  <w14:solidFill>
                    <w14:schemeClr w14:val="tx1"/>
                  </w14:solidFill>
                </w14:textFill>
              </w:rPr>
              <w:t>。</w:t>
            </w:r>
          </w:p>
          <w:p w14:paraId="1B407C24">
            <w:pPr>
              <w:keepNext w:val="0"/>
              <w:keepLines w:val="0"/>
              <w:suppressLineNumbers w:val="0"/>
              <w:spacing w:before="0" w:beforeAutospacing="0" w:after="0" w:afterAutospacing="0" w:line="360" w:lineRule="exact"/>
              <w:ind w:left="0" w:right="0"/>
              <w:jc w:val="both"/>
              <w:rPr>
                <w:rFonts w:hint="eastAsia" w:ascii="宋体" w:hAnsi="宋体"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废石堆场2占地面积0.41</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，堆高</w:t>
            </w:r>
            <w:r>
              <w:rPr>
                <w:rFonts w:hint="eastAsia" w:ascii="Times New Roman" w:hAnsi="Times New Roman" w:cs="Times New Roman"/>
                <w:color w:val="000000" w:themeColor="text1"/>
                <w:szCs w:val="28"/>
                <w14:textFill>
                  <w14:solidFill>
                    <w14:schemeClr w14:val="tx1"/>
                  </w14:solidFill>
                </w14:textFill>
              </w:rPr>
              <w:t>约4</w:t>
            </w:r>
            <w:r>
              <w:rPr>
                <w:rFonts w:hint="default"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szCs w:val="28"/>
                <w14:textFill>
                  <w14:solidFill>
                    <w14:schemeClr w14:val="tx1"/>
                  </w14:solidFill>
                </w14:textFill>
              </w:rPr>
              <w:t>，废渣石压实堆放，边坡角约30°，</w:t>
            </w:r>
            <w:r>
              <w:rPr>
                <w:rFonts w:hint="eastAsia" w:ascii="Times New Roman" w:hAnsi="Times New Roman" w:cs="Times New Roman"/>
                <w:color w:val="000000" w:themeColor="text1"/>
                <w14:textFill>
                  <w14:solidFill>
                    <w14:schemeClr w14:val="tx1"/>
                  </w14:solidFill>
                </w14:textFill>
              </w:rPr>
              <w:t>堆放量约1.32万</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eastAsia="zh-CN"/>
                <w14:textFill>
                  <w14:solidFill>
                    <w14:schemeClr w14:val="tx1"/>
                  </w14:solidFill>
                </w14:textFill>
              </w:rPr>
              <w:t>。</w:t>
            </w:r>
          </w:p>
        </w:tc>
        <w:tc>
          <w:tcPr>
            <w:tcW w:w="2158" w:type="pct"/>
            <w:tcBorders>
              <w:right w:val="single" w:color="auto" w:sz="4" w:space="0"/>
            </w:tcBorders>
            <w:shd w:val="clear" w:color="auto" w:fill="auto"/>
            <w:noWrap w:val="0"/>
            <w:vAlign w:val="center"/>
          </w:tcPr>
          <w:p w14:paraId="08FD7303">
            <w:pPr>
              <w:keepNext w:val="0"/>
              <w:keepLines w:val="0"/>
              <w:suppressLineNumbers w:val="0"/>
              <w:spacing w:before="0" w:beforeAutospacing="0" w:after="0" w:afterAutospacing="0" w:line="360" w:lineRule="exact"/>
              <w:ind w:left="0" w:leftChars="0" w:right="0" w:rightChars="0"/>
              <w:jc w:val="both"/>
              <w:rPr>
                <w:rFonts w:hint="eastAsia" w:ascii="宋体" w:hAnsi="宋体"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拟将</w:t>
            </w:r>
            <w:r>
              <w:rPr>
                <w:rFonts w:hint="eastAsia" w:cs="Times New Roman"/>
                <w:color w:val="000000" w:themeColor="text1"/>
                <w:lang w:eastAsia="zh-CN"/>
                <w14:textFill>
                  <w14:solidFill>
                    <w14:schemeClr w14:val="tx1"/>
                  </w14:solidFill>
                </w14:textFill>
              </w:rPr>
              <w:t>已有</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处废石堆场</w:t>
            </w:r>
            <w:r>
              <w:rPr>
                <w:rFonts w:hint="eastAsia" w:ascii="Times New Roman" w:hAnsi="Times New Roman" w:cs="Times New Roman"/>
                <w:color w:val="000000" w:themeColor="text1"/>
                <w:lang w:val="en-US" w:eastAsia="zh-CN"/>
                <w14:textFill>
                  <w14:solidFill>
                    <w14:schemeClr w14:val="tx1"/>
                  </w14:solidFill>
                </w14:textFill>
              </w:rPr>
              <w:t>封场。</w:t>
            </w:r>
          </w:p>
        </w:tc>
        <w:tc>
          <w:tcPr>
            <w:tcW w:w="279" w:type="pct"/>
            <w:tcBorders>
              <w:left w:val="single" w:color="auto" w:sz="4" w:space="0"/>
            </w:tcBorders>
            <w:noWrap w:val="0"/>
            <w:vAlign w:val="center"/>
          </w:tcPr>
          <w:p w14:paraId="60851E70">
            <w:pPr>
              <w:keepNext w:val="0"/>
              <w:keepLines w:val="0"/>
              <w:suppressLineNumbers w:val="0"/>
              <w:spacing w:before="0" w:beforeAutospacing="0" w:after="0" w:afterAutospacing="0" w:line="360" w:lineRule="exact"/>
              <w:ind w:left="0" w:right="0"/>
              <w:jc w:val="left"/>
              <w:rPr>
                <w:rFonts w:hint="eastAsia" w:ascii="宋体" w:hAnsi="宋体"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现有，计划封场</w:t>
            </w:r>
          </w:p>
        </w:tc>
      </w:tr>
      <w:tr w14:paraId="78651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1EA4034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394" w:type="pct"/>
            <w:vMerge w:val="continue"/>
            <w:noWrap w:val="0"/>
            <w:vAlign w:val="center"/>
          </w:tcPr>
          <w:p w14:paraId="043CCE9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p>
        </w:tc>
        <w:tc>
          <w:tcPr>
            <w:tcW w:w="1989" w:type="pct"/>
            <w:tcBorders>
              <w:right w:val="single" w:color="auto" w:sz="4" w:space="0"/>
            </w:tcBorders>
            <w:noWrap w:val="0"/>
            <w:vAlign w:val="center"/>
          </w:tcPr>
          <w:p w14:paraId="03A85484">
            <w:pPr>
              <w:keepNext w:val="0"/>
              <w:keepLines w:val="0"/>
              <w:suppressLineNumbers w:val="0"/>
              <w:spacing w:before="0" w:beforeAutospacing="0" w:after="0" w:afterAutospacing="0" w:line="360" w:lineRule="exact"/>
              <w:ind w:left="0" w:right="0"/>
              <w:jc w:val="both"/>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0714CB31">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规划2处</w:t>
            </w:r>
            <w:r>
              <w:rPr>
                <w:rFonts w:hint="eastAsia" w:cs="Times New Roman"/>
                <w:color w:val="000000" w:themeColor="text1"/>
                <w:lang w:eastAsia="zh-CN"/>
                <w14:textFill>
                  <w14:solidFill>
                    <w14:schemeClr w14:val="tx1"/>
                  </w14:solidFill>
                </w14:textFill>
              </w:rPr>
              <w:t>废石堆场</w:t>
            </w:r>
            <w:r>
              <w:rPr>
                <w:rFonts w:hint="eastAsia" w:ascii="Times New Roman" w:hAnsi="Times New Roman" w:cs="Times New Roman"/>
                <w:color w:val="000000" w:themeColor="text1"/>
                <w14:textFill>
                  <w14:solidFill>
                    <w14:schemeClr w14:val="tx1"/>
                  </w14:solidFill>
                </w14:textFill>
              </w:rPr>
              <w:t>位于矿区中部道路两侧，总占地面积5.36hm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p w14:paraId="241A755B">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1号</w:t>
            </w:r>
            <w:r>
              <w:rPr>
                <w:rFonts w:hint="eastAsia" w:cs="Times New Roman"/>
                <w:color w:val="000000" w:themeColor="text1"/>
                <w:lang w:eastAsia="zh-CN"/>
                <w14:textFill>
                  <w14:solidFill>
                    <w14:schemeClr w14:val="tx1"/>
                  </w14:solidFill>
                </w14:textFill>
              </w:rPr>
              <w:t>废石堆场</w:t>
            </w:r>
            <w:r>
              <w:rPr>
                <w:rFonts w:hint="eastAsia" w:ascii="Times New Roman" w:hAnsi="Times New Roman" w:cs="Times New Roman"/>
                <w:color w:val="000000" w:themeColor="text1"/>
                <w14:textFill>
                  <w14:solidFill>
                    <w14:schemeClr w14:val="tx1"/>
                  </w14:solidFill>
                </w14:textFill>
              </w:rPr>
              <w:t>矿区中部道路南侧，总面积3.12</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，地势较平坦，地形坡度3-5</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，堆高8m，层高4m，安全平台2m，废渣石分层压实，边坡角约30</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，堆放容积19.6万</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w:t>
            </w:r>
          </w:p>
          <w:p w14:paraId="1D452DB5">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2号</w:t>
            </w:r>
            <w:r>
              <w:rPr>
                <w:rFonts w:hint="eastAsia" w:cs="Times New Roman"/>
                <w:color w:val="000000" w:themeColor="text1"/>
                <w:lang w:eastAsia="zh-CN"/>
                <w14:textFill>
                  <w14:solidFill>
                    <w14:schemeClr w14:val="tx1"/>
                  </w14:solidFill>
                </w14:textFill>
              </w:rPr>
              <w:t>废石堆场</w:t>
            </w:r>
            <w:r>
              <w:rPr>
                <w:rFonts w:hint="eastAsia" w:ascii="Times New Roman" w:hAnsi="Times New Roman" w:cs="Times New Roman"/>
                <w:color w:val="000000" w:themeColor="text1"/>
                <w14:textFill>
                  <w14:solidFill>
                    <w14:schemeClr w14:val="tx1"/>
                  </w14:solidFill>
                </w14:textFill>
              </w:rPr>
              <w:t>矿区中部道路北侧，总面积2.24</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，地势较平坦，地形坡度3-5</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，堆高8m，层高4m，安全平台2m，废渣石分层压实，边坡角约30</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，堆放容积14.2万</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w:t>
            </w:r>
          </w:p>
        </w:tc>
        <w:tc>
          <w:tcPr>
            <w:tcW w:w="279" w:type="pct"/>
            <w:tcBorders>
              <w:left w:val="single" w:color="auto" w:sz="4" w:space="0"/>
            </w:tcBorders>
            <w:noWrap w:val="0"/>
            <w:vAlign w:val="center"/>
          </w:tcPr>
          <w:p w14:paraId="20C0EDA5">
            <w:pPr>
              <w:keepNext w:val="0"/>
              <w:keepLines w:val="0"/>
              <w:suppressLineNumbers w:val="0"/>
              <w:spacing w:before="0" w:beforeAutospacing="0" w:after="0" w:afterAutospacing="0" w:line="360" w:lineRule="exact"/>
              <w:ind w:left="0" w:right="0"/>
              <w:jc w:val="center"/>
              <w:rPr>
                <w:rFonts w:hint="eastAsia" w:ascii="宋体" w:hAnsi="宋体"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新建</w:t>
            </w:r>
          </w:p>
        </w:tc>
      </w:tr>
      <w:tr w14:paraId="601D0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4121318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p>
        </w:tc>
        <w:tc>
          <w:tcPr>
            <w:tcW w:w="394" w:type="pct"/>
            <w:noWrap w:val="0"/>
            <w:vAlign w:val="center"/>
          </w:tcPr>
          <w:p w14:paraId="790C96F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爆破器材库</w:t>
            </w:r>
          </w:p>
        </w:tc>
        <w:tc>
          <w:tcPr>
            <w:tcW w:w="1989" w:type="pct"/>
            <w:tcBorders>
              <w:right w:val="single" w:color="auto" w:sz="4" w:space="0"/>
            </w:tcBorders>
            <w:noWrap w:val="0"/>
            <w:vAlign w:val="center"/>
          </w:tcPr>
          <w:p w14:paraId="45E99060">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爆破器材库</w:t>
            </w:r>
            <w:r>
              <w:rPr>
                <w:rFonts w:hint="eastAsia" w:ascii="Times New Roman" w:hAnsi="Times New Roman" w:cs="Times New Roman"/>
                <w:color w:val="000000" w:themeColor="text1"/>
                <w:kern w:val="0"/>
                <w:szCs w:val="21"/>
                <w14:textFill>
                  <w14:solidFill>
                    <w14:schemeClr w14:val="tx1"/>
                  </w14:solidFill>
                </w14:textFill>
              </w:rPr>
              <w:t>位于矿区东南方向界外约500m处，包括雷管库和炸药库，为砖混结构单层建筑，占地面积0</w:t>
            </w:r>
            <w:r>
              <w:rPr>
                <w:rFonts w:hint="default" w:ascii="Times New Roman" w:hAnsi="Times New Roman" w:cs="Times New Roman"/>
                <w:color w:val="000000" w:themeColor="text1"/>
                <w:kern w:val="0"/>
                <w:szCs w:val="21"/>
                <w14:textFill>
                  <w14:solidFill>
                    <w14:schemeClr w14:val="tx1"/>
                  </w14:solidFill>
                </w14:textFill>
              </w:rPr>
              <w:t>.54</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，建筑面积200m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，高度3.5m。</w:t>
            </w:r>
          </w:p>
        </w:tc>
        <w:tc>
          <w:tcPr>
            <w:tcW w:w="2158" w:type="pct"/>
            <w:tcBorders>
              <w:right w:val="single" w:color="auto" w:sz="4" w:space="0"/>
            </w:tcBorders>
            <w:shd w:val="clear" w:color="auto" w:fill="auto"/>
            <w:noWrap w:val="0"/>
            <w:vAlign w:val="center"/>
          </w:tcPr>
          <w:p w14:paraId="2DDA520D">
            <w:pPr>
              <w:keepNext w:val="0"/>
              <w:keepLines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爆破器材库</w:t>
            </w:r>
            <w:r>
              <w:rPr>
                <w:rFonts w:hint="eastAsia" w:ascii="Times New Roman" w:hAnsi="Times New Roman" w:cs="Times New Roman"/>
                <w:color w:val="000000" w:themeColor="text1"/>
                <w:kern w:val="0"/>
                <w:szCs w:val="21"/>
                <w14:textFill>
                  <w14:solidFill>
                    <w14:schemeClr w14:val="tx1"/>
                  </w14:solidFill>
                </w14:textFill>
              </w:rPr>
              <w:t>位于矿区东南方向界外约500m处，包括雷管库和炸药库，为砖混结构单层建筑，占地面积0</w:t>
            </w:r>
            <w:r>
              <w:rPr>
                <w:rFonts w:hint="default" w:ascii="Times New Roman" w:hAnsi="Times New Roman" w:cs="Times New Roman"/>
                <w:color w:val="000000" w:themeColor="text1"/>
                <w:kern w:val="0"/>
                <w:szCs w:val="21"/>
                <w14:textFill>
                  <w14:solidFill>
                    <w14:schemeClr w14:val="tx1"/>
                  </w14:solidFill>
                </w14:textFill>
              </w:rPr>
              <w:t>.54</w:t>
            </w:r>
            <w:r>
              <w:rPr>
                <w:rFonts w:hint="default" w:ascii="Times New Roman" w:hAnsi="Times New Roman" w:cs="Times New Roman"/>
                <w:color w:val="000000" w:themeColor="text1"/>
                <w14:textFill>
                  <w14:solidFill>
                    <w14:schemeClr w14:val="tx1"/>
                  </w14:solidFill>
                </w14:textFill>
              </w:rPr>
              <w:t>hm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，建筑面积200m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，高度3.5m。</w:t>
            </w:r>
          </w:p>
        </w:tc>
        <w:tc>
          <w:tcPr>
            <w:tcW w:w="279" w:type="pct"/>
            <w:tcBorders>
              <w:left w:val="single" w:color="auto" w:sz="4" w:space="0"/>
            </w:tcBorders>
            <w:noWrap w:val="0"/>
            <w:vAlign w:val="center"/>
          </w:tcPr>
          <w:p w14:paraId="6AAD26F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253BE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2C1ADB0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394" w:type="pct"/>
            <w:noWrap w:val="0"/>
            <w:vAlign w:val="center"/>
          </w:tcPr>
          <w:p w14:paraId="761AFB7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机修</w:t>
            </w:r>
          </w:p>
        </w:tc>
        <w:tc>
          <w:tcPr>
            <w:tcW w:w="1989" w:type="pct"/>
            <w:tcBorders>
              <w:right w:val="single" w:color="auto" w:sz="4" w:space="0"/>
            </w:tcBorders>
            <w:noWrap w:val="0"/>
            <w:vAlign w:val="center"/>
          </w:tcPr>
          <w:p w14:paraId="60776634">
            <w:pPr>
              <w:keepNext w:val="0"/>
              <w:keepLines w:val="0"/>
              <w:numPr>
                <w:ilvl w:val="0"/>
                <w:numId w:val="0"/>
              </w:numPr>
              <w:suppressLineNumbers w:val="0"/>
              <w:spacing w:before="0" w:beforeAutospacing="0" w:after="0" w:afterAutospacing="0" w:line="360" w:lineRule="exact"/>
              <w:ind w:left="0" w:right="0" w:rightChars="0"/>
              <w:jc w:val="both"/>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2A41B017">
            <w:pPr>
              <w:keepNext w:val="0"/>
              <w:keepLines w:val="0"/>
              <w:numPr>
                <w:ilvl w:val="0"/>
                <w:numId w:val="0"/>
              </w:numPr>
              <w:suppressLineNumbers w:val="0"/>
              <w:spacing w:before="0" w:beforeAutospacing="0" w:after="0" w:afterAutospacing="0" w:line="360" w:lineRule="exact"/>
              <w:ind w:left="0" w:right="0" w:rightChars="0"/>
              <w:jc w:val="both"/>
              <w:rPr>
                <w:rFonts w:hint="eastAsia"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val="zh-CN"/>
                <w14:textFill>
                  <w14:solidFill>
                    <w14:schemeClr w14:val="tx1"/>
                  </w14:solidFill>
                </w14:textFill>
              </w:rPr>
              <w:t>（</w:t>
            </w:r>
            <w:r>
              <w:rPr>
                <w:rFonts w:hint="eastAsia" w:cs="Times New Roman"/>
                <w:color w:val="000000" w:themeColor="text1"/>
                <w:kern w:val="0"/>
                <w:szCs w:val="21"/>
                <w:lang w:val="en-US" w:eastAsia="zh-CN"/>
                <w14:textFill>
                  <w14:solidFill>
                    <w14:schemeClr w14:val="tx1"/>
                  </w14:solidFill>
                </w14:textFill>
              </w:rPr>
              <w:t>1</w:t>
            </w:r>
            <w:r>
              <w:rPr>
                <w:rFonts w:hint="eastAsia" w:cs="Times New Roman"/>
                <w:color w:val="000000" w:themeColor="text1"/>
                <w:kern w:val="0"/>
                <w:szCs w:val="21"/>
                <w:lang w:val="zh-CN"/>
                <w14:textFill>
                  <w14:solidFill>
                    <w14:schemeClr w14:val="tx1"/>
                  </w14:solidFill>
                </w14:textFill>
              </w:rPr>
              <w:t>）</w:t>
            </w:r>
            <w:r>
              <w:rPr>
                <w:rFonts w:hint="default" w:ascii="Times New Roman" w:hAnsi="Times New Roman" w:cs="Times New Roman"/>
                <w:color w:val="000000" w:themeColor="text1"/>
                <w:kern w:val="0"/>
                <w:szCs w:val="21"/>
                <w:lang w:val="zh-CN"/>
                <w14:textFill>
                  <w14:solidFill>
                    <w14:schemeClr w14:val="tx1"/>
                  </w14:solidFill>
                </w14:textFill>
              </w:rPr>
              <w:t>机修</w:t>
            </w:r>
            <w:r>
              <w:rPr>
                <w:rFonts w:hint="eastAsia" w:cs="Times New Roman"/>
                <w:color w:val="000000" w:themeColor="text1"/>
                <w:kern w:val="0"/>
                <w:szCs w:val="21"/>
                <w:lang w:val="zh-CN"/>
                <w14:textFill>
                  <w14:solidFill>
                    <w14:schemeClr w14:val="tx1"/>
                  </w14:solidFill>
                </w14:textFill>
              </w:rPr>
              <w:t>车</w:t>
            </w:r>
            <w:r>
              <w:rPr>
                <w:rFonts w:hint="default" w:ascii="Times New Roman" w:hAnsi="Times New Roman" w:cs="Times New Roman"/>
                <w:color w:val="000000" w:themeColor="text1"/>
                <w:kern w:val="0"/>
                <w:szCs w:val="21"/>
                <w:lang w:val="zh-CN"/>
                <w14:textFill>
                  <w14:solidFill>
                    <w14:schemeClr w14:val="tx1"/>
                  </w14:solidFill>
                </w14:textFill>
              </w:rPr>
              <w:t>间</w:t>
            </w:r>
            <w:r>
              <w:rPr>
                <w:rFonts w:hint="eastAsia" w:cs="Times New Roman"/>
                <w:color w:val="000000" w:themeColor="text1"/>
                <w:kern w:val="0"/>
                <w:szCs w:val="21"/>
                <w:lang w:val="zh-CN"/>
                <w14:textFill>
                  <w14:solidFill>
                    <w14:schemeClr w14:val="tx1"/>
                  </w14:solidFill>
                </w14:textFill>
              </w:rPr>
              <w:t>：</w:t>
            </w:r>
            <w:r>
              <w:rPr>
                <w:rFonts w:hint="default" w:ascii="Times New Roman" w:hAnsi="Times New Roman" w:cs="Times New Roman"/>
                <w:color w:val="000000" w:themeColor="text1"/>
                <w:kern w:val="0"/>
                <w:szCs w:val="21"/>
                <w:lang w:val="zh-CN"/>
                <w14:textFill>
                  <w14:solidFill>
                    <w14:schemeClr w14:val="tx1"/>
                  </w14:solidFill>
                </w14:textFill>
              </w:rPr>
              <w:t>设在西风井1工业场地</w:t>
            </w:r>
            <w:r>
              <w:rPr>
                <w:rFonts w:hint="eastAsia" w:cs="Times New Roman"/>
                <w:color w:val="000000" w:themeColor="text1"/>
                <w:kern w:val="0"/>
                <w:szCs w:val="21"/>
                <w:lang w:val="zh-CN"/>
                <w14:textFill>
                  <w14:solidFill>
                    <w14:schemeClr w14:val="tx1"/>
                  </w14:solidFill>
                </w14:textFill>
              </w:rPr>
              <w:t>内</w:t>
            </w:r>
            <w:r>
              <w:rPr>
                <w:rFonts w:hint="default" w:ascii="Times New Roman" w:hAnsi="Times New Roman" w:cs="Times New Roman"/>
                <w:color w:val="000000" w:themeColor="text1"/>
                <w:kern w:val="0"/>
                <w:szCs w:val="21"/>
                <w:lang w:val="zh-CN"/>
                <w14:textFill>
                  <w14:solidFill>
                    <w14:schemeClr w14:val="tx1"/>
                  </w14:solidFill>
                </w14:textFill>
              </w:rPr>
              <w:t>，车间</w:t>
            </w:r>
            <w:r>
              <w:rPr>
                <w:rFonts w:hint="eastAsia" w:cs="Times New Roman"/>
                <w:color w:val="000000" w:themeColor="text1"/>
                <w:kern w:val="0"/>
                <w:szCs w:val="21"/>
                <w:lang w:val="zh-CN"/>
                <w14:textFill>
                  <w14:solidFill>
                    <w14:schemeClr w14:val="tx1"/>
                  </w14:solidFill>
                </w14:textFill>
              </w:rPr>
              <w:t>面积</w:t>
            </w:r>
            <w:r>
              <w:rPr>
                <w:rFonts w:hint="default" w:ascii="Times New Roman" w:hAnsi="Times New Roman" w:cs="Times New Roman"/>
                <w:color w:val="000000" w:themeColor="text1"/>
                <w:kern w:val="0"/>
                <w:szCs w:val="21"/>
                <w:lang w:val="zh-CN"/>
                <w14:textFill>
                  <w14:solidFill>
                    <w14:schemeClr w14:val="tx1"/>
                  </w14:solidFill>
                </w14:textFill>
              </w:rPr>
              <w:t>120m</w:t>
            </w:r>
            <w:r>
              <w:rPr>
                <w:rFonts w:hint="default" w:ascii="Times New Roman" w:hAnsi="Times New Roman" w:cs="Times New Roman"/>
                <w:color w:val="000000" w:themeColor="text1"/>
                <w:kern w:val="0"/>
                <w:szCs w:val="21"/>
                <w:vertAlign w:val="superscript"/>
                <w:lang w:val="zh-CN"/>
                <w14:textFill>
                  <w14:solidFill>
                    <w14:schemeClr w14:val="tx1"/>
                  </w14:solidFill>
                </w14:textFill>
              </w:rPr>
              <w:t>2</w:t>
            </w:r>
            <w:r>
              <w:rPr>
                <w:rFonts w:hint="default" w:ascii="Times New Roman" w:hAnsi="Times New Roman" w:cs="Times New Roman"/>
                <w:color w:val="000000" w:themeColor="text1"/>
                <w:kern w:val="0"/>
                <w:szCs w:val="21"/>
                <w:lang w:val="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配备ZA5032/1型Φ32圆柱立式钻床一台，BX1-250型交流弧焊机一台，SQ-1型砂轮切割机一台，2000×4000mm装配兼焊接平台一块，汽车检修坑1个，氧气瓶、乙炔瓶各10个</w:t>
            </w:r>
            <w:r>
              <w:rPr>
                <w:rFonts w:hint="eastAsia" w:cs="Times New Roman"/>
                <w:color w:val="000000" w:themeColor="text1"/>
                <w:kern w:val="0"/>
                <w:szCs w:val="21"/>
                <w:lang w:eastAsia="zh-CN"/>
                <w14:textFill>
                  <w14:solidFill>
                    <w14:schemeClr w14:val="tx1"/>
                  </w14:solidFill>
                </w14:textFill>
              </w:rPr>
              <w:t>。</w:t>
            </w:r>
          </w:p>
          <w:p w14:paraId="48A57003">
            <w:pPr>
              <w:keepNext w:val="0"/>
              <w:keepLines w:val="0"/>
              <w:numPr>
                <w:ilvl w:val="0"/>
                <w:numId w:val="0"/>
              </w:numPr>
              <w:suppressLineNumbers w:val="0"/>
              <w:spacing w:before="0" w:beforeAutospacing="0" w:after="0" w:afterAutospacing="0" w:line="360" w:lineRule="exact"/>
              <w:ind w:left="0" w:leftChars="0" w:right="0" w:rightChars="0" w:firstLine="0" w:firstLine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w:t>
            </w:r>
            <w:r>
              <w:rPr>
                <w:rFonts w:hint="eastAsia" w:cs="Times New Roman"/>
                <w:color w:val="000000" w:themeColor="text1"/>
                <w:kern w:val="0"/>
                <w:szCs w:val="21"/>
                <w:lang w:val="en-US" w:eastAsia="zh-CN"/>
                <w14:textFill>
                  <w14:solidFill>
                    <w14:schemeClr w14:val="tx1"/>
                  </w14:solidFill>
                </w14:textFill>
              </w:rPr>
              <w:t>2</w:t>
            </w:r>
            <w:r>
              <w:rPr>
                <w:rFonts w:hint="eastAsia" w:cs="Times New Roman"/>
                <w:color w:val="000000" w:themeColor="text1"/>
                <w:kern w:val="0"/>
                <w:szCs w:val="21"/>
                <w:lang w:eastAsia="zh-CN"/>
                <w14:textFill>
                  <w14:solidFill>
                    <w14:schemeClr w14:val="tx1"/>
                  </w14:solidFill>
                </w14:textFill>
              </w:rPr>
              <w:t>）油库：设在机修车间</w:t>
            </w:r>
            <w:r>
              <w:rPr>
                <w:rFonts w:hint="eastAsia" w:cs="Times New Roman"/>
                <w:color w:val="000000" w:themeColor="text1"/>
                <w:kern w:val="0"/>
                <w:szCs w:val="21"/>
                <w:lang w:val="en-US" w:eastAsia="zh-CN"/>
                <w14:textFill>
                  <w14:solidFill>
                    <w14:schemeClr w14:val="tx1"/>
                  </w14:solidFill>
                </w14:textFill>
              </w:rPr>
              <w:t>旁</w:t>
            </w:r>
            <w:r>
              <w:rPr>
                <w:rFonts w:hint="eastAsia" w:cs="Times New Roman"/>
                <w:color w:val="000000" w:themeColor="text1"/>
                <w:kern w:val="0"/>
                <w:szCs w:val="21"/>
                <w:lang w:eastAsia="zh-CN"/>
                <w14:textFill>
                  <w14:solidFill>
                    <w14:schemeClr w14:val="tx1"/>
                  </w14:solidFill>
                </w14:textFill>
              </w:rPr>
              <w:t>，面积</w:t>
            </w:r>
            <w:r>
              <w:rPr>
                <w:rFonts w:hint="eastAsia" w:cs="Times New Roman"/>
                <w:color w:val="000000" w:themeColor="text1"/>
                <w:kern w:val="0"/>
                <w:szCs w:val="21"/>
                <w:lang w:val="zh-CN" w:eastAsia="zh-CN"/>
                <w14:textFill>
                  <w14:solidFill>
                    <w14:schemeClr w14:val="tx1"/>
                  </w14:solidFill>
                </w14:textFill>
              </w:rPr>
              <w:t>60m</w:t>
            </w:r>
            <w:r>
              <w:rPr>
                <w:rFonts w:hint="eastAsia" w:cs="Times New Roman"/>
                <w:color w:val="000000" w:themeColor="text1"/>
                <w:kern w:val="0"/>
                <w:szCs w:val="21"/>
                <w:vertAlign w:val="superscript"/>
                <w:lang w:val="zh-CN" w:eastAsia="zh-CN"/>
                <w14:textFill>
                  <w14:solidFill>
                    <w14:schemeClr w14:val="tx1"/>
                  </w14:solidFill>
                </w14:textFill>
              </w:rPr>
              <w:t>2</w:t>
            </w:r>
            <w:r>
              <w:rPr>
                <w:rFonts w:hint="eastAsia" w:cs="Times New Roman"/>
                <w:color w:val="000000" w:themeColor="text1"/>
                <w:kern w:val="0"/>
                <w:szCs w:val="21"/>
                <w:lang w:eastAsia="zh-CN"/>
                <w14:textFill>
                  <w14:solidFill>
                    <w14:schemeClr w14:val="tx1"/>
                  </w14:solidFill>
                </w14:textFill>
              </w:rPr>
              <w:t>。油库内</w:t>
            </w:r>
            <w:r>
              <w:rPr>
                <w:rFonts w:hint="eastAsia" w:cs="Times New Roman"/>
                <w:color w:val="000000" w:themeColor="text1"/>
                <w:kern w:val="0"/>
                <w:szCs w:val="21"/>
                <w:lang w:val="zh-CN" w:eastAsia="zh-CN"/>
                <w14:textFill>
                  <w14:solidFill>
                    <w14:schemeClr w14:val="tx1"/>
                  </w14:solidFill>
                </w14:textFill>
              </w:rPr>
              <w:t>设储存柴油用的20m</w:t>
            </w:r>
            <w:r>
              <w:rPr>
                <w:rFonts w:hint="eastAsia" w:cs="Times New Roman"/>
                <w:color w:val="000000" w:themeColor="text1"/>
                <w:kern w:val="0"/>
                <w:szCs w:val="21"/>
                <w:vertAlign w:val="superscript"/>
                <w:lang w:val="zh-CN" w:eastAsia="zh-CN"/>
                <w14:textFill>
                  <w14:solidFill>
                    <w14:schemeClr w14:val="tx1"/>
                  </w14:solidFill>
                </w14:textFill>
              </w:rPr>
              <w:t>3</w:t>
            </w:r>
            <w:r>
              <w:rPr>
                <w:rFonts w:hint="eastAsia" w:cs="Times New Roman"/>
                <w:color w:val="000000" w:themeColor="text1"/>
                <w:kern w:val="0"/>
                <w:szCs w:val="21"/>
                <w:lang w:val="zh-CN" w:eastAsia="zh-CN"/>
                <w14:textFill>
                  <w14:solidFill>
                    <w14:schemeClr w14:val="tx1"/>
                  </w14:solidFill>
                </w14:textFill>
              </w:rPr>
              <w:t>卧式油罐1个，润滑油和机油以桶装方式入库储存。</w:t>
            </w:r>
          </w:p>
        </w:tc>
        <w:tc>
          <w:tcPr>
            <w:tcW w:w="279" w:type="pct"/>
            <w:tcBorders>
              <w:left w:val="single" w:color="auto" w:sz="4" w:space="0"/>
            </w:tcBorders>
            <w:noWrap w:val="0"/>
            <w:vAlign w:val="center"/>
          </w:tcPr>
          <w:p w14:paraId="697A946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宋体" w:hAnsi="宋体" w:cs="Times New Roman"/>
                <w:color w:val="000000" w:themeColor="text1"/>
                <w14:textFill>
                  <w14:solidFill>
                    <w14:schemeClr w14:val="tx1"/>
                  </w14:solidFill>
                </w14:textFill>
              </w:rPr>
              <w:t>新建</w:t>
            </w:r>
          </w:p>
        </w:tc>
      </w:tr>
      <w:tr w14:paraId="205A4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restart"/>
            <w:noWrap w:val="0"/>
            <w:vAlign w:val="center"/>
          </w:tcPr>
          <w:p w14:paraId="7B0B368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b/>
                <w:bCs/>
                <w:color w:val="000000" w:themeColor="text1"/>
                <w:kern w:val="0"/>
                <w:szCs w:val="21"/>
                <w:lang w:val="en-US" w:eastAsia="zh-CN"/>
                <w14:textFill>
                  <w14:solidFill>
                    <w14:schemeClr w14:val="tx1"/>
                  </w14:solidFill>
                </w14:textFill>
              </w:rPr>
              <w:t>储运工程</w:t>
            </w:r>
          </w:p>
        </w:tc>
        <w:tc>
          <w:tcPr>
            <w:tcW w:w="394" w:type="pct"/>
            <w:noWrap w:val="0"/>
            <w:vAlign w:val="center"/>
          </w:tcPr>
          <w:p w14:paraId="7A7F60E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井下运输</w:t>
            </w:r>
          </w:p>
        </w:tc>
        <w:tc>
          <w:tcPr>
            <w:tcW w:w="1989" w:type="pct"/>
            <w:tcBorders>
              <w:right w:val="single" w:color="auto" w:sz="4" w:space="0"/>
            </w:tcBorders>
            <w:noWrap w:val="0"/>
            <w:vAlign w:val="center"/>
          </w:tcPr>
          <w:p w14:paraId="6CF2EEFB">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井下各中段平巷均采用有轨运输，</w:t>
            </w:r>
            <w:r>
              <w:rPr>
                <w:rFonts w:hint="default" w:ascii="Times New Roman" w:hAnsi="Times New Roman" w:cs="Times New Roman"/>
                <w:color w:val="000000" w:themeColor="text1"/>
                <w14:textFill>
                  <w14:solidFill>
                    <w14:schemeClr w14:val="tx1"/>
                  </w14:solidFill>
                </w14:textFill>
              </w:rPr>
              <w:t>轨道采用22kg/m钢轨，轨距为600mm。坑内矿石和废石采用蓄电池电机车牵引2.0m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侧卸式矿车组运输。中段运输平巷为向</w:t>
            </w:r>
            <w:r>
              <w:rPr>
                <w:rFonts w:hint="eastAsia" w:ascii="Times New Roman" w:hAnsi="Times New Roman" w:cs="Times New Roman"/>
                <w:color w:val="000000" w:themeColor="text1"/>
                <w14:textFill>
                  <w14:solidFill>
                    <w14:schemeClr w14:val="tx1"/>
                  </w14:solidFill>
                </w14:textFill>
              </w:rPr>
              <w:t>提升</w:t>
            </w:r>
            <w:r>
              <w:rPr>
                <w:rFonts w:hint="default" w:ascii="Times New Roman" w:hAnsi="Times New Roman" w:cs="Times New Roman"/>
                <w:color w:val="000000" w:themeColor="text1"/>
                <w14:textFill>
                  <w14:solidFill>
                    <w14:schemeClr w14:val="tx1"/>
                  </w14:solidFill>
                </w14:textFill>
              </w:rPr>
              <w:t>竖井方向3‰的重车下坡方式。</w:t>
            </w:r>
          </w:p>
        </w:tc>
        <w:tc>
          <w:tcPr>
            <w:tcW w:w="2158" w:type="pct"/>
            <w:tcBorders>
              <w:right w:val="single" w:color="auto" w:sz="4" w:space="0"/>
            </w:tcBorders>
            <w:shd w:val="clear" w:color="auto" w:fill="auto"/>
            <w:noWrap w:val="0"/>
            <w:vAlign w:val="center"/>
          </w:tcPr>
          <w:p w14:paraId="03634258">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井下各中段平巷均采用有轨运输，</w:t>
            </w:r>
            <w:r>
              <w:rPr>
                <w:rFonts w:hint="default" w:ascii="Times New Roman" w:hAnsi="Times New Roman" w:cs="Times New Roman"/>
                <w:color w:val="000000" w:themeColor="text1"/>
                <w14:textFill>
                  <w14:solidFill>
                    <w14:schemeClr w14:val="tx1"/>
                  </w14:solidFill>
                </w14:textFill>
              </w:rPr>
              <w:t>轨道采用22kg/m钢轨，轨距为600mm。坑内矿石和废石采用蓄电池电机车牵引2.0m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侧卸式矿车组运输。中段运输平巷为向</w:t>
            </w:r>
            <w:r>
              <w:rPr>
                <w:rFonts w:hint="eastAsia" w:ascii="Times New Roman" w:hAnsi="Times New Roman" w:cs="Times New Roman"/>
                <w:color w:val="000000" w:themeColor="text1"/>
                <w14:textFill>
                  <w14:solidFill>
                    <w14:schemeClr w14:val="tx1"/>
                  </w14:solidFill>
                </w14:textFill>
              </w:rPr>
              <w:t>提升</w:t>
            </w:r>
            <w:r>
              <w:rPr>
                <w:rFonts w:hint="default" w:ascii="Times New Roman" w:hAnsi="Times New Roman" w:cs="Times New Roman"/>
                <w:color w:val="000000" w:themeColor="text1"/>
                <w14:textFill>
                  <w14:solidFill>
                    <w14:schemeClr w14:val="tx1"/>
                  </w14:solidFill>
                </w14:textFill>
              </w:rPr>
              <w:t>竖井方向3‰的重车下坡方式。</w:t>
            </w:r>
          </w:p>
        </w:tc>
        <w:tc>
          <w:tcPr>
            <w:tcW w:w="279" w:type="pct"/>
            <w:tcBorders>
              <w:left w:val="single" w:color="auto" w:sz="4" w:space="0"/>
            </w:tcBorders>
            <w:noWrap w:val="0"/>
            <w:vAlign w:val="center"/>
          </w:tcPr>
          <w:p w14:paraId="0B3DE5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1B13D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68E4684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394" w:type="pct"/>
            <w:vMerge w:val="restart"/>
            <w:noWrap w:val="0"/>
            <w:vAlign w:val="center"/>
          </w:tcPr>
          <w:p w14:paraId="0DAAC1C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矿山道路</w:t>
            </w:r>
          </w:p>
        </w:tc>
        <w:tc>
          <w:tcPr>
            <w:tcW w:w="1989" w:type="pct"/>
            <w:tcBorders>
              <w:right w:val="single" w:color="auto" w:sz="4" w:space="0"/>
            </w:tcBorders>
            <w:noWrap w:val="0"/>
            <w:vAlign w:val="center"/>
          </w:tcPr>
          <w:p w14:paraId="75A25795">
            <w:pPr>
              <w:keepNext w:val="0"/>
              <w:keepLines w:val="0"/>
              <w:suppressLineNumbers w:val="0"/>
              <w:spacing w:before="0" w:beforeAutospacing="0" w:after="0" w:afterAutospacing="0" w:line="360" w:lineRule="exact"/>
              <w:ind w:left="0" w:right="0"/>
              <w:jc w:val="both"/>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道路全长约3020m，路基宽6m，路面宽4m</w:t>
            </w:r>
            <w:r>
              <w:rPr>
                <w:rFonts w:hint="eastAsia" w:cs="Times New Roman"/>
                <w:color w:val="000000" w:themeColor="text1"/>
                <w:spacing w:val="-6"/>
                <w:kern w:val="0"/>
                <w:szCs w:val="21"/>
                <w:lang w:eastAsia="zh-CN"/>
                <w14:textFill>
                  <w14:solidFill>
                    <w14:schemeClr w14:val="tx1"/>
                  </w14:solidFill>
                </w14:textFill>
              </w:rPr>
              <w:t>。</w:t>
            </w:r>
          </w:p>
        </w:tc>
        <w:tc>
          <w:tcPr>
            <w:tcW w:w="2158" w:type="pct"/>
            <w:tcBorders>
              <w:right w:val="single" w:color="auto" w:sz="4" w:space="0"/>
            </w:tcBorders>
            <w:shd w:val="clear" w:color="auto" w:fill="auto"/>
            <w:noWrap w:val="0"/>
            <w:vAlign w:val="center"/>
          </w:tcPr>
          <w:p w14:paraId="1B5A2D89">
            <w:pPr>
              <w:keepNext w:val="0"/>
              <w:keepLines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pacing w:val="-6"/>
                <w:kern w:val="0"/>
                <w:szCs w:val="21"/>
                <w:lang w:val="en-US" w:eastAsia="zh-CN"/>
                <w14:textFill>
                  <w14:solidFill>
                    <w14:schemeClr w14:val="tx1"/>
                  </w14:solidFill>
                </w14:textFill>
              </w:rPr>
              <w:t>现有</w:t>
            </w:r>
            <w:r>
              <w:rPr>
                <w:rFonts w:hint="eastAsia" w:ascii="Times New Roman" w:hAnsi="Times New Roman" w:cs="Times New Roman"/>
                <w:color w:val="000000" w:themeColor="text1"/>
                <w:spacing w:val="-6"/>
                <w:kern w:val="0"/>
                <w:szCs w:val="21"/>
                <w14:textFill>
                  <w14:solidFill>
                    <w14:schemeClr w14:val="tx1"/>
                  </w14:solidFill>
                </w14:textFill>
              </w:rPr>
              <w:t>长约3020m</w:t>
            </w:r>
            <w:r>
              <w:rPr>
                <w:rFonts w:hint="eastAsia" w:cs="Times New Roman"/>
                <w:color w:val="000000" w:themeColor="text1"/>
                <w:spacing w:val="-6"/>
                <w:kern w:val="0"/>
                <w:szCs w:val="21"/>
                <w:lang w:val="en-US" w:eastAsia="zh-CN"/>
                <w14:textFill>
                  <w14:solidFill>
                    <w14:schemeClr w14:val="tx1"/>
                  </w14:solidFill>
                </w14:textFill>
              </w:rPr>
              <w:t>道路继续利用</w:t>
            </w:r>
          </w:p>
        </w:tc>
        <w:tc>
          <w:tcPr>
            <w:tcW w:w="279" w:type="pct"/>
            <w:tcBorders>
              <w:left w:val="single" w:color="auto" w:sz="4" w:space="0"/>
            </w:tcBorders>
            <w:noWrap w:val="0"/>
            <w:vAlign w:val="center"/>
          </w:tcPr>
          <w:p w14:paraId="05B8CFC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1C02C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190EBE9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394" w:type="pct"/>
            <w:vMerge w:val="continue"/>
            <w:noWrap w:val="0"/>
            <w:vAlign w:val="center"/>
          </w:tcPr>
          <w:p w14:paraId="7C37A30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p>
        </w:tc>
        <w:tc>
          <w:tcPr>
            <w:tcW w:w="1989" w:type="pct"/>
            <w:tcBorders>
              <w:right w:val="single" w:color="auto" w:sz="4" w:space="0"/>
            </w:tcBorders>
            <w:noWrap w:val="0"/>
            <w:vAlign w:val="center"/>
          </w:tcPr>
          <w:p w14:paraId="17B22A46">
            <w:pPr>
              <w:keepNext w:val="0"/>
              <w:keepLines w:val="0"/>
              <w:suppressLineNumbers w:val="0"/>
              <w:spacing w:before="0" w:beforeAutospacing="0" w:after="0" w:afterAutospacing="0" w:line="360" w:lineRule="exact"/>
              <w:ind w:left="0" w:right="0"/>
              <w:jc w:val="both"/>
              <w:rPr>
                <w:rFonts w:hint="eastAsia" w:ascii="Times New Roman" w:hAnsi="Times New Roman" w:eastAsia="宋体" w:cs="Times New Roman"/>
                <w:color w:val="000000" w:themeColor="text1"/>
                <w:spacing w:val="-6"/>
                <w:kern w:val="0"/>
                <w:szCs w:val="21"/>
                <w:lang w:val="en-US" w:eastAsia="zh-CN"/>
                <w14:textFill>
                  <w14:solidFill>
                    <w14:schemeClr w14:val="tx1"/>
                  </w14:solidFill>
                </w14:textFill>
              </w:rPr>
            </w:pPr>
            <w:r>
              <w:rPr>
                <w:rFonts w:hint="eastAsia" w:cs="Times New Roman"/>
                <w:color w:val="000000" w:themeColor="text1"/>
                <w:spacing w:val="-6"/>
                <w:kern w:val="0"/>
                <w:szCs w:val="2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6EF3CD68">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6"/>
                <w:kern w:val="0"/>
                <w:szCs w:val="21"/>
                <w14:textFill>
                  <w14:solidFill>
                    <w14:schemeClr w14:val="tx1"/>
                  </w14:solidFill>
                </w14:textFill>
              </w:rPr>
              <w:t>规划矿山道路通往规划西风井工业场地，拟建矿山道路长约350m，基宽6m，路面宽4m，占地面积0.21hm</w:t>
            </w:r>
            <w:r>
              <w:rPr>
                <w:rFonts w:hint="default" w:ascii="Times New Roman" w:hAnsi="Times New Roman" w:cs="Times New Roman"/>
                <w:color w:val="000000" w:themeColor="text1"/>
                <w:spacing w:val="-6"/>
                <w:kern w:val="0"/>
                <w:szCs w:val="21"/>
                <w:vertAlign w:val="superscript"/>
                <w14:textFill>
                  <w14:solidFill>
                    <w14:schemeClr w14:val="tx1"/>
                  </w14:solidFill>
                </w14:textFill>
              </w:rPr>
              <w:t>2</w:t>
            </w:r>
            <w:r>
              <w:rPr>
                <w:rFonts w:hint="eastAsia" w:ascii="Times New Roman" w:hAnsi="Times New Roman" w:cs="Times New Roman"/>
                <w:color w:val="000000" w:themeColor="text1"/>
                <w:spacing w:val="-6"/>
                <w:kern w:val="0"/>
                <w:szCs w:val="21"/>
                <w14:textFill>
                  <w14:solidFill>
                    <w14:schemeClr w14:val="tx1"/>
                  </w14:solidFill>
                </w14:textFill>
              </w:rPr>
              <w:t>。</w:t>
            </w:r>
          </w:p>
        </w:tc>
        <w:tc>
          <w:tcPr>
            <w:tcW w:w="279" w:type="pct"/>
            <w:tcBorders>
              <w:left w:val="single" w:color="auto" w:sz="4" w:space="0"/>
            </w:tcBorders>
            <w:noWrap w:val="0"/>
            <w:vAlign w:val="center"/>
          </w:tcPr>
          <w:p w14:paraId="265B6F8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新建</w:t>
            </w:r>
          </w:p>
        </w:tc>
      </w:tr>
      <w:tr w14:paraId="61390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restart"/>
            <w:noWrap w:val="0"/>
            <w:vAlign w:val="center"/>
          </w:tcPr>
          <w:p w14:paraId="4244BDE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b/>
                <w:bCs/>
                <w:color w:val="000000" w:themeColor="text1"/>
                <w:kern w:val="0"/>
                <w:szCs w:val="21"/>
                <w:lang w:val="en-US" w:eastAsia="zh-CN"/>
                <w14:textFill>
                  <w14:solidFill>
                    <w14:schemeClr w14:val="tx1"/>
                  </w14:solidFill>
                </w14:textFill>
              </w:rPr>
              <w:t>公用工程</w:t>
            </w:r>
          </w:p>
        </w:tc>
        <w:tc>
          <w:tcPr>
            <w:tcW w:w="394" w:type="pct"/>
            <w:noWrap w:val="0"/>
            <w:vAlign w:val="center"/>
          </w:tcPr>
          <w:p w14:paraId="42F7FE3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供电</w:t>
            </w:r>
          </w:p>
        </w:tc>
        <w:tc>
          <w:tcPr>
            <w:tcW w:w="1989" w:type="pct"/>
            <w:tcBorders>
              <w:right w:val="single" w:color="auto" w:sz="4" w:space="0"/>
            </w:tcBorders>
            <w:noWrap w:val="0"/>
            <w:vAlign w:val="center"/>
          </w:tcPr>
          <w:p w14:paraId="32E2DA7B">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矿山供电电源来自哈密市雅满苏变电所及35kV输电线路。矿山目前在地表有6台1250KVA变压器，分别布置在原有箕斗竖井井口、原有罐笼竖井井口以及选矿厂主厂房附近的变配电室内，变压器出口电压0.4kV。</w:t>
            </w:r>
          </w:p>
        </w:tc>
        <w:tc>
          <w:tcPr>
            <w:tcW w:w="2158" w:type="pct"/>
            <w:tcBorders>
              <w:right w:val="single" w:color="auto" w:sz="4" w:space="0"/>
            </w:tcBorders>
            <w:shd w:val="clear" w:color="auto" w:fill="auto"/>
            <w:noWrap w:val="0"/>
            <w:vAlign w:val="center"/>
          </w:tcPr>
          <w:p w14:paraId="22EDE625">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矿山供电电源来自哈密市雅满苏变电所及35kV输电线路。矿山目前在地表有6台1250KVA变压器，分别布置在原有箕斗竖井井口、原有罐笼竖井井口以及选矿厂主厂房附近的变配电室内，变压器出口电压0.4kV。</w:t>
            </w:r>
          </w:p>
        </w:tc>
        <w:tc>
          <w:tcPr>
            <w:tcW w:w="279" w:type="pct"/>
            <w:tcBorders>
              <w:left w:val="single" w:color="auto" w:sz="4" w:space="0"/>
            </w:tcBorders>
            <w:noWrap w:val="0"/>
            <w:vAlign w:val="center"/>
          </w:tcPr>
          <w:p w14:paraId="4D36E84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48D1B8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3409004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656104A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供水</w:t>
            </w:r>
          </w:p>
        </w:tc>
        <w:tc>
          <w:tcPr>
            <w:tcW w:w="1989" w:type="pct"/>
            <w:tcBorders>
              <w:right w:val="single" w:color="auto" w:sz="4" w:space="0"/>
            </w:tcBorders>
            <w:noWrap w:val="0"/>
            <w:vAlign w:val="center"/>
          </w:tcPr>
          <w:p w14:paraId="470BF4BD">
            <w:pPr>
              <w:keepNext w:val="0"/>
              <w:keepLines w:val="0"/>
              <w:suppressLineNumbers w:val="0"/>
              <w:spacing w:before="0" w:beforeAutospacing="0" w:after="0" w:afterAutospacing="0" w:line="360" w:lineRule="exact"/>
              <w:ind w:left="0" w:right="0"/>
              <w:jc w:val="both"/>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矿山生活用水从雅满苏镇拉运解决，生产用水来源为矿井涌水。</w:t>
            </w:r>
          </w:p>
        </w:tc>
        <w:tc>
          <w:tcPr>
            <w:tcW w:w="2158" w:type="pct"/>
            <w:tcBorders>
              <w:right w:val="single" w:color="auto" w:sz="4" w:space="0"/>
            </w:tcBorders>
            <w:shd w:val="clear" w:color="auto" w:fill="auto"/>
            <w:noWrap w:val="0"/>
            <w:vAlign w:val="center"/>
          </w:tcPr>
          <w:p w14:paraId="7F9F7643">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矿山生活用水从雅满苏镇拉运解决，生产用水来源为矿井涌水。</w:t>
            </w:r>
          </w:p>
        </w:tc>
        <w:tc>
          <w:tcPr>
            <w:tcW w:w="279" w:type="pct"/>
            <w:tcBorders>
              <w:left w:val="single" w:color="auto" w:sz="4" w:space="0"/>
            </w:tcBorders>
            <w:noWrap w:val="0"/>
            <w:vAlign w:val="center"/>
          </w:tcPr>
          <w:p w14:paraId="012EBAB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279AB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6B43006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1EDF3F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排水</w:t>
            </w:r>
          </w:p>
        </w:tc>
        <w:tc>
          <w:tcPr>
            <w:tcW w:w="1989" w:type="pct"/>
            <w:tcBorders>
              <w:right w:val="single" w:color="auto" w:sz="4" w:space="0"/>
            </w:tcBorders>
            <w:noWrap w:val="0"/>
            <w:vAlign w:val="center"/>
          </w:tcPr>
          <w:p w14:paraId="2B97AB3F">
            <w:pPr>
              <w:keepNext w:val="0"/>
              <w:keepLines w:val="0"/>
              <w:suppressLineNumbers w:val="0"/>
              <w:spacing w:before="0" w:beforeAutospacing="0" w:after="0" w:afterAutospacing="0" w:line="360" w:lineRule="exact"/>
              <w:ind w:left="0" w:right="0"/>
              <w:jc w:val="both"/>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生活污水采用</w:t>
            </w:r>
            <w:r>
              <w:rPr>
                <w:rFonts w:hint="eastAsia" w:ascii="Times New Roman" w:hAnsi="Times New Roman" w:cs="Times New Roman"/>
                <w:color w:val="000000" w:themeColor="text1"/>
                <w:kern w:val="0"/>
                <w:szCs w:val="21"/>
                <w14:textFill>
                  <w14:solidFill>
                    <w14:schemeClr w14:val="tx1"/>
                  </w14:solidFill>
                </w14:textFill>
              </w:rPr>
              <w:t>地埋式一体化污水处理设备</w:t>
            </w:r>
            <w:r>
              <w:rPr>
                <w:rFonts w:hint="eastAsia" w:cs="Times New Roman"/>
                <w:color w:val="000000" w:themeColor="text1"/>
                <w:kern w:val="0"/>
                <w:szCs w:val="21"/>
                <w:lang w:val="en-US" w:eastAsia="zh-CN"/>
                <w14:textFill>
                  <w14:solidFill>
                    <w14:schemeClr w14:val="tx1"/>
                  </w14:solidFill>
                </w14:textFill>
              </w:rPr>
              <w:t>处理后用于生活区绿化，冬季贮存不外排，作为来年绿化用水。</w:t>
            </w:r>
          </w:p>
          <w:p w14:paraId="5EB1F660">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矿井涌水汇集到中心水仓，通过水泵抽送至地面，供选矿循环使用，不外排。</w:t>
            </w:r>
          </w:p>
        </w:tc>
        <w:tc>
          <w:tcPr>
            <w:tcW w:w="2158" w:type="pct"/>
            <w:tcBorders>
              <w:right w:val="single" w:color="auto" w:sz="4" w:space="0"/>
            </w:tcBorders>
            <w:shd w:val="clear" w:color="auto" w:fill="auto"/>
            <w:noWrap w:val="0"/>
            <w:vAlign w:val="center"/>
          </w:tcPr>
          <w:p w14:paraId="23882DD5">
            <w:pPr>
              <w:keepNext w:val="0"/>
              <w:keepLines w:val="0"/>
              <w:suppressLineNumbers w:val="0"/>
              <w:spacing w:before="0" w:beforeAutospacing="0" w:after="0" w:afterAutospacing="0" w:line="360" w:lineRule="exact"/>
              <w:ind w:left="0" w:leftChars="0" w:right="0" w:rightChars="0"/>
              <w:jc w:val="both"/>
              <w:rPr>
                <w:rFonts w:hint="eastAsia" w:cs="Times New Roman"/>
                <w:color w:val="000000" w:themeColor="text1"/>
                <w:kern w:val="0"/>
                <w:szCs w:val="21"/>
                <w:lang w:eastAsia="zh-CN"/>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生活污水经地埋式一体化污水处理设备处理满足《农村生活污水处理排放标准》（DB65 4275-2019）中A级标准后，灌溉期全部用于矿区绿化，非灌溉期输送至选厂生产使用</w:t>
            </w:r>
            <w:r>
              <w:rPr>
                <w:rFonts w:hint="eastAsia" w:cs="Times New Roman"/>
                <w:color w:val="000000" w:themeColor="text1"/>
                <w:kern w:val="0"/>
                <w:szCs w:val="21"/>
                <w:lang w:eastAsia="zh-CN"/>
                <w14:textFill>
                  <w14:solidFill>
                    <w14:schemeClr w14:val="tx1"/>
                  </w14:solidFill>
                </w14:textFill>
              </w:rPr>
              <w:t>。</w:t>
            </w:r>
          </w:p>
          <w:p w14:paraId="1C4DCECD">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Cs w:val="21"/>
                <w:lang w:eastAsia="zh-CN"/>
                <w14:textFill>
                  <w14:solidFill>
                    <w14:schemeClr w14:val="tx1"/>
                  </w14:solidFill>
                </w14:textFill>
              </w:rPr>
              <w:t>矿井涌水经混凝沉淀处理后，满足《铁矿采选工业污染物排放标准》（GB28661-2012）及《城市污水再生利用 城市杂用水水质》（GB/T18920-2020）中的相关标准后，一部分用于采矿生产用水和矿山绿化浇灌、工业场地及道路降尘等，其余泵送至选厂生产新水水池供生产使用，不外排</w:t>
            </w:r>
            <w:r>
              <w:rPr>
                <w:rFonts w:hint="eastAsia" w:ascii="Times New Roman" w:hAnsi="Times New Roman" w:cs="Times New Roman"/>
                <w:color w:val="000000" w:themeColor="text1"/>
                <w:kern w:val="0"/>
                <w:szCs w:val="21"/>
                <w14:textFill>
                  <w14:solidFill>
                    <w14:schemeClr w14:val="tx1"/>
                  </w14:solidFill>
                </w14:textFill>
              </w:rPr>
              <w:t>。</w:t>
            </w:r>
          </w:p>
        </w:tc>
        <w:tc>
          <w:tcPr>
            <w:tcW w:w="279" w:type="pct"/>
            <w:tcBorders>
              <w:left w:val="single" w:color="auto" w:sz="4" w:space="0"/>
            </w:tcBorders>
            <w:noWrap w:val="0"/>
            <w:vAlign w:val="center"/>
          </w:tcPr>
          <w:p w14:paraId="3F70305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lang w:val="en-US"/>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改造</w:t>
            </w:r>
          </w:p>
        </w:tc>
      </w:tr>
      <w:tr w14:paraId="443F7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4FF637E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437977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供暖</w:t>
            </w:r>
          </w:p>
        </w:tc>
        <w:tc>
          <w:tcPr>
            <w:tcW w:w="1989" w:type="pct"/>
            <w:tcBorders>
              <w:right w:val="single" w:color="auto" w:sz="4" w:space="0"/>
            </w:tcBorders>
            <w:noWrap w:val="0"/>
            <w:vAlign w:val="center"/>
          </w:tcPr>
          <w:p w14:paraId="1B3DC86C">
            <w:pPr>
              <w:keepNext w:val="0"/>
              <w:keepLines w:val="0"/>
              <w:suppressLineNumbers w:val="0"/>
              <w:spacing w:before="0" w:beforeAutospacing="0" w:after="0" w:afterAutospacing="0" w:line="360" w:lineRule="exact"/>
              <w:ind w:left="0" w:right="0"/>
              <w:jc w:val="both"/>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6176ED04">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由锅炉房集中供暖，矿山配备有两台1</w:t>
            </w:r>
            <w:r>
              <w:rPr>
                <w:rFonts w:hint="default" w:ascii="Times New Roman" w:hAnsi="Times New Roman" w:cs="Times New Roman"/>
                <w:color w:val="000000" w:themeColor="text1"/>
                <w:kern w:val="0"/>
                <w:szCs w:val="21"/>
                <w14:textFill>
                  <w14:solidFill>
                    <w14:schemeClr w14:val="tx1"/>
                  </w14:solidFill>
                </w14:textFill>
              </w:rPr>
              <w:t>.4</w:t>
            </w:r>
            <w:r>
              <w:rPr>
                <w:rFonts w:hint="eastAsia" w:ascii="Times New Roman" w:hAnsi="Times New Roman" w:cs="Times New Roman"/>
                <w:color w:val="000000" w:themeColor="text1"/>
                <w:kern w:val="0"/>
                <w:szCs w:val="21"/>
                <w14:textFill>
                  <w14:solidFill>
                    <w14:schemeClr w14:val="tx1"/>
                  </w14:solidFill>
                </w14:textFill>
              </w:rPr>
              <w:t>MW电加热锅炉，最大供热负荷为2</w:t>
            </w:r>
            <w:r>
              <w:rPr>
                <w:rFonts w:hint="default" w:ascii="Times New Roman" w:hAnsi="Times New Roman" w:cs="Times New Roman"/>
                <w:color w:val="000000" w:themeColor="text1"/>
                <w:kern w:val="0"/>
                <w:szCs w:val="21"/>
                <w14:textFill>
                  <w14:solidFill>
                    <w14:schemeClr w14:val="tx1"/>
                  </w14:solidFill>
                </w14:textFill>
              </w:rPr>
              <w:t>.8</w:t>
            </w:r>
            <w:r>
              <w:rPr>
                <w:rFonts w:hint="eastAsia" w:ascii="Times New Roman" w:hAnsi="Times New Roman" w:cs="Times New Roman"/>
                <w:color w:val="000000" w:themeColor="text1"/>
                <w:kern w:val="0"/>
                <w:szCs w:val="21"/>
                <w14:textFill>
                  <w14:solidFill>
                    <w14:schemeClr w14:val="tx1"/>
                  </w14:solidFill>
                </w14:textFill>
              </w:rPr>
              <w:t>MW，采用直接供暖的方式。</w:t>
            </w:r>
          </w:p>
        </w:tc>
        <w:tc>
          <w:tcPr>
            <w:tcW w:w="279" w:type="pct"/>
            <w:tcBorders>
              <w:left w:val="single" w:color="auto" w:sz="4" w:space="0"/>
            </w:tcBorders>
            <w:noWrap w:val="0"/>
            <w:vAlign w:val="center"/>
          </w:tcPr>
          <w:p w14:paraId="253E9E8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2DC7FD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restart"/>
            <w:noWrap w:val="0"/>
            <w:vAlign w:val="center"/>
          </w:tcPr>
          <w:p w14:paraId="044579B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b/>
                <w:bCs/>
                <w:color w:val="000000" w:themeColor="text1"/>
                <w:kern w:val="0"/>
                <w:szCs w:val="21"/>
                <w:lang w:val="en-US" w:eastAsia="zh-CN"/>
                <w14:textFill>
                  <w14:solidFill>
                    <w14:schemeClr w14:val="tx1"/>
                  </w14:solidFill>
                </w14:textFill>
              </w:rPr>
              <w:t>环保工程</w:t>
            </w:r>
          </w:p>
        </w:tc>
        <w:tc>
          <w:tcPr>
            <w:tcW w:w="394" w:type="pct"/>
            <w:noWrap w:val="0"/>
            <w:vAlign w:val="center"/>
          </w:tcPr>
          <w:p w14:paraId="74F96D7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废水</w:t>
            </w:r>
          </w:p>
        </w:tc>
        <w:tc>
          <w:tcPr>
            <w:tcW w:w="1989" w:type="pct"/>
            <w:tcBorders>
              <w:right w:val="single" w:color="auto" w:sz="4" w:space="0"/>
            </w:tcBorders>
            <w:noWrap w:val="0"/>
            <w:vAlign w:val="center"/>
          </w:tcPr>
          <w:p w14:paraId="17C1B862">
            <w:pPr>
              <w:keepNext w:val="0"/>
              <w:keepLines w:val="0"/>
              <w:suppressLineNumbers w:val="0"/>
              <w:spacing w:before="0" w:beforeAutospacing="0" w:after="0" w:afterAutospacing="0" w:line="360" w:lineRule="exact"/>
              <w:ind w:left="0" w:right="0"/>
              <w:jc w:val="both"/>
              <w:rPr>
                <w:rFonts w:hint="eastAsia"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生活污水采用</w:t>
            </w:r>
            <w:r>
              <w:rPr>
                <w:rFonts w:hint="eastAsia" w:ascii="Times New Roman" w:hAnsi="Times New Roman" w:cs="Times New Roman"/>
                <w:color w:val="000000" w:themeColor="text1"/>
                <w:kern w:val="0"/>
                <w:szCs w:val="21"/>
                <w14:textFill>
                  <w14:solidFill>
                    <w14:schemeClr w14:val="tx1"/>
                  </w14:solidFill>
                </w14:textFill>
              </w:rPr>
              <w:t>地埋式一体化污水处理设备</w:t>
            </w:r>
            <w:r>
              <w:rPr>
                <w:rFonts w:hint="eastAsia" w:cs="Times New Roman"/>
                <w:color w:val="000000" w:themeColor="text1"/>
                <w:kern w:val="0"/>
                <w:szCs w:val="21"/>
                <w:lang w:val="en-US" w:eastAsia="zh-CN"/>
                <w14:textFill>
                  <w14:solidFill>
                    <w14:schemeClr w14:val="tx1"/>
                  </w14:solidFill>
                </w14:textFill>
              </w:rPr>
              <w:t>处理后用于生活区绿化，冬季贮存不外排，作为来年绿化用水。矿井涌水汇集到中心水仓，通过水泵抽送至地面，供选矿循环使用，不外排。</w:t>
            </w:r>
          </w:p>
        </w:tc>
        <w:tc>
          <w:tcPr>
            <w:tcW w:w="2158" w:type="pct"/>
            <w:tcBorders>
              <w:right w:val="single" w:color="auto" w:sz="4" w:space="0"/>
            </w:tcBorders>
            <w:shd w:val="clear" w:color="auto" w:fill="auto"/>
            <w:noWrap w:val="0"/>
            <w:vAlign w:val="center"/>
          </w:tcPr>
          <w:p w14:paraId="79B9A8C0">
            <w:pPr>
              <w:keepNext w:val="0"/>
              <w:keepLines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项目矿井涌水经混凝沉淀处理后，</w:t>
            </w:r>
            <w:r>
              <w:rPr>
                <w:rFonts w:hint="eastAsia" w:cs="Times New Roman"/>
                <w:color w:val="000000" w:themeColor="text1"/>
                <w:kern w:val="0"/>
                <w:szCs w:val="21"/>
                <w:lang w:eastAsia="zh-CN"/>
                <w14:textFill>
                  <w14:solidFill>
                    <w14:schemeClr w14:val="tx1"/>
                  </w14:solidFill>
                </w14:textFill>
              </w:rPr>
              <w:t>一部分用于采矿生产用水和矿山绿化浇灌、工业场地及道路降尘等，其余泵送至选厂生产新水水池供生产使用，不外排</w:t>
            </w:r>
            <w:r>
              <w:rPr>
                <w:rFonts w:hint="eastAsia" w:ascii="Times New Roman" w:hAnsi="Times New Roman" w:cs="Times New Roman"/>
                <w:color w:val="000000" w:themeColor="text1"/>
                <w:kern w:val="0"/>
                <w:szCs w:val="21"/>
                <w14:textFill>
                  <w14:solidFill>
                    <w14:schemeClr w14:val="tx1"/>
                  </w14:solidFill>
                </w14:textFill>
              </w:rPr>
              <w:t>；生活污水经地埋式一体化污水处理设备处理后</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灌溉期全部用于矿区绿化，非灌溉期输送至选厂生产使用</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lang w:val="en-US" w:eastAsia="zh-CN"/>
                <w14:textFill>
                  <w14:solidFill>
                    <w14:schemeClr w14:val="tx1"/>
                  </w14:solidFill>
                </w14:textFill>
              </w:rPr>
              <w:t>不外排。</w:t>
            </w:r>
          </w:p>
        </w:tc>
        <w:tc>
          <w:tcPr>
            <w:tcW w:w="279" w:type="pct"/>
            <w:tcBorders>
              <w:left w:val="single" w:color="auto" w:sz="4" w:space="0"/>
            </w:tcBorders>
            <w:noWrap w:val="0"/>
            <w:vAlign w:val="center"/>
          </w:tcPr>
          <w:p w14:paraId="28C0614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改造</w:t>
            </w:r>
          </w:p>
        </w:tc>
      </w:tr>
      <w:tr w14:paraId="35E590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6276B0F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4460D2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废气</w:t>
            </w:r>
          </w:p>
        </w:tc>
        <w:tc>
          <w:tcPr>
            <w:tcW w:w="1989" w:type="pct"/>
            <w:tcBorders>
              <w:right w:val="single" w:color="auto" w:sz="4" w:space="0"/>
            </w:tcBorders>
            <w:noWrap w:val="0"/>
            <w:vAlign w:val="center"/>
          </w:tcPr>
          <w:p w14:paraId="66DAD74E">
            <w:pPr>
              <w:keepNext w:val="0"/>
              <w:keepLines w:val="0"/>
              <w:suppressLineNumbers w:val="0"/>
              <w:spacing w:before="0" w:beforeAutospacing="0" w:after="0" w:afterAutospacing="0" w:line="360" w:lineRule="exact"/>
              <w:ind w:left="0" w:right="0"/>
              <w:jc w:val="both"/>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采用湿式凿岩、爆破后作业面洒水喷雾除尘、风机井下通风，路面</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洒水抑尘、路面碎石铺设等</w:t>
            </w:r>
            <w:r>
              <w:rPr>
                <w:rFonts w:hint="eastAsia" w:ascii="Times New Roman" w:hAnsi="Times New Roman" w:cs="Times New Roman"/>
                <w:snapToGrid/>
                <w:color w:val="000000" w:themeColor="text1"/>
                <w:kern w:val="2"/>
                <w:sz w:val="21"/>
                <w:szCs w:val="21"/>
                <w:highlight w:val="none"/>
                <w:lang w:val="en-US" w:eastAsia="zh-CN" w:bidi="ar"/>
                <w14:textFill>
                  <w14:solidFill>
                    <w14:schemeClr w14:val="tx1"/>
                  </w14:solidFill>
                </w14:textFill>
              </w:rPr>
              <w:t>。</w:t>
            </w:r>
          </w:p>
        </w:tc>
        <w:tc>
          <w:tcPr>
            <w:tcW w:w="2158" w:type="pct"/>
            <w:tcBorders>
              <w:right w:val="single" w:color="auto" w:sz="4" w:space="0"/>
            </w:tcBorders>
            <w:shd w:val="clear" w:color="auto" w:fill="auto"/>
            <w:noWrap w:val="0"/>
            <w:vAlign w:val="center"/>
          </w:tcPr>
          <w:p w14:paraId="41C6763D">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采用湿式凿岩、爆破后作业面洒水喷雾除尘、风机井下通风，路面</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洒水抑尘、路面碎石铺设等</w:t>
            </w:r>
            <w:r>
              <w:rPr>
                <w:rFonts w:hint="eastAsia" w:ascii="Times New Roman" w:hAnsi="Times New Roman" w:cs="Times New Roman"/>
                <w:snapToGrid/>
                <w:color w:val="000000" w:themeColor="text1"/>
                <w:kern w:val="2"/>
                <w:sz w:val="21"/>
                <w:szCs w:val="21"/>
                <w:highlight w:val="none"/>
                <w:lang w:val="en-US" w:eastAsia="zh-CN" w:bidi="ar"/>
                <w14:textFill>
                  <w14:solidFill>
                    <w14:schemeClr w14:val="tx1"/>
                  </w14:solidFill>
                </w14:textFill>
              </w:rPr>
              <w:t>。</w:t>
            </w:r>
          </w:p>
        </w:tc>
        <w:tc>
          <w:tcPr>
            <w:tcW w:w="279" w:type="pct"/>
            <w:tcBorders>
              <w:left w:val="single" w:color="auto" w:sz="4" w:space="0"/>
            </w:tcBorders>
            <w:noWrap w:val="0"/>
            <w:vAlign w:val="center"/>
          </w:tcPr>
          <w:p w14:paraId="72A6503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w:t>
            </w:r>
          </w:p>
        </w:tc>
      </w:tr>
      <w:tr w14:paraId="3E371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3C7E5CB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vMerge w:val="restart"/>
            <w:noWrap w:val="0"/>
            <w:vAlign w:val="center"/>
          </w:tcPr>
          <w:p w14:paraId="525B09A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固废</w:t>
            </w:r>
          </w:p>
        </w:tc>
        <w:tc>
          <w:tcPr>
            <w:tcW w:w="1989" w:type="pct"/>
            <w:tcBorders>
              <w:right w:val="single" w:color="auto" w:sz="4" w:space="0"/>
            </w:tcBorders>
            <w:noWrap w:val="0"/>
            <w:vAlign w:val="center"/>
          </w:tcPr>
          <w:p w14:paraId="5C669049">
            <w:pPr>
              <w:keepNext w:val="0"/>
              <w:keepLines w:val="0"/>
              <w:suppressLineNumbers w:val="0"/>
              <w:spacing w:before="0" w:beforeAutospacing="0" w:after="0" w:afterAutospacing="0" w:line="360" w:lineRule="exact"/>
              <w:ind w:left="0" w:right="0"/>
              <w:jc w:val="both"/>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生活垃圾定点堆放，有效处置；废石堆存于废石堆场</w:t>
            </w:r>
            <w:r>
              <w:rPr>
                <w:rFonts w:hint="eastAsia" w:ascii="Times New Roman" w:hAnsi="Times New Roman"/>
                <w:b w:val="0"/>
                <w:bCs w:val="0"/>
                <w:color w:val="000000" w:themeColor="text1"/>
                <w:sz w:val="21"/>
                <w:highlight w:val="none"/>
                <w:lang w:val="en-US" w:eastAsia="zh-CN"/>
                <w14:textFill>
                  <w14:solidFill>
                    <w14:schemeClr w14:val="tx1"/>
                  </w14:solidFill>
                </w14:textFill>
              </w:rPr>
              <w:t>。</w:t>
            </w:r>
          </w:p>
        </w:tc>
        <w:tc>
          <w:tcPr>
            <w:tcW w:w="2158" w:type="pct"/>
            <w:tcBorders>
              <w:right w:val="single" w:color="auto" w:sz="4" w:space="0"/>
            </w:tcBorders>
            <w:shd w:val="clear" w:color="auto" w:fill="auto"/>
            <w:noWrap w:val="0"/>
            <w:vAlign w:val="center"/>
          </w:tcPr>
          <w:p w14:paraId="62FC0264">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生活垃圾集中收集，拉运至雅满苏镇生活垃圾填埋场处置；污水站污泥集中收集，拉运至雅满苏镇生活垃圾填埋场处置；废石堆存于废石堆场，定期洒水，压实平整处理，待沉稳后回填井下采空区；沉淀池底泥堆存于废石堆场，回填于采空区或综合利用</w:t>
            </w:r>
            <w:r>
              <w:rPr>
                <w:rFonts w:hint="eastAsia" w:ascii="Times New Roman" w:hAnsi="Times New Roman" w:cs="Times New Roman"/>
                <w:snapToGrid/>
                <w:color w:val="000000" w:themeColor="text1"/>
                <w:kern w:val="2"/>
                <w:sz w:val="21"/>
                <w:szCs w:val="21"/>
                <w:highlight w:val="none"/>
                <w:lang w:val="en-US" w:eastAsia="zh-CN" w:bidi="ar-SA"/>
                <w14:textFill>
                  <w14:solidFill>
                    <w14:schemeClr w14:val="tx1"/>
                  </w14:solidFill>
                </w14:textFill>
              </w:rPr>
              <w:t>。</w:t>
            </w:r>
          </w:p>
        </w:tc>
        <w:tc>
          <w:tcPr>
            <w:tcW w:w="279" w:type="pct"/>
            <w:tcBorders>
              <w:left w:val="single" w:color="auto" w:sz="4" w:space="0"/>
            </w:tcBorders>
            <w:noWrap w:val="0"/>
            <w:vAlign w:val="center"/>
          </w:tcPr>
          <w:p w14:paraId="28F3582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lang w:val="en-US"/>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利旧/新建</w:t>
            </w:r>
          </w:p>
        </w:tc>
      </w:tr>
      <w:tr w14:paraId="03887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25655A0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kern w:val="0"/>
                <w:szCs w:val="21"/>
                <w14:textFill>
                  <w14:solidFill>
                    <w14:schemeClr w14:val="tx1"/>
                  </w14:solidFill>
                </w14:textFill>
              </w:rPr>
            </w:pPr>
          </w:p>
        </w:tc>
        <w:tc>
          <w:tcPr>
            <w:tcW w:w="394" w:type="pct"/>
            <w:vMerge w:val="continue"/>
            <w:noWrap w:val="0"/>
            <w:vAlign w:val="center"/>
          </w:tcPr>
          <w:p w14:paraId="42D0430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p>
        </w:tc>
        <w:tc>
          <w:tcPr>
            <w:tcW w:w="1989" w:type="pct"/>
            <w:tcBorders>
              <w:right w:val="single" w:color="auto" w:sz="4" w:space="0"/>
            </w:tcBorders>
            <w:noWrap w:val="0"/>
            <w:vAlign w:val="center"/>
          </w:tcPr>
          <w:p w14:paraId="7629981E">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43A94D8F">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废矿物油</w:t>
            </w:r>
            <w:r>
              <w:rPr>
                <w:rFonts w:hint="eastAsia" w:cs="Times New Roman"/>
                <w:color w:val="000000" w:themeColor="text1"/>
                <w:kern w:val="0"/>
                <w:szCs w:val="21"/>
                <w:lang w:val="en-US" w:eastAsia="zh-CN"/>
                <w14:textFill>
                  <w14:solidFill>
                    <w14:schemeClr w14:val="tx1"/>
                  </w14:solidFill>
                </w14:textFill>
              </w:rPr>
              <w:t>等危险废物</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暂存于</w:t>
            </w:r>
            <w:r>
              <w:rPr>
                <w:rFonts w:hint="eastAsia" w:cs="Times New Roman"/>
                <w:color w:val="000000" w:themeColor="text1"/>
                <w:kern w:val="0"/>
                <w:szCs w:val="21"/>
                <w:lang w:val="en-US" w:eastAsia="zh-CN"/>
                <w14:textFill>
                  <w14:solidFill>
                    <w14:schemeClr w14:val="tx1"/>
                  </w14:solidFill>
                </w14:textFill>
              </w:rPr>
              <w:t>危废贮存点</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r>
              <w:rPr>
                <w:rFonts w:hint="eastAsia" w:cs="Times New Roman"/>
                <w:color w:val="000000" w:themeColor="text1"/>
                <w:kern w:val="0"/>
                <w:szCs w:val="21"/>
                <w:lang w:val="en-US" w:eastAsia="zh-CN"/>
                <w14:textFill>
                  <w14:solidFill>
                    <w14:schemeClr w14:val="tx1"/>
                  </w14:solidFill>
                </w14:textFill>
              </w:rPr>
              <w:t>20</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m</w:t>
            </w:r>
            <w:r>
              <w:rPr>
                <w:rFonts w:hint="eastAsia" w:cs="Times New Roman"/>
                <w:color w:val="000000" w:themeColor="text1"/>
                <w:kern w:val="0"/>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r>
              <w:rPr>
                <w:rFonts w:hint="default" w:ascii="Times New Roman" w:hAnsi="Times New Roman" w:cs="Times New Roman"/>
                <w:color w:val="000000" w:themeColor="text1"/>
                <w:kern w:val="0"/>
                <w:szCs w:val="21"/>
                <w:lang w:val="zh-CN"/>
                <w14:textFill>
                  <w14:solidFill>
                    <w14:schemeClr w14:val="tx1"/>
                  </w14:solidFill>
                </w14:textFill>
              </w:rPr>
              <w:t>设在西风井1工业场地</w:t>
            </w:r>
            <w:r>
              <w:rPr>
                <w:rFonts w:hint="eastAsia" w:cs="Times New Roman"/>
                <w:color w:val="000000" w:themeColor="text1"/>
                <w:kern w:val="0"/>
                <w:szCs w:val="21"/>
                <w:lang w:val="zh-CN"/>
                <w14:textFill>
                  <w14:solidFill>
                    <w14:schemeClr w14:val="tx1"/>
                  </w14:solidFill>
                </w14:textFill>
              </w:rPr>
              <w:t>内</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），定期交由有资质</w:t>
            </w:r>
            <w:r>
              <w:rPr>
                <w:rFonts w:hint="eastAsia" w:cs="Times New Roman"/>
                <w:color w:val="000000" w:themeColor="text1"/>
                <w:kern w:val="0"/>
                <w:szCs w:val="21"/>
                <w:lang w:val="en-US" w:eastAsia="zh-CN"/>
                <w14:textFill>
                  <w14:solidFill>
                    <w14:schemeClr w14:val="tx1"/>
                  </w14:solidFill>
                </w14:textFill>
              </w:rPr>
              <w:t>的</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单位回收</w:t>
            </w:r>
            <w:r>
              <w:rPr>
                <w:rFonts w:hint="eastAsia" w:cs="Times New Roman"/>
                <w:color w:val="000000" w:themeColor="text1"/>
                <w:kern w:val="0"/>
                <w:szCs w:val="21"/>
                <w:lang w:val="en-US" w:eastAsia="zh-CN"/>
                <w14:textFill>
                  <w14:solidFill>
                    <w14:schemeClr w14:val="tx1"/>
                  </w14:solidFill>
                </w14:textFill>
              </w:rPr>
              <w:t>处置</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p>
        </w:tc>
        <w:tc>
          <w:tcPr>
            <w:tcW w:w="279" w:type="pct"/>
            <w:tcBorders>
              <w:left w:val="single" w:color="auto" w:sz="4" w:space="0"/>
            </w:tcBorders>
            <w:noWrap w:val="0"/>
            <w:vAlign w:val="center"/>
          </w:tcPr>
          <w:p w14:paraId="4FC2B65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lang w:eastAsia="zh-CN"/>
                <w14:textFill>
                  <w14:solidFill>
                    <w14:schemeClr w14:val="tx1"/>
                  </w14:solidFill>
                </w14:textFill>
              </w:rPr>
              <w:t>新建</w:t>
            </w:r>
          </w:p>
        </w:tc>
      </w:tr>
      <w:tr w14:paraId="5A07B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25CE36A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kern w:val="0"/>
                <w:szCs w:val="21"/>
                <w14:textFill>
                  <w14:solidFill>
                    <w14:schemeClr w14:val="tx1"/>
                  </w14:solidFill>
                </w14:textFill>
              </w:rPr>
            </w:pPr>
          </w:p>
        </w:tc>
        <w:tc>
          <w:tcPr>
            <w:tcW w:w="394" w:type="pct"/>
            <w:noWrap w:val="0"/>
            <w:vAlign w:val="center"/>
          </w:tcPr>
          <w:p w14:paraId="255017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噪声</w:t>
            </w:r>
          </w:p>
        </w:tc>
        <w:tc>
          <w:tcPr>
            <w:tcW w:w="1989" w:type="pct"/>
            <w:tcBorders>
              <w:right w:val="single" w:color="auto" w:sz="4" w:space="0"/>
            </w:tcBorders>
            <w:noWrap w:val="0"/>
            <w:vAlign w:val="center"/>
          </w:tcPr>
          <w:p w14:paraId="28C04D24">
            <w:pPr>
              <w:keepNext w:val="0"/>
              <w:keepLines w:val="0"/>
              <w:suppressLineNumbers w:val="0"/>
              <w:spacing w:before="0" w:beforeAutospacing="0" w:after="0" w:afterAutospacing="0" w:line="360" w:lineRule="exact"/>
              <w:ind w:left="0" w:right="0"/>
              <w:jc w:val="both"/>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采用低噪声设备，对噪声源进行隔声、设置减振装置</w:t>
            </w:r>
            <w:r>
              <w:rPr>
                <w:rFonts w:hint="eastAsia" w:ascii="Times New Roman" w:hAnsi="Times New Roman"/>
                <w:b w:val="0"/>
                <w:bCs w:val="0"/>
                <w:color w:val="000000" w:themeColor="text1"/>
                <w:sz w:val="21"/>
                <w:highlight w:val="none"/>
                <w:lang w:val="en-US" w:eastAsia="zh-CN"/>
                <w14:textFill>
                  <w14:solidFill>
                    <w14:schemeClr w14:val="tx1"/>
                  </w14:solidFill>
                </w14:textFill>
              </w:rPr>
              <w:t>。</w:t>
            </w:r>
          </w:p>
        </w:tc>
        <w:tc>
          <w:tcPr>
            <w:tcW w:w="2158" w:type="pct"/>
            <w:tcBorders>
              <w:right w:val="single" w:color="auto" w:sz="4" w:space="0"/>
            </w:tcBorders>
            <w:shd w:val="clear" w:color="auto" w:fill="auto"/>
            <w:noWrap w:val="0"/>
            <w:vAlign w:val="center"/>
          </w:tcPr>
          <w:p w14:paraId="4EFAD02A">
            <w:pPr>
              <w:keepNext w:val="0"/>
              <w:keepLines w:val="0"/>
              <w:suppressLineNumbers w:val="0"/>
              <w:spacing w:before="0" w:beforeAutospacing="0" w:after="0" w:afterAutospacing="0" w:line="360" w:lineRule="exact"/>
              <w:ind w:left="0" w:leftChars="0" w:right="0" w:right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highlight w:val="none"/>
                <w:lang w:val="en-US" w:eastAsia="zh-CN"/>
                <w14:textFill>
                  <w14:solidFill>
                    <w14:schemeClr w14:val="tx1"/>
                  </w14:solidFill>
                </w14:textFill>
              </w:rPr>
              <w:t>采用低噪声设备，对噪声源进行隔声、设置减振装置</w:t>
            </w:r>
            <w:r>
              <w:rPr>
                <w:rFonts w:hint="eastAsia" w:ascii="Times New Roman" w:hAnsi="Times New Roman"/>
                <w:b w:val="0"/>
                <w:bCs w:val="0"/>
                <w:color w:val="000000" w:themeColor="text1"/>
                <w:sz w:val="21"/>
                <w:highlight w:val="none"/>
                <w:lang w:val="en-US" w:eastAsia="zh-CN"/>
                <w14:textFill>
                  <w14:solidFill>
                    <w14:schemeClr w14:val="tx1"/>
                  </w14:solidFill>
                </w14:textFill>
              </w:rPr>
              <w:t>。因原有设备老旧需淘汰，故需新建噪声污染防治措施/设施。</w:t>
            </w:r>
          </w:p>
        </w:tc>
        <w:tc>
          <w:tcPr>
            <w:tcW w:w="279" w:type="pct"/>
            <w:tcBorders>
              <w:left w:val="single" w:color="auto" w:sz="4" w:space="0"/>
            </w:tcBorders>
            <w:noWrap w:val="0"/>
            <w:vAlign w:val="center"/>
          </w:tcPr>
          <w:p w14:paraId="6A48B63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新建</w:t>
            </w:r>
          </w:p>
        </w:tc>
      </w:tr>
      <w:tr w14:paraId="2BDCB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4327C3D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394" w:type="pct"/>
            <w:noWrap w:val="0"/>
            <w:vAlign w:val="center"/>
          </w:tcPr>
          <w:p w14:paraId="12DE993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环境风险</w:t>
            </w:r>
          </w:p>
        </w:tc>
        <w:tc>
          <w:tcPr>
            <w:tcW w:w="1989" w:type="pct"/>
            <w:tcBorders>
              <w:right w:val="single" w:color="auto" w:sz="4" w:space="0"/>
            </w:tcBorders>
            <w:noWrap w:val="0"/>
            <w:vAlign w:val="center"/>
          </w:tcPr>
          <w:p w14:paraId="29A9C9C6">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无</w:t>
            </w:r>
          </w:p>
        </w:tc>
        <w:tc>
          <w:tcPr>
            <w:tcW w:w="2158" w:type="pct"/>
            <w:tcBorders>
              <w:right w:val="single" w:color="auto" w:sz="4" w:space="0"/>
            </w:tcBorders>
            <w:shd w:val="clear" w:color="auto" w:fill="auto"/>
            <w:noWrap w:val="0"/>
            <w:vAlign w:val="center"/>
          </w:tcPr>
          <w:p w14:paraId="05D8956E">
            <w:pPr>
              <w:keepNext w:val="0"/>
              <w:keepLines w:val="0"/>
              <w:suppressLineNumbers w:val="0"/>
              <w:spacing w:before="0" w:beforeAutospacing="0" w:after="0" w:afterAutospacing="0" w:line="360" w:lineRule="exact"/>
              <w:ind w:left="0" w:leftChars="0" w:right="0" w:right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制定突发环境事件应急预案，危废贮存点防渗、设置收集池、</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配备消防器材</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设置警戒设施，设置防静电设施、避雷针和接地保护</w:t>
            </w: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279" w:type="pct"/>
            <w:tcBorders>
              <w:left w:val="single" w:color="auto" w:sz="4" w:space="0"/>
            </w:tcBorders>
            <w:noWrap w:val="0"/>
            <w:vAlign w:val="center"/>
          </w:tcPr>
          <w:p w14:paraId="6B32B78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新建</w:t>
            </w:r>
          </w:p>
        </w:tc>
      </w:tr>
      <w:tr w14:paraId="56FF8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7" w:type="pct"/>
            <w:vMerge w:val="continue"/>
            <w:noWrap w:val="0"/>
            <w:vAlign w:val="center"/>
          </w:tcPr>
          <w:p w14:paraId="7D7A0A8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394" w:type="pct"/>
            <w:shd w:val="clear" w:color="auto" w:fill="auto"/>
            <w:noWrap w:val="0"/>
            <w:vAlign w:val="center"/>
          </w:tcPr>
          <w:p w14:paraId="47D5F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生态恢复</w:t>
            </w:r>
          </w:p>
        </w:tc>
        <w:tc>
          <w:tcPr>
            <w:tcW w:w="1989" w:type="pct"/>
            <w:tcBorders>
              <w:right w:val="single" w:color="auto" w:sz="4" w:space="0"/>
            </w:tcBorders>
            <w:shd w:val="clear" w:color="auto" w:fill="auto"/>
            <w:noWrap w:val="0"/>
            <w:vAlign w:val="center"/>
          </w:tcPr>
          <w:p w14:paraId="3C376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施工期临时占地生态恢复治理</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2158" w:type="pct"/>
            <w:tcBorders>
              <w:right w:val="single" w:color="auto" w:sz="4" w:space="0"/>
            </w:tcBorders>
            <w:shd w:val="clear" w:color="auto" w:fill="auto"/>
            <w:noWrap w:val="0"/>
            <w:vAlign w:val="center"/>
          </w:tcPr>
          <w:p w14:paraId="1EDED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施工期临时占地生态恢复治理，运营期、退役期生态恢复治理</w:t>
            </w:r>
          </w:p>
        </w:tc>
        <w:tc>
          <w:tcPr>
            <w:tcW w:w="279" w:type="pct"/>
            <w:tcBorders>
              <w:left w:val="single" w:color="auto" w:sz="4" w:space="0"/>
            </w:tcBorders>
            <w:shd w:val="clear" w:color="auto" w:fill="auto"/>
            <w:noWrap w:val="0"/>
            <w:vAlign w:val="center"/>
          </w:tcPr>
          <w:p w14:paraId="2B3EA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利旧/新建</w:t>
            </w:r>
          </w:p>
        </w:tc>
      </w:tr>
    </w:tbl>
    <w:p w14:paraId="754A74CB">
      <w:pPr>
        <w:pStyle w:val="18"/>
        <w:spacing w:line="480" w:lineRule="exact"/>
        <w:ind w:firstLine="480"/>
        <w:rPr>
          <w:rFonts w:hint="eastAsia" w:ascii="Times New Roman" w:hAnsi="Times New Roman" w:cs="Times New Roman"/>
          <w:color w:val="000000" w:themeColor="text1"/>
          <w:sz w:val="24"/>
          <w:lang w:bidi="ar"/>
          <w14:textFill>
            <w14:solidFill>
              <w14:schemeClr w14:val="tx1"/>
            </w14:solidFill>
          </w14:textFill>
        </w:rPr>
        <w:sectPr>
          <w:footerReference r:id="rId22" w:type="default"/>
          <w:footerReference r:id="rId23" w:type="even"/>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E324A61">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.1.2产品方案</w:t>
      </w:r>
    </w:p>
    <w:p w14:paraId="297916C8">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本项目产品为原矿石，平均品位TFe34.19%，mFe25.36%，块度</w:t>
      </w:r>
      <w:r>
        <w:rPr>
          <w:color w:val="000000" w:themeColor="text1"/>
          <w:sz w:val="24"/>
          <w:lang w:bidi="ar"/>
          <w14:textFill>
            <w14:solidFill>
              <w14:schemeClr w14:val="tx1"/>
            </w14:solidFill>
          </w14:textFill>
        </w:rPr>
        <w:t>≤</w:t>
      </w:r>
      <w:r>
        <w:rPr>
          <w:rFonts w:hint="eastAsia"/>
          <w:color w:val="000000" w:themeColor="text1"/>
          <w:sz w:val="24"/>
          <w:lang w:bidi="ar"/>
          <w14:textFill>
            <w14:solidFill>
              <w14:schemeClr w14:val="tx1"/>
            </w14:solidFill>
          </w14:textFill>
        </w:rPr>
        <w:t>350mm，产品运至西成矿业选矿厂作为选矿原料。开采方式为地下开采，竖井开拓方案，采矿方法为</w:t>
      </w:r>
      <w:r>
        <w:rPr>
          <w:rFonts w:hint="eastAsia"/>
          <w:color w:val="000000" w:themeColor="text1"/>
          <w:sz w:val="24"/>
          <w:szCs w:val="24"/>
          <w:highlight w:val="none"/>
          <w14:textFill>
            <w14:solidFill>
              <w14:schemeClr w14:val="tx1"/>
            </w14:solidFill>
          </w14:textFill>
        </w:rPr>
        <w:t>无底柱</w:t>
      </w:r>
      <w:r>
        <w:rPr>
          <w:rFonts w:hint="eastAsia"/>
          <w:color w:val="000000" w:themeColor="text1"/>
          <w:sz w:val="24"/>
          <w:szCs w:val="24"/>
          <w:highlight w:val="none"/>
          <w:lang w:val="en-US" w:eastAsia="zh-CN"/>
          <w14:textFill>
            <w14:solidFill>
              <w14:schemeClr w14:val="tx1"/>
            </w14:solidFill>
          </w14:textFill>
        </w:rPr>
        <w:t>分段崩落法</w:t>
      </w:r>
      <w:r>
        <w:rPr>
          <w:rFonts w:hint="eastAsia"/>
          <w:color w:val="000000" w:themeColor="text1"/>
          <w:sz w:val="24"/>
          <w:lang w:bidi="ar"/>
          <w14:textFill>
            <w14:solidFill>
              <w14:schemeClr w14:val="tx1"/>
            </w14:solidFill>
          </w14:textFill>
        </w:rPr>
        <w:t>，采矿综合回采率85%，贫化率1</w:t>
      </w:r>
      <w:r>
        <w:rPr>
          <w:rFonts w:hint="eastAsia"/>
          <w:color w:val="000000" w:themeColor="text1"/>
          <w:sz w:val="24"/>
          <w:lang w:val="en-US" w:eastAsia="zh-CN" w:bidi="ar"/>
          <w14:textFill>
            <w14:solidFill>
              <w14:schemeClr w14:val="tx1"/>
            </w14:solidFill>
          </w14:textFill>
        </w:rPr>
        <w:t>0</w:t>
      </w:r>
      <w:r>
        <w:rPr>
          <w:rFonts w:hint="eastAsia"/>
          <w:color w:val="000000" w:themeColor="text1"/>
          <w:sz w:val="24"/>
          <w:lang w:bidi="ar"/>
          <w14:textFill>
            <w14:solidFill>
              <w14:schemeClr w14:val="tx1"/>
            </w14:solidFill>
          </w14:textFill>
        </w:rPr>
        <w:t>%。</w:t>
      </w:r>
    </w:p>
    <w:p w14:paraId="1E4FB8A0">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.1.3服务年限</w:t>
      </w:r>
    </w:p>
    <w:p w14:paraId="52B55E16">
      <w:pPr>
        <w:pStyle w:val="18"/>
        <w:spacing w:line="480" w:lineRule="exact"/>
        <w:ind w:firstLine="480"/>
        <w:rPr>
          <w:rFonts w:hint="eastAsia"/>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哈密市西成矿业有限责任公司M</w:t>
      </w:r>
      <w:r>
        <w:rPr>
          <w:color w:val="000000" w:themeColor="text1"/>
          <w:sz w:val="24"/>
          <w:lang w:bidi="ar"/>
          <w14:textFill>
            <w14:solidFill>
              <w14:schemeClr w14:val="tx1"/>
            </w14:solidFill>
          </w14:textFill>
        </w:rPr>
        <w:t>1033</w:t>
      </w:r>
      <w:r>
        <w:rPr>
          <w:rFonts w:hint="eastAsia"/>
          <w:color w:val="000000" w:themeColor="text1"/>
          <w:sz w:val="24"/>
          <w:lang w:bidi="ar"/>
          <w14:textFill>
            <w14:solidFill>
              <w14:schemeClr w14:val="tx1"/>
            </w14:solidFill>
          </w14:textFill>
        </w:rPr>
        <w:t>铁矿生产时间250天/年，矿山生产规模为60.00万吨/年（2400吨/天），</w:t>
      </w:r>
      <w:r>
        <w:rPr>
          <w:rFonts w:hint="eastAsia"/>
          <w:color w:val="000000" w:themeColor="text1"/>
          <w:sz w:val="24"/>
          <w14:textFill>
            <w14:solidFill>
              <w14:schemeClr w14:val="tx1"/>
            </w14:solidFill>
          </w14:textFill>
        </w:rPr>
        <w:t>生产服务年限为</w:t>
      </w:r>
      <w:r>
        <w:rPr>
          <w:rFonts w:hint="eastAsia"/>
          <w:color w:val="000000" w:themeColor="text1"/>
          <w:sz w:val="24"/>
          <w:lang w:val="en-US" w:eastAsia="zh-CN"/>
          <w14:textFill>
            <w14:solidFill>
              <w14:schemeClr w14:val="tx1"/>
            </w14:solidFill>
          </w14:textFill>
        </w:rPr>
        <w:t>13.31</w:t>
      </w:r>
      <w:r>
        <w:rPr>
          <w:rFonts w:hint="eastAsia"/>
          <w:color w:val="000000" w:themeColor="text1"/>
          <w:sz w:val="24"/>
          <w14:textFill>
            <w14:solidFill>
              <w14:schemeClr w14:val="tx1"/>
            </w14:solidFill>
          </w14:textFill>
        </w:rPr>
        <w:t>a（</w:t>
      </w:r>
      <w:r>
        <w:rPr>
          <w:rFonts w:hint="eastAsia"/>
          <w:color w:val="000000" w:themeColor="text1"/>
          <w:sz w:val="24"/>
          <w:lang w:bidi="ar"/>
          <w14:textFill>
            <w14:solidFill>
              <w14:schemeClr w14:val="tx1"/>
            </w14:solidFill>
          </w14:textFill>
        </w:rPr>
        <w:t>1</w:t>
      </w:r>
      <w:r>
        <w:rPr>
          <w:rFonts w:hint="eastAsia"/>
          <w:color w:val="000000" w:themeColor="text1"/>
          <w:sz w:val="24"/>
          <w:lang w:val="en-US" w:eastAsia="zh-CN" w:bidi="ar"/>
          <w14:textFill>
            <w14:solidFill>
              <w14:schemeClr w14:val="tx1"/>
            </w14:solidFill>
          </w14:textFill>
        </w:rPr>
        <w:t>3</w:t>
      </w:r>
      <w:r>
        <w:rPr>
          <w:rFonts w:hint="eastAsia"/>
          <w:color w:val="000000" w:themeColor="text1"/>
          <w:sz w:val="24"/>
          <w:lang w:bidi="ar"/>
          <w14:textFill>
            <w14:solidFill>
              <w14:schemeClr w14:val="tx1"/>
            </w14:solidFill>
          </w14:textFill>
        </w:rPr>
        <w:t>年</w:t>
      </w:r>
      <w:r>
        <w:rPr>
          <w:rFonts w:hint="eastAsia"/>
          <w:color w:val="000000" w:themeColor="text1"/>
          <w:sz w:val="24"/>
          <w:lang w:val="en-US" w:eastAsia="zh-CN" w:bidi="ar"/>
          <w14:textFill>
            <w14:solidFill>
              <w14:schemeClr w14:val="tx1"/>
            </w14:solidFill>
          </w14:textFill>
        </w:rPr>
        <w:t>4</w:t>
      </w:r>
      <w:r>
        <w:rPr>
          <w:rFonts w:hint="eastAsia"/>
          <w:color w:val="000000" w:themeColor="text1"/>
          <w:sz w:val="24"/>
          <w:lang w:bidi="ar"/>
          <w14:textFill>
            <w14:solidFill>
              <w14:schemeClr w14:val="tx1"/>
            </w14:solidFill>
          </w14:textFill>
        </w:rPr>
        <w:t>个月</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不含基建期</w:t>
      </w:r>
      <w:r>
        <w:rPr>
          <w:rFonts w:hint="eastAsia"/>
          <w:color w:val="000000" w:themeColor="text1"/>
          <w:sz w:val="24"/>
          <w:lang w:bidi="ar"/>
          <w14:textFill>
            <w14:solidFill>
              <w14:schemeClr w14:val="tx1"/>
            </w14:solidFill>
          </w14:textFill>
        </w:rPr>
        <w:t>。</w:t>
      </w:r>
    </w:p>
    <w:p w14:paraId="6E8BAE6A">
      <w:pPr>
        <w:pStyle w:val="18"/>
        <w:spacing w:line="480" w:lineRule="exact"/>
        <w:ind w:firstLine="480"/>
        <w:rPr>
          <w:rFonts w:hint="default"/>
          <w:color w:val="000000" w:themeColor="text1"/>
          <w:sz w:val="24"/>
          <w:lang w:val="en-US" w:bidi="ar"/>
          <w14:textFill>
            <w14:solidFill>
              <w14:schemeClr w14:val="tx1"/>
            </w14:solidFill>
          </w14:textFill>
        </w:rPr>
      </w:pPr>
      <w:r>
        <w:rPr>
          <w:rFonts w:hint="eastAsia"/>
          <w:color w:val="000000" w:themeColor="text1"/>
          <w:sz w:val="24"/>
          <w:lang w:val="en-US" w:eastAsia="zh-CN" w:bidi="ar"/>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基建期为1年。</w:t>
      </w:r>
    </w:p>
    <w:p w14:paraId="25038A28">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.1.4矿区范围</w:t>
      </w:r>
    </w:p>
    <w:p w14:paraId="49CA6EEA">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本项目延续采矿权的矿区范围不</w:t>
      </w:r>
      <w:r>
        <w:rPr>
          <w:rFonts w:hint="eastAsia"/>
          <w:color w:val="000000" w:themeColor="text1"/>
          <w:sz w:val="24"/>
          <w:lang w:val="en-US" w:eastAsia="zh-CN" w:bidi="ar"/>
          <w14:textFill>
            <w14:solidFill>
              <w14:schemeClr w14:val="tx1"/>
            </w14:solidFill>
          </w14:textFill>
        </w:rPr>
        <w:t>作</w:t>
      </w:r>
      <w:r>
        <w:rPr>
          <w:rFonts w:hint="eastAsia"/>
          <w:color w:val="000000" w:themeColor="text1"/>
          <w:sz w:val="24"/>
          <w:lang w:bidi="ar"/>
          <w14:textFill>
            <w14:solidFill>
              <w14:schemeClr w14:val="tx1"/>
            </w14:solidFill>
          </w14:textFill>
        </w:rPr>
        <w:t>调整，矿区范围由4个拐点圈定，矿区面积1.0401km</w:t>
      </w:r>
      <w:r>
        <w:rPr>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，开采标高为1240～900m。</w:t>
      </w:r>
      <w:r>
        <w:rPr>
          <w:rFonts w:hint="eastAsia"/>
          <w:color w:val="000000" w:themeColor="text1"/>
          <w:sz w:val="24"/>
          <w:szCs w:val="28"/>
          <w14:textFill>
            <w14:solidFill>
              <w14:schemeClr w14:val="tx1"/>
            </w14:solidFill>
          </w14:textFill>
        </w:rPr>
        <w:t>矿区范围</w:t>
      </w:r>
      <w:r>
        <w:rPr>
          <w:rFonts w:hint="eastAsia"/>
          <w:color w:val="000000" w:themeColor="text1"/>
          <w:sz w:val="24"/>
          <w:lang w:bidi="ar"/>
          <w14:textFill>
            <w14:solidFill>
              <w14:schemeClr w14:val="tx1"/>
            </w14:solidFill>
          </w14:textFill>
        </w:rPr>
        <w:t>拐点坐标见表</w:t>
      </w:r>
      <w:r>
        <w:rPr>
          <w:rFonts w:hint="eastAsia"/>
          <w:color w:val="000000" w:themeColor="text1"/>
          <w:sz w:val="24"/>
          <w:szCs w:val="28"/>
          <w14:textFill>
            <w14:solidFill>
              <w14:schemeClr w14:val="tx1"/>
            </w14:solidFill>
          </w14:textFill>
        </w:rPr>
        <w:t>3.</w:t>
      </w:r>
      <w:r>
        <w:rPr>
          <w:color w:val="000000" w:themeColor="text1"/>
          <w:sz w:val="24"/>
          <w:szCs w:val="28"/>
          <w14:textFill>
            <w14:solidFill>
              <w14:schemeClr w14:val="tx1"/>
            </w14:solidFill>
          </w14:textFill>
        </w:rPr>
        <w:t>1</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p>
    <w:p w14:paraId="7CA7225E">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.1.5矿体特征</w:t>
      </w:r>
    </w:p>
    <w:p w14:paraId="0702450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（1）矿体概述</w:t>
      </w:r>
    </w:p>
    <w:p w14:paraId="79EFC17C">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M1033铁矿产于下寒武统双鹰山组第四岩段(∈</w:t>
      </w:r>
      <w:r>
        <w:rPr>
          <w:rFonts w:hint="eastAsia"/>
          <w:color w:val="000000" w:themeColor="text1"/>
          <w:sz w:val="24"/>
          <w:szCs w:val="28"/>
          <w:vertAlign w:val="subscript"/>
          <w14:textFill>
            <w14:solidFill>
              <w14:schemeClr w14:val="tx1"/>
            </w14:solidFill>
          </w14:textFill>
        </w:rPr>
        <w:t>1</w:t>
      </w:r>
      <w:r>
        <w:rPr>
          <w:rFonts w:hint="eastAsia"/>
          <w:color w:val="000000" w:themeColor="text1"/>
          <w:sz w:val="24"/>
          <w:szCs w:val="28"/>
          <w14:textFill>
            <w14:solidFill>
              <w14:schemeClr w14:val="tx1"/>
            </w14:solidFill>
          </w14:textFill>
        </w:rPr>
        <w:t>S</w:t>
      </w:r>
      <w:r>
        <w:rPr>
          <w:rFonts w:hint="eastAsia"/>
          <w:color w:val="000000" w:themeColor="text1"/>
          <w:sz w:val="24"/>
          <w:szCs w:val="28"/>
          <w:vertAlign w:val="superscript"/>
          <w14:textFill>
            <w14:solidFill>
              <w14:schemeClr w14:val="tx1"/>
            </w14:solidFill>
          </w14:textFill>
        </w:rPr>
        <w:t>4</w:t>
      </w:r>
      <w:r>
        <w:rPr>
          <w:rFonts w:hint="eastAsia"/>
          <w:color w:val="000000" w:themeColor="text1"/>
          <w:sz w:val="24"/>
          <w:szCs w:val="28"/>
          <w14:textFill>
            <w14:solidFill>
              <w14:schemeClr w14:val="tx1"/>
            </w14:solidFill>
          </w14:textFill>
        </w:rPr>
        <w:t>)磁铁矿化绿泥石石英片岩和磁铁矿化绿泥石片岩中，通过综合矿区内所有的探矿和生产探矿工作，本次核实工作共圈出了3条磁铁矿体，均为盲矿体。自西至东分别编号为Ⅰ-2、Ⅰ-1和Ⅲ号矿体。其中Ⅰ-1和Ⅲ号矿体规模较大，Ⅰ-1号矿体为未开采矿体。</w:t>
      </w:r>
    </w:p>
    <w:p w14:paraId="6B97BD8B">
      <w:pPr>
        <w:spacing w:line="480" w:lineRule="exact"/>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各矿体受层位控制明显</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控矿构造为近东西向的构造裂隙</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矿体走向与构造线方向一致</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为近东西向。各铁矿体长度350～547m不等；形态较简单，呈层状及透镜状，在走向、倾向上具膨缩现象</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产状相对较稳定</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矿体总体走向256～268°</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整体向南倾。各矿体特征叙述如下：</w:t>
      </w:r>
    </w:p>
    <w:p w14:paraId="6D3AF617">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Ⅰ-1号矿体：该矿体为隐伏矿体已开采，分布于矿区中东部，位于00～03勘查线之间，呈层状产出，赋矿岩性为磁铁矿化绿泥石石英片岩和磁铁矿化绿泥石片岩；自上而下由1187m中段、1144m中段、1080m中段、1030m中段四层坑道控制；深部由钻孔ZK00-1、ZK01-1、ZK2-101、ZK2-102、ZK02-1、ZK02-4、KDZ002、KDZ1-103共8钻孔控制，矿体深部沿走向控制长527m（含外推部分）；深部控制最大斜深354m（00线），最小斜深80m（02线），最大垂深312m（00线），最小垂深96m（2-1线）；控制最低标高（资源量估算最低标高）为840m（00线），资源量估算标高840～1237m，矿体整体走向268°，平均倾向178°，倾角84°，总体表现为陡倾矿体，呈层状分布，内部结构简单，无夹石。</w:t>
      </w:r>
    </w:p>
    <w:p w14:paraId="125CE6A3">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单工程控制矿体最小厚度2.18m（ZK2-102），最大24.99m（CM1-7），平均厚度14.64m，厚度变化系数35.85%，厚度变化稳定；单工程控制矿体TFe最低品位30.37%（CM7-6），最高品位34.77%（CM2-1），平均品位32.83%；mFe最低品位20.02%（ZK2-102），最高品位26.91%（KDZ002），平均品位24.66%。单样品TFe最低品位21.36%（KDZ002H16），最高品位44.22%（CK2-5H5），平均品位32.91%，TFe品位变化系数14.25%；单样品mFe最低品位20.02%（CM7-3H2），最高品位38.54%（CM1-1H3），平均品位26.22%，mFe品位变化系数16.35%。矿体连续性较好，品位变化均匀。</w:t>
      </w:r>
    </w:p>
    <w:p w14:paraId="4FC15357">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Ⅰ-1号矿体一中段（1187m标高）2-1线至东部采矿权边界，二中段（1144m标高）2-1线至1-1线之间及00号勘查线至采矿权东部边界已采空，该部分资源量已在最近一次生产地质报告中核销；三中段（1080m标高）00线至01线，四中段（1030m标高）00线以东至01线采空，为本次资源储量核实报告需要核销的部分。</w:t>
      </w:r>
    </w:p>
    <w:p w14:paraId="06CED180">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矿体厚度在深部沿走向上总体有西部厚，东部薄的趋势，沿倾向上总体</w:t>
      </w:r>
      <w:r>
        <w:rPr>
          <w:rFonts w:hint="eastAsia"/>
          <w:color w:val="000000" w:themeColor="text1"/>
          <w:sz w:val="24"/>
          <w:szCs w:val="28"/>
          <w:lang w:val="en-US" w:eastAsia="zh-CN"/>
          <w14:textFill>
            <w14:solidFill>
              <w14:schemeClr w14:val="tx1"/>
            </w14:solidFill>
          </w14:textFill>
        </w:rPr>
        <w:t>有</w:t>
      </w:r>
      <w:r>
        <w:rPr>
          <w:rFonts w:hint="eastAsia"/>
          <w:color w:val="000000" w:themeColor="text1"/>
          <w:sz w:val="24"/>
          <w:szCs w:val="28"/>
          <w14:textFill>
            <w14:solidFill>
              <w14:schemeClr w14:val="tx1"/>
            </w14:solidFill>
          </w14:textFill>
        </w:rPr>
        <w:t>由厚变薄的趋势；TFe品位在走向上有西部高于东部的趋势，沿倾向上总体有由高变低的趋势；mFe品位在走向上有东西两端略高于中部的趋势，沿倾向上总体有由高变低的趋势。</w:t>
      </w:r>
    </w:p>
    <w:p w14:paraId="31BE3211">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Ⅲ号矿体：该矿体为隐伏矿体未开采，分布于矿区中东部Ⅰ-1号矿体南部，与Ⅰ-1号矿体近平行分布，位于00～03勘查线之间，呈层状产出，赋矿岩性为磁铁矿化绿泥石石英片岩和磁铁矿化绿泥石片岩；深部由钻孔ZK00-1、ZK00-2、ZK1-101、ZK01-1、ZK01-2、ZK2-102、ZK02-1、ZK02-2、ZK02-3、KDZ001、KDZ1-101、KDZ1-102、KDZ0101共13钻孔控制，矿体深部沿走向控制长547m（含外推部分）；深部控制最大斜深224m（02线），最小斜深80m（2-1线），最大垂深220m（02线），最小垂深171m（1-1线）；控制最低标高（资源量估算最低标高）为871m（02线），资源量估算标高871～1237m，矿体整体走向271°，平均倾向181°，倾角81°，总体表现为陡倾矿体，呈层状分布，内部结构简单，无夹石。</w:t>
      </w:r>
    </w:p>
    <w:p w14:paraId="21DCA8F9">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单工程控制矿体最小厚度2.72m（ZK02-3），最大20.01m（CM00-1），平均厚度9.63m，厚度变化系数63.47%，厚度变化较稳定；单工程控制矿体TFe最低品位32.16%（ZK02-1），最高品位37.66%（ZK00-2），平均品位34.92%；mFe最低品位20.04%（ZK02-3），最高品位31.48%（ZK00-2），平均品位26.30%。单样品TFe最低品位21.25%（ZK01-2H9），最高品位42.43%（KDZ1-101H3），平均品位34.52%，TFe品位变化系数14.93%；单样品mFe最低品位20.66%（ZK01-2H11），最高品位38.91%（KDZ0101H5），平均品位29.05%，mFe品位变化系数16.11%。矿体连续性较好，品位变化均匀。</w:t>
      </w:r>
    </w:p>
    <w:p w14:paraId="18CC4164">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体厚度在深部沿走向上总体有东部略厚于西部的趋势，沿倾向上总体由厚变薄的趋势；TFe品位在走向上有东部略高于西部的趋势，总体变化不大；沿倾向上总体有由低变高的趋势；mFe品位在走向和倾向上整体表现为中部高两端低的趋势。</w:t>
      </w:r>
    </w:p>
    <w:p w14:paraId="719209D7">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Ⅰ-2号矿体：该矿体为隐伏矿体未开采，分布于矿区西部，位于05～06勘查线之间，呈透镜状产出，赋矿岩性为磁铁矿化绿泥石石英片岩和磁铁矿化绿泥石片岩；深部由钻孔ZK06-2和ZK05-2控制。</w:t>
      </w:r>
    </w:p>
    <w:p w14:paraId="5EF3B814">
      <w:pPr>
        <w:spacing w:line="480" w:lineRule="exact"/>
        <w:ind w:firstLine="480" w:firstLineChars="20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体深部沿走向控制长350m（含外推部分）；深部控制最大斜深80m，最大垂深79m；控制最低标高（资源量估算最低标高）为957m（02线），资源量估算标高957～1069m，矿体整体走向255°，平均倾向165°，倾角82°，总体表现为陡倾矿体，呈透镜状分布，内部结构简单，无夹石。</w:t>
      </w:r>
    </w:p>
    <w:p w14:paraId="3D53620A">
      <w:pPr>
        <w:spacing w:line="480" w:lineRule="exact"/>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单工程控制矿体最小厚度2.43m，最大5.15m，平均厚度3.79m，厚度变化系数50.75%，厚度变化较稳定；单工程控制矿体TFe最低品位31.70%，最高品位38.31%，平均品位35.01%，TFe品位变化系数13.35%；mFe最低品位17.95%，最高品位21.86%，平均品位19.91%，mFe品位变化系数13.89%。矿体连续性较好，品位变化均匀。</w:t>
      </w:r>
    </w:p>
    <w:p w14:paraId="52514BC9">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（2）矿体围岩和夹石</w:t>
      </w:r>
    </w:p>
    <w:p w14:paraId="74F1E45E">
      <w:pPr>
        <w:pStyle w:val="18"/>
        <w:spacing w:line="480" w:lineRule="exact"/>
        <w:ind w:firstLine="482"/>
        <w:rPr>
          <w:rFonts w:hint="eastAsia"/>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矿体围岩：</w:t>
      </w:r>
      <w:r>
        <w:rPr>
          <w:rFonts w:hint="eastAsia"/>
          <w:color w:val="000000" w:themeColor="text1"/>
          <w:sz w:val="24"/>
          <w:szCs w:val="28"/>
          <w14:textFill>
            <w14:solidFill>
              <w14:schemeClr w14:val="tx1"/>
            </w14:solidFill>
          </w14:textFill>
        </w:rPr>
        <w:t>磁铁矿赋存岩性为磁铁矿化绿泥石石英片岩和磁铁矿化绿泥石片岩，与围岩接触界线呈渐变过渡接触关系。Ⅰ-1、Ⅲ、Ⅰ-2号矿体顶板岩石为绿泥石石英片岩和黑云母长英质角岩，TFe含量5.14%～19.29%之间，平均含量12.79%，mFe含量3.71%～14.24%之间，平均含量9.21%；底板岩石为绿泥石石英片岩，TFe含量5.10%～16.08%之间，平均含量13.13%，mFe含量2.74%～14.64%之间，平均含量9.48%。</w:t>
      </w:r>
    </w:p>
    <w:p w14:paraId="0832BBFB">
      <w:pPr>
        <w:pStyle w:val="18"/>
        <w:spacing w:line="480" w:lineRule="exact"/>
        <w:ind w:firstLine="482"/>
        <w:rPr>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矿体夹石：</w:t>
      </w:r>
      <w:r>
        <w:rPr>
          <w:rFonts w:hint="eastAsia"/>
          <w:color w:val="000000" w:themeColor="text1"/>
          <w:sz w:val="24"/>
          <w:szCs w:val="28"/>
          <w14:textFill>
            <w14:solidFill>
              <w14:schemeClr w14:val="tx1"/>
            </w14:solidFill>
          </w14:textFill>
        </w:rPr>
        <w:t>矿体呈层状产出，内部矿化较均匀，Ⅰ-1和Ⅲ号圈出的矿体均小于最小夹石剔除厚度，未圈定夹石。Ⅰ-2号矿体中见有两层夹石，厚分别为3.51</w:t>
      </w:r>
      <w:r>
        <w:rPr>
          <w:rFonts w:hint="eastAsia"/>
          <w:color w:val="000000" w:themeColor="text1"/>
          <w:sz w:val="24"/>
          <w:szCs w:val="28"/>
          <w:lang w:eastAsia="zh-CN"/>
          <w14:textFill>
            <w14:solidFill>
              <w14:schemeClr w14:val="tx1"/>
            </w14:solidFill>
          </w14:textFill>
        </w:rPr>
        <w:t>m</w:t>
      </w:r>
      <w:r>
        <w:rPr>
          <w:rFonts w:hint="eastAsia"/>
          <w:color w:val="000000" w:themeColor="text1"/>
          <w:sz w:val="24"/>
          <w:szCs w:val="28"/>
          <w14:textFill>
            <w14:solidFill>
              <w14:schemeClr w14:val="tx1"/>
            </w14:solidFill>
          </w14:textFill>
        </w:rPr>
        <w:t>和3.29</w:t>
      </w:r>
      <w:r>
        <w:rPr>
          <w:rFonts w:hint="eastAsia"/>
          <w:color w:val="000000" w:themeColor="text1"/>
          <w:sz w:val="24"/>
          <w:szCs w:val="28"/>
          <w:lang w:eastAsia="zh-CN"/>
          <w14:textFill>
            <w14:solidFill>
              <w14:schemeClr w14:val="tx1"/>
            </w14:solidFill>
          </w14:textFill>
        </w:rPr>
        <w:t>m</w:t>
      </w:r>
      <w:r>
        <w:rPr>
          <w:rFonts w:hint="eastAsia"/>
          <w:color w:val="000000" w:themeColor="text1"/>
          <w:sz w:val="24"/>
          <w:szCs w:val="28"/>
          <w14:textFill>
            <w14:solidFill>
              <w14:schemeClr w14:val="tx1"/>
            </w14:solidFill>
          </w14:textFill>
        </w:rPr>
        <w:t>，呈层状，在走向上向两端延伸，夹石TFe含量11.91%～28.52%，mFe含量4.06%～6.94%，主要岩性为含磁铁绿泥石片岩，对矿体的完整性和质量具有一定影响。</w:t>
      </w:r>
    </w:p>
    <w:p w14:paraId="45828205">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矿体平面分布见图3</w:t>
      </w:r>
      <w:r>
        <w:rPr>
          <w:color w:val="000000" w:themeColor="text1"/>
          <w:sz w:val="24"/>
          <w:szCs w:val="28"/>
          <w14:textFill>
            <w14:solidFill>
              <w14:schemeClr w14:val="tx1"/>
            </w14:solidFill>
          </w14:textFill>
        </w:rPr>
        <w:t>.2-</w:t>
      </w:r>
      <w:r>
        <w:rPr>
          <w:rFonts w:hint="eastAsia"/>
          <w:color w:val="000000" w:themeColor="text1"/>
          <w:sz w:val="24"/>
          <w:szCs w:val="28"/>
          <w:lang w:val="en-US" w:eastAsia="zh-CN"/>
          <w14:textFill>
            <w14:solidFill>
              <w14:schemeClr w14:val="tx1"/>
            </w14:solidFill>
          </w14:textFill>
        </w:rPr>
        <w:t>3</w:t>
      </w:r>
      <w:r>
        <w:rPr>
          <w:rFonts w:hint="eastAsia"/>
          <w:color w:val="000000" w:themeColor="text1"/>
          <w:sz w:val="24"/>
          <w:szCs w:val="28"/>
          <w14:textFill>
            <w14:solidFill>
              <w14:schemeClr w14:val="tx1"/>
            </w14:solidFill>
          </w14:textFill>
        </w:rPr>
        <w:t>。</w:t>
      </w:r>
    </w:p>
    <w:p w14:paraId="672A4898">
      <w:pPr>
        <w:pStyle w:val="18"/>
        <w:ind w:left="-210" w:leftChars="-100" w:firstLine="0" w:firstLineChars="0"/>
        <w:jc w:val="center"/>
        <w:rPr>
          <w:color w:val="000000" w:themeColor="text1"/>
          <w:sz w:val="24"/>
          <w:szCs w:val="28"/>
          <w14:textFill>
            <w14:solidFill>
              <w14:schemeClr w14:val="tx1"/>
            </w14:solidFill>
          </w14:textFill>
        </w:rPr>
      </w:pPr>
    </w:p>
    <w:p w14:paraId="4C1E7B98">
      <w:pPr>
        <w:rPr>
          <w:color w:val="000000" w:themeColor="text1"/>
          <w:sz w:val="24"/>
          <w:szCs w:val="28"/>
          <w14:textFill>
            <w14:solidFill>
              <w14:schemeClr w14:val="tx1"/>
            </w14:solidFill>
          </w14:textFill>
        </w:rPr>
      </w:pPr>
    </w:p>
    <w:p w14:paraId="113F3C1B">
      <w:pPr>
        <w:rPr>
          <w:color w:val="000000" w:themeColor="text1"/>
          <w:sz w:val="24"/>
          <w:szCs w:val="28"/>
          <w14:textFill>
            <w14:solidFill>
              <w14:schemeClr w14:val="tx1"/>
            </w14:solidFill>
          </w14:textFill>
        </w:rPr>
      </w:pPr>
    </w:p>
    <w:p w14:paraId="573AB205">
      <w:pPr>
        <w:rPr>
          <w:color w:val="000000" w:themeColor="text1"/>
          <w:sz w:val="24"/>
          <w:szCs w:val="28"/>
          <w14:textFill>
            <w14:solidFill>
              <w14:schemeClr w14:val="tx1"/>
            </w14:solidFill>
          </w14:textFill>
        </w:rPr>
      </w:pPr>
    </w:p>
    <w:p w14:paraId="267057ED">
      <w:pPr>
        <w:rPr>
          <w:color w:val="000000" w:themeColor="text1"/>
          <w:sz w:val="24"/>
          <w:szCs w:val="28"/>
          <w14:textFill>
            <w14:solidFill>
              <w14:schemeClr w14:val="tx1"/>
            </w14:solidFill>
          </w14:textFill>
        </w:rPr>
      </w:pPr>
    </w:p>
    <w:p w14:paraId="34406968">
      <w:pPr>
        <w:rPr>
          <w:color w:val="000000" w:themeColor="text1"/>
          <w:sz w:val="24"/>
          <w:szCs w:val="28"/>
          <w14:textFill>
            <w14:solidFill>
              <w14:schemeClr w14:val="tx1"/>
            </w14:solidFill>
          </w14:textFill>
        </w:rPr>
      </w:pPr>
    </w:p>
    <w:p w14:paraId="5BF45B17">
      <w:pPr>
        <w:rPr>
          <w:color w:val="000000" w:themeColor="text1"/>
          <w:sz w:val="24"/>
          <w:szCs w:val="28"/>
          <w14:textFill>
            <w14:solidFill>
              <w14:schemeClr w14:val="tx1"/>
            </w14:solidFill>
          </w14:textFill>
        </w:rPr>
      </w:pPr>
    </w:p>
    <w:p w14:paraId="0B5BC10F">
      <w:pPr>
        <w:rPr>
          <w:color w:val="000000" w:themeColor="text1"/>
          <w:sz w:val="24"/>
          <w:szCs w:val="28"/>
          <w14:textFill>
            <w14:solidFill>
              <w14:schemeClr w14:val="tx1"/>
            </w14:solidFill>
          </w14:textFill>
        </w:rPr>
      </w:pPr>
    </w:p>
    <w:p w14:paraId="30EF713E">
      <w:pPr>
        <w:rPr>
          <w:color w:val="000000" w:themeColor="text1"/>
          <w:sz w:val="24"/>
          <w:szCs w:val="28"/>
          <w14:textFill>
            <w14:solidFill>
              <w14:schemeClr w14:val="tx1"/>
            </w14:solidFill>
          </w14:textFill>
        </w:rPr>
      </w:pPr>
    </w:p>
    <w:p w14:paraId="4AEAE1F1">
      <w:pPr>
        <w:rPr>
          <w:color w:val="000000" w:themeColor="text1"/>
          <w:sz w:val="24"/>
          <w:szCs w:val="28"/>
          <w14:textFill>
            <w14:solidFill>
              <w14:schemeClr w14:val="tx1"/>
            </w14:solidFill>
          </w14:textFill>
        </w:rPr>
      </w:pPr>
    </w:p>
    <w:p w14:paraId="3E14FCEF">
      <w:pPr>
        <w:rPr>
          <w:color w:val="000000" w:themeColor="text1"/>
          <w:sz w:val="24"/>
          <w:szCs w:val="28"/>
          <w14:textFill>
            <w14:solidFill>
              <w14:schemeClr w14:val="tx1"/>
            </w14:solidFill>
          </w14:textFill>
        </w:rPr>
      </w:pPr>
    </w:p>
    <w:p w14:paraId="16C1EF6F">
      <w:pPr>
        <w:rPr>
          <w:color w:val="000000" w:themeColor="text1"/>
          <w:sz w:val="24"/>
          <w:szCs w:val="28"/>
          <w14:textFill>
            <w14:solidFill>
              <w14:schemeClr w14:val="tx1"/>
            </w14:solidFill>
          </w14:textFill>
        </w:rPr>
      </w:pPr>
    </w:p>
    <w:p w14:paraId="37817DBE">
      <w:pPr>
        <w:rPr>
          <w:color w:val="000000" w:themeColor="text1"/>
          <w:sz w:val="24"/>
          <w:szCs w:val="28"/>
          <w14:textFill>
            <w14:solidFill>
              <w14:schemeClr w14:val="tx1"/>
            </w14:solidFill>
          </w14:textFill>
        </w:rPr>
      </w:pPr>
    </w:p>
    <w:p w14:paraId="66AF9E14">
      <w:pPr>
        <w:pStyle w:val="18"/>
        <w:spacing w:line="480" w:lineRule="exact"/>
        <w:ind w:firstLine="0" w:firstLineChars="0"/>
        <w:jc w:val="center"/>
        <w:rPr>
          <w:b/>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图3</w:t>
      </w:r>
      <w:r>
        <w:rPr>
          <w:b/>
          <w:color w:val="000000" w:themeColor="text1"/>
          <w:sz w:val="24"/>
          <w:szCs w:val="28"/>
          <w14:textFill>
            <w14:solidFill>
              <w14:schemeClr w14:val="tx1"/>
            </w14:solidFill>
          </w14:textFill>
        </w:rPr>
        <w:t>.2-</w:t>
      </w:r>
      <w:r>
        <w:rPr>
          <w:rFonts w:hint="eastAsia"/>
          <w:b/>
          <w:color w:val="000000" w:themeColor="text1"/>
          <w:sz w:val="24"/>
          <w:szCs w:val="28"/>
          <w:lang w:val="en-US" w:eastAsia="zh-CN"/>
          <w14:textFill>
            <w14:solidFill>
              <w14:schemeClr w14:val="tx1"/>
            </w14:solidFill>
          </w14:textFill>
        </w:rPr>
        <w:t>3</w:t>
      </w:r>
      <w:r>
        <w:rPr>
          <w:b/>
          <w:color w:val="000000" w:themeColor="text1"/>
          <w:sz w:val="24"/>
          <w:szCs w:val="28"/>
          <w14:textFill>
            <w14:solidFill>
              <w14:schemeClr w14:val="tx1"/>
            </w14:solidFill>
          </w14:textFill>
        </w:rPr>
        <w:t xml:space="preserve">    </w:t>
      </w:r>
      <w:r>
        <w:rPr>
          <w:rFonts w:hint="eastAsia"/>
          <w:b/>
          <w:color w:val="000000" w:themeColor="text1"/>
          <w:sz w:val="24"/>
          <w:szCs w:val="28"/>
          <w14:textFill>
            <w14:solidFill>
              <w14:schemeClr w14:val="tx1"/>
            </w14:solidFill>
          </w14:textFill>
        </w:rPr>
        <w:t>矿体平面分布图</w:t>
      </w:r>
    </w:p>
    <w:p w14:paraId="3AB4F1A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.1.6资源储量</w:t>
      </w:r>
    </w:p>
    <w:p w14:paraId="76DBAE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（1）核实报告提交的资源量</w:t>
      </w:r>
    </w:p>
    <w:p w14:paraId="403C355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①累计动用的资源量</w:t>
      </w:r>
    </w:p>
    <w:p w14:paraId="253F0EA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通过本次核实，截</w:t>
      </w:r>
      <w:r>
        <w:rPr>
          <w:rFonts w:hint="eastAsia"/>
          <w:color w:val="000000" w:themeColor="text1"/>
          <w:sz w:val="24"/>
          <w:szCs w:val="24"/>
          <w:lang w:val="en-US" w:eastAsia="zh-CN"/>
          <w14:textFill>
            <w14:solidFill>
              <w14:schemeClr w14:val="tx1"/>
            </w14:solidFill>
          </w14:textFill>
        </w:rPr>
        <w:t>至</w:t>
      </w:r>
      <w:r>
        <w:rPr>
          <w:rFonts w:hint="eastAsia"/>
          <w:color w:val="000000" w:themeColor="text1"/>
          <w:sz w:val="24"/>
          <w:szCs w:val="24"/>
          <w14:textFill>
            <w14:solidFill>
              <w14:schemeClr w14:val="tx1"/>
            </w14:solidFill>
          </w14:textFill>
        </w:rPr>
        <w:t>2021年12月31日，矿山累计动用探明（TM）资源量：矿石量245.07万t，平均品位：TFe29.49%，mFe23.09%。其中：最近一次报告后矿山动用探明（TM）资源量：矿石量53.75万t，平均品位：TFe33.13%，mFe24.81%。</w:t>
      </w:r>
    </w:p>
    <w:p w14:paraId="0E7CF34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②保有资源量</w:t>
      </w:r>
    </w:p>
    <w:p w14:paraId="49BBDA3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截至</w:t>
      </w:r>
      <w:r>
        <w:rPr>
          <w:rFonts w:hint="eastAsia"/>
          <w:color w:val="000000" w:themeColor="text1"/>
          <w:sz w:val="24"/>
          <w:szCs w:val="24"/>
          <w14:textFill>
            <w14:solidFill>
              <w14:schemeClr w14:val="tx1"/>
            </w14:solidFill>
          </w14:textFill>
        </w:rPr>
        <w:t>2021年12月31日，采矿许可证内：保有（KZ+TD）资源量：矿石量845.65万t，平均品位：TFe</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33.88%，mFe</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25.50%。其中：控制（KZ）资源量：矿石量323.66万t，平均品位：TFe 33.38%，mFe 25.73%；推断（TD）资源量：矿石量521.99万t，平均品位：TFe 34.19%，mFe 25.36%。</w:t>
      </w:r>
    </w:p>
    <w:p w14:paraId="7758167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③累计查明资源量</w:t>
      </w:r>
    </w:p>
    <w:p w14:paraId="065C4F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截至</w:t>
      </w:r>
      <w:r>
        <w:rPr>
          <w:rFonts w:hint="eastAsia"/>
          <w:color w:val="000000" w:themeColor="text1"/>
          <w:sz w:val="24"/>
          <w:szCs w:val="24"/>
          <w14:textFill>
            <w14:solidFill>
              <w14:schemeClr w14:val="tx1"/>
            </w14:solidFill>
          </w14:textFill>
        </w:rPr>
        <w:t>2021年12月31日，矿区范围内累计查明（TM+KZ+TD）资源量：矿石量1090.72万吨，平均品位：TFe 32.89%，mFe 24.96%。证实储量（ZS）：矿石量205.25万t，平均品位：TFe 29.49%，mFe 23.09%。</w:t>
      </w:r>
    </w:p>
    <w:p w14:paraId="617B93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其中：探明（TM）资源量：矿石量326.81万t，平均品位：TFe 30.30%，mFe 23.48%；控制（KZ）资源量：矿石量241.92万t，平均品位：TFe 33.60%，mFe 26.09%；推断（TD）资源量：矿石量521.99万t，平均品位：TFe 34.19%，mFe 25.36%。</w:t>
      </w:r>
    </w:p>
    <w:p w14:paraId="753ABF9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（2）评审通过的资源储量</w:t>
      </w:r>
    </w:p>
    <w:p w14:paraId="170265C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依据新疆维吾尔自治区矿产资源储量评审中心出具的《新疆哈密市M1033铁矿资源储量核实报告》矿产资源储量评审意见书（新矿评储字〔2022〕</w:t>
      </w:r>
      <w:r>
        <w:rPr>
          <w:rFonts w:hint="eastAsia"/>
          <w:color w:val="000000" w:themeColor="text1"/>
          <w:sz w:val="24"/>
          <w:szCs w:val="24"/>
          <w:lang w:val="en-US" w:eastAsia="zh-CN"/>
          <w14:textFill>
            <w14:solidFill>
              <w14:schemeClr w14:val="tx1"/>
            </w14:solidFill>
          </w14:textFill>
        </w:rPr>
        <w:t>19</w:t>
      </w:r>
      <w:r>
        <w:rPr>
          <w:rFonts w:hint="eastAsia"/>
          <w:color w:val="000000" w:themeColor="text1"/>
          <w:sz w:val="24"/>
          <w:szCs w:val="24"/>
          <w14:textFill>
            <w14:solidFill>
              <w14:schemeClr w14:val="tx1"/>
            </w14:solidFill>
          </w14:textFill>
        </w:rPr>
        <w:t>号），评审中心同意新疆哈密市M1033铁矿采矿权范围内以下资源储量评审通过，详见下表。</w:t>
      </w:r>
    </w:p>
    <w:p w14:paraId="56D9070B">
      <w:pPr>
        <w:pStyle w:val="18"/>
        <w:spacing w:line="480" w:lineRule="exact"/>
        <w:ind w:firstLine="0" w:firstLineChars="0"/>
        <w:jc w:val="center"/>
        <w:rPr>
          <w:b/>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表3</w:t>
      </w:r>
      <w:r>
        <w:rPr>
          <w:b/>
          <w:color w:val="000000" w:themeColor="text1"/>
          <w:sz w:val="24"/>
          <w:szCs w:val="28"/>
          <w14:textFill>
            <w14:solidFill>
              <w14:schemeClr w14:val="tx1"/>
            </w14:solidFill>
          </w14:textFill>
        </w:rPr>
        <w:t xml:space="preserve">.2-2    </w:t>
      </w:r>
      <w:r>
        <w:rPr>
          <w:rFonts w:hint="eastAsia"/>
          <w:b/>
          <w:color w:val="000000" w:themeColor="text1"/>
          <w:sz w:val="24"/>
          <w:szCs w:val="28"/>
          <w14:textFill>
            <w14:solidFill>
              <w14:schemeClr w14:val="tx1"/>
            </w14:solidFill>
          </w14:textFill>
        </w:rPr>
        <w:t>M1033铁矿保有、累计动用、累计查明资源量表</w:t>
      </w:r>
    </w:p>
    <w:tbl>
      <w:tblPr>
        <w:tblStyle w:val="79"/>
        <w:tblW w:w="50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140"/>
        <w:gridCol w:w="675"/>
        <w:gridCol w:w="841"/>
        <w:gridCol w:w="1282"/>
        <w:gridCol w:w="873"/>
        <w:gridCol w:w="873"/>
        <w:gridCol w:w="1063"/>
        <w:gridCol w:w="1323"/>
      </w:tblGrid>
      <w:tr w14:paraId="5EC3C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59" w:type="dxa"/>
            <w:gridSpan w:val="2"/>
            <w:vMerge w:val="restart"/>
            <w:tcBorders>
              <w:tl2br w:val="nil"/>
              <w:tr2bl w:val="nil"/>
            </w:tcBorders>
            <w:noWrap w:val="0"/>
            <w:vAlign w:val="center"/>
          </w:tcPr>
          <w:p w14:paraId="2EF1F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项目</w:t>
            </w:r>
          </w:p>
        </w:tc>
        <w:tc>
          <w:tcPr>
            <w:tcW w:w="713" w:type="dxa"/>
            <w:vMerge w:val="restart"/>
            <w:tcBorders>
              <w:tl2br w:val="nil"/>
              <w:tr2bl w:val="nil"/>
            </w:tcBorders>
            <w:noWrap w:val="0"/>
            <w:vAlign w:val="center"/>
          </w:tcPr>
          <w:p w14:paraId="17D614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矿体</w:t>
            </w:r>
          </w:p>
          <w:p w14:paraId="4E29B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编号</w:t>
            </w:r>
          </w:p>
        </w:tc>
        <w:tc>
          <w:tcPr>
            <w:tcW w:w="915" w:type="dxa"/>
            <w:vMerge w:val="restart"/>
            <w:tcBorders>
              <w:tl2br w:val="nil"/>
              <w:tr2bl w:val="nil"/>
            </w:tcBorders>
            <w:noWrap w:val="0"/>
            <w:vAlign w:val="center"/>
          </w:tcPr>
          <w:p w14:paraId="7622A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工业品级</w:t>
            </w:r>
          </w:p>
        </w:tc>
        <w:tc>
          <w:tcPr>
            <w:tcW w:w="1434" w:type="dxa"/>
            <w:vMerge w:val="restart"/>
            <w:tcBorders>
              <w:tl2br w:val="nil"/>
              <w:tr2bl w:val="nil"/>
            </w:tcBorders>
            <w:noWrap w:val="0"/>
            <w:vAlign w:val="center"/>
          </w:tcPr>
          <w:p w14:paraId="27EC9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资源量类别</w:t>
            </w:r>
          </w:p>
        </w:tc>
        <w:tc>
          <w:tcPr>
            <w:tcW w:w="1812" w:type="dxa"/>
            <w:gridSpan w:val="2"/>
            <w:tcBorders>
              <w:tl2br w:val="nil"/>
              <w:tr2bl w:val="nil"/>
            </w:tcBorders>
            <w:noWrap w:val="0"/>
            <w:vAlign w:val="center"/>
          </w:tcPr>
          <w:p w14:paraId="65BB5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平均品位（%）</w:t>
            </w:r>
          </w:p>
        </w:tc>
        <w:tc>
          <w:tcPr>
            <w:tcW w:w="1092" w:type="dxa"/>
            <w:vMerge w:val="restart"/>
            <w:tcBorders>
              <w:tl2br w:val="nil"/>
              <w:tr2bl w:val="nil"/>
            </w:tcBorders>
            <w:noWrap w:val="0"/>
            <w:vAlign w:val="center"/>
          </w:tcPr>
          <w:p w14:paraId="7C308D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矿石资源量（万吨）</w:t>
            </w:r>
          </w:p>
        </w:tc>
        <w:tc>
          <w:tcPr>
            <w:tcW w:w="1482" w:type="dxa"/>
            <w:vMerge w:val="restart"/>
            <w:tcBorders>
              <w:tl2br w:val="nil"/>
              <w:tr2bl w:val="nil"/>
            </w:tcBorders>
            <w:noWrap w:val="0"/>
            <w:vAlign w:val="center"/>
          </w:tcPr>
          <w:p w14:paraId="116A65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备注</w:t>
            </w:r>
          </w:p>
        </w:tc>
      </w:tr>
      <w:tr w14:paraId="428ED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59" w:type="dxa"/>
            <w:gridSpan w:val="2"/>
            <w:vMerge w:val="continue"/>
            <w:tcBorders>
              <w:tl2br w:val="nil"/>
              <w:tr2bl w:val="nil"/>
            </w:tcBorders>
            <w:noWrap w:val="0"/>
            <w:vAlign w:val="center"/>
          </w:tcPr>
          <w:p w14:paraId="3E4C6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vAlign w:val="center"/>
          </w:tcPr>
          <w:p w14:paraId="44F8A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915" w:type="dxa"/>
            <w:vMerge w:val="continue"/>
            <w:tcBorders>
              <w:tl2br w:val="nil"/>
              <w:tr2bl w:val="nil"/>
            </w:tcBorders>
            <w:noWrap w:val="0"/>
            <w:vAlign w:val="center"/>
          </w:tcPr>
          <w:p w14:paraId="12A80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1434" w:type="dxa"/>
            <w:vMerge w:val="continue"/>
            <w:tcBorders>
              <w:tl2br w:val="nil"/>
              <w:tr2bl w:val="nil"/>
            </w:tcBorders>
            <w:noWrap w:val="0"/>
            <w:vAlign w:val="center"/>
          </w:tcPr>
          <w:p w14:paraId="64C10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906" w:type="dxa"/>
            <w:tcBorders>
              <w:tl2br w:val="nil"/>
              <w:tr2bl w:val="nil"/>
            </w:tcBorders>
            <w:noWrap w:val="0"/>
            <w:vAlign w:val="center"/>
          </w:tcPr>
          <w:p w14:paraId="75F88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TFe</w:t>
            </w:r>
          </w:p>
        </w:tc>
        <w:tc>
          <w:tcPr>
            <w:tcW w:w="906" w:type="dxa"/>
            <w:tcBorders>
              <w:tl2br w:val="nil"/>
              <w:tr2bl w:val="nil"/>
            </w:tcBorders>
            <w:noWrap w:val="0"/>
            <w:vAlign w:val="center"/>
          </w:tcPr>
          <w:p w14:paraId="4BBE9F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mFe</w:t>
            </w:r>
          </w:p>
        </w:tc>
        <w:tc>
          <w:tcPr>
            <w:tcW w:w="1092" w:type="dxa"/>
            <w:vMerge w:val="continue"/>
            <w:tcBorders>
              <w:tl2br w:val="nil"/>
              <w:tr2bl w:val="nil"/>
            </w:tcBorders>
            <w:noWrap w:val="0"/>
            <w:vAlign w:val="center"/>
          </w:tcPr>
          <w:p w14:paraId="5212A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1482" w:type="dxa"/>
            <w:vMerge w:val="continue"/>
            <w:tcBorders>
              <w:tl2br w:val="nil"/>
              <w:tr2bl w:val="nil"/>
            </w:tcBorders>
            <w:noWrap w:val="0"/>
            <w:vAlign w:val="center"/>
          </w:tcPr>
          <w:p w14:paraId="7DA08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p>
        </w:tc>
      </w:tr>
      <w:tr w14:paraId="27A0D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restart"/>
            <w:tcBorders>
              <w:tl2br w:val="nil"/>
              <w:tr2bl w:val="nil"/>
            </w:tcBorders>
            <w:noWrap w:val="0"/>
            <w:vAlign w:val="center"/>
          </w:tcPr>
          <w:p w14:paraId="4EE9655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动用资源量</w:t>
            </w:r>
          </w:p>
        </w:tc>
        <w:tc>
          <w:tcPr>
            <w:tcW w:w="1142" w:type="dxa"/>
            <w:tcBorders>
              <w:tl2br w:val="nil"/>
              <w:tr2bl w:val="nil"/>
            </w:tcBorders>
            <w:noWrap w:val="0"/>
            <w:vAlign w:val="center"/>
          </w:tcPr>
          <w:p w14:paraId="620CB9C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2007年以前动用</w:t>
            </w:r>
          </w:p>
        </w:tc>
        <w:tc>
          <w:tcPr>
            <w:tcW w:w="713" w:type="dxa"/>
            <w:vMerge w:val="restart"/>
            <w:tcBorders>
              <w:tl2br w:val="nil"/>
              <w:tr2bl w:val="nil"/>
            </w:tcBorders>
            <w:noWrap w:val="0"/>
            <w:vAlign w:val="center"/>
          </w:tcPr>
          <w:p w14:paraId="6D514BB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Ⅰ-1</w:t>
            </w:r>
          </w:p>
        </w:tc>
        <w:tc>
          <w:tcPr>
            <w:tcW w:w="915" w:type="dxa"/>
            <w:vMerge w:val="restart"/>
            <w:tcBorders>
              <w:tl2br w:val="nil"/>
              <w:tr2bl w:val="nil"/>
            </w:tcBorders>
            <w:noWrap w:val="0"/>
            <w:vAlign w:val="center"/>
          </w:tcPr>
          <w:p w14:paraId="50D59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工业矿</w:t>
            </w:r>
          </w:p>
        </w:tc>
        <w:tc>
          <w:tcPr>
            <w:tcW w:w="1434" w:type="dxa"/>
            <w:tcBorders>
              <w:tl2br w:val="nil"/>
              <w:tr2bl w:val="nil"/>
            </w:tcBorders>
            <w:noWrap w:val="0"/>
            <w:vAlign w:val="center"/>
          </w:tcPr>
          <w:p w14:paraId="18B52E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探明资源量</w:t>
            </w:r>
          </w:p>
        </w:tc>
        <w:tc>
          <w:tcPr>
            <w:tcW w:w="906" w:type="dxa"/>
            <w:tcBorders>
              <w:tl2br w:val="nil"/>
              <w:tr2bl w:val="nil"/>
            </w:tcBorders>
            <w:noWrap w:val="0"/>
            <w:vAlign w:val="center"/>
          </w:tcPr>
          <w:p w14:paraId="2AA88C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28.47</w:t>
            </w:r>
          </w:p>
        </w:tc>
        <w:tc>
          <w:tcPr>
            <w:tcW w:w="906" w:type="dxa"/>
            <w:tcBorders>
              <w:tl2br w:val="nil"/>
              <w:tr2bl w:val="nil"/>
            </w:tcBorders>
            <w:noWrap w:val="0"/>
            <w:vAlign w:val="center"/>
          </w:tcPr>
          <w:p w14:paraId="289BC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22.61</w:t>
            </w:r>
          </w:p>
        </w:tc>
        <w:tc>
          <w:tcPr>
            <w:tcW w:w="1092" w:type="dxa"/>
            <w:tcBorders>
              <w:tl2br w:val="nil"/>
              <w:tr2bl w:val="nil"/>
            </w:tcBorders>
            <w:noWrap w:val="0"/>
            <w:vAlign w:val="center"/>
          </w:tcPr>
          <w:p w14:paraId="2C9F7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191.32</w:t>
            </w:r>
          </w:p>
        </w:tc>
        <w:tc>
          <w:tcPr>
            <w:tcW w:w="1482" w:type="dxa"/>
            <w:tcBorders>
              <w:tl2br w:val="nil"/>
              <w:tr2bl w:val="nil"/>
            </w:tcBorders>
            <w:noWrap w:val="0"/>
            <w:vAlign w:val="center"/>
          </w:tcPr>
          <w:p w14:paraId="53BBE8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生产地质报告已评审备案</w:t>
            </w:r>
          </w:p>
        </w:tc>
      </w:tr>
      <w:tr w14:paraId="1967C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5A95AA2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142" w:type="dxa"/>
            <w:tcBorders>
              <w:tl2br w:val="nil"/>
              <w:tr2bl w:val="nil"/>
            </w:tcBorders>
            <w:noWrap w:val="0"/>
            <w:vAlign w:val="center"/>
          </w:tcPr>
          <w:p w14:paraId="1F7C786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2013-2014年动用</w:t>
            </w:r>
          </w:p>
        </w:tc>
        <w:tc>
          <w:tcPr>
            <w:tcW w:w="713" w:type="dxa"/>
            <w:vMerge w:val="continue"/>
            <w:tcBorders>
              <w:tl2br w:val="nil"/>
              <w:tr2bl w:val="nil"/>
            </w:tcBorders>
            <w:noWrap w:val="0"/>
            <w:vAlign w:val="center"/>
          </w:tcPr>
          <w:p w14:paraId="403A407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915" w:type="dxa"/>
            <w:vMerge w:val="continue"/>
            <w:tcBorders>
              <w:tl2br w:val="nil"/>
              <w:tr2bl w:val="nil"/>
            </w:tcBorders>
            <w:noWrap w:val="0"/>
            <w:vAlign w:val="center"/>
          </w:tcPr>
          <w:p w14:paraId="439CB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4AA0C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探明资源量</w:t>
            </w:r>
          </w:p>
        </w:tc>
        <w:tc>
          <w:tcPr>
            <w:tcW w:w="906" w:type="dxa"/>
            <w:tcBorders>
              <w:tl2br w:val="nil"/>
              <w:tr2bl w:val="nil"/>
            </w:tcBorders>
            <w:noWrap w:val="0"/>
            <w:vAlign w:val="center"/>
          </w:tcPr>
          <w:p w14:paraId="28AB8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33.13</w:t>
            </w:r>
          </w:p>
        </w:tc>
        <w:tc>
          <w:tcPr>
            <w:tcW w:w="906" w:type="dxa"/>
            <w:tcBorders>
              <w:tl2br w:val="nil"/>
              <w:tr2bl w:val="nil"/>
            </w:tcBorders>
            <w:noWrap w:val="0"/>
            <w:vAlign w:val="center"/>
          </w:tcPr>
          <w:p w14:paraId="621CF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24.81</w:t>
            </w:r>
          </w:p>
        </w:tc>
        <w:tc>
          <w:tcPr>
            <w:tcW w:w="1092" w:type="dxa"/>
            <w:tcBorders>
              <w:tl2br w:val="nil"/>
              <w:tr2bl w:val="nil"/>
            </w:tcBorders>
            <w:noWrap w:val="0"/>
            <w:vAlign w:val="center"/>
          </w:tcPr>
          <w:p w14:paraId="47ED7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53.75</w:t>
            </w:r>
          </w:p>
        </w:tc>
        <w:tc>
          <w:tcPr>
            <w:tcW w:w="1482" w:type="dxa"/>
            <w:tcBorders>
              <w:tl2br w:val="nil"/>
              <w:tr2bl w:val="nil"/>
            </w:tcBorders>
            <w:noWrap w:val="0"/>
            <w:vAlign w:val="center"/>
          </w:tcPr>
          <w:p w14:paraId="27840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本次核实</w:t>
            </w:r>
          </w:p>
        </w:tc>
      </w:tr>
      <w:tr w14:paraId="20D3C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64334C0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855" w:type="dxa"/>
            <w:gridSpan w:val="2"/>
            <w:tcBorders>
              <w:tl2br w:val="nil"/>
              <w:tr2bl w:val="nil"/>
            </w:tcBorders>
            <w:noWrap w:val="0"/>
            <w:vAlign w:val="center"/>
          </w:tcPr>
          <w:p w14:paraId="3E6708F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历年来累计动用</w:t>
            </w:r>
          </w:p>
        </w:tc>
        <w:tc>
          <w:tcPr>
            <w:tcW w:w="915" w:type="dxa"/>
            <w:tcBorders>
              <w:tl2br w:val="nil"/>
              <w:tr2bl w:val="nil"/>
            </w:tcBorders>
            <w:noWrap w:val="0"/>
            <w:vAlign w:val="center"/>
          </w:tcPr>
          <w:p w14:paraId="7C397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30A2F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探明资源量</w:t>
            </w:r>
          </w:p>
        </w:tc>
        <w:tc>
          <w:tcPr>
            <w:tcW w:w="906" w:type="dxa"/>
            <w:tcBorders>
              <w:tl2br w:val="nil"/>
              <w:tr2bl w:val="nil"/>
            </w:tcBorders>
            <w:noWrap w:val="0"/>
            <w:vAlign w:val="center"/>
          </w:tcPr>
          <w:p w14:paraId="0C463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29.49</w:t>
            </w:r>
          </w:p>
        </w:tc>
        <w:tc>
          <w:tcPr>
            <w:tcW w:w="906" w:type="dxa"/>
            <w:tcBorders>
              <w:tl2br w:val="nil"/>
              <w:tr2bl w:val="nil"/>
            </w:tcBorders>
            <w:noWrap w:val="0"/>
            <w:vAlign w:val="center"/>
          </w:tcPr>
          <w:p w14:paraId="353ED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23.09</w:t>
            </w:r>
          </w:p>
        </w:tc>
        <w:tc>
          <w:tcPr>
            <w:tcW w:w="1092" w:type="dxa"/>
            <w:tcBorders>
              <w:tl2br w:val="nil"/>
              <w:tr2bl w:val="nil"/>
            </w:tcBorders>
            <w:noWrap w:val="0"/>
            <w:vAlign w:val="center"/>
          </w:tcPr>
          <w:p w14:paraId="35F35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245.07</w:t>
            </w:r>
          </w:p>
        </w:tc>
        <w:tc>
          <w:tcPr>
            <w:tcW w:w="1482" w:type="dxa"/>
            <w:tcBorders>
              <w:tl2br w:val="nil"/>
              <w:tr2bl w:val="nil"/>
            </w:tcBorders>
            <w:noWrap w:val="0"/>
            <w:vAlign w:val="center"/>
          </w:tcPr>
          <w:p w14:paraId="720AF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001AD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restart"/>
            <w:tcBorders>
              <w:tl2br w:val="nil"/>
              <w:tr2bl w:val="nil"/>
            </w:tcBorders>
            <w:noWrap w:val="0"/>
            <w:vAlign w:val="center"/>
          </w:tcPr>
          <w:p w14:paraId="055F4B7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保有资源量</w:t>
            </w:r>
          </w:p>
        </w:tc>
        <w:tc>
          <w:tcPr>
            <w:tcW w:w="1142" w:type="dxa"/>
            <w:vMerge w:val="restart"/>
            <w:tcBorders>
              <w:tl2br w:val="nil"/>
              <w:tr2bl w:val="nil"/>
            </w:tcBorders>
            <w:noWrap w:val="0"/>
            <w:vAlign w:val="center"/>
          </w:tcPr>
          <w:p w14:paraId="32FD1DB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采矿证内</w:t>
            </w:r>
          </w:p>
        </w:tc>
        <w:tc>
          <w:tcPr>
            <w:tcW w:w="713" w:type="dxa"/>
            <w:vMerge w:val="restart"/>
            <w:tcBorders>
              <w:tl2br w:val="nil"/>
              <w:tr2bl w:val="nil"/>
            </w:tcBorders>
            <w:noWrap w:val="0"/>
            <w:vAlign w:val="center"/>
          </w:tcPr>
          <w:p w14:paraId="5A5B4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Ⅰ-1</w:t>
            </w:r>
          </w:p>
        </w:tc>
        <w:tc>
          <w:tcPr>
            <w:tcW w:w="915" w:type="dxa"/>
            <w:vMerge w:val="restart"/>
            <w:tcBorders>
              <w:tl2br w:val="nil"/>
              <w:tr2bl w:val="nil"/>
            </w:tcBorders>
            <w:noWrap w:val="0"/>
            <w:vAlign w:val="center"/>
          </w:tcPr>
          <w:p w14:paraId="1FB92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工业矿</w:t>
            </w:r>
          </w:p>
        </w:tc>
        <w:tc>
          <w:tcPr>
            <w:tcW w:w="1434" w:type="dxa"/>
            <w:tcBorders>
              <w:tl2br w:val="nil"/>
              <w:tr2bl w:val="nil"/>
            </w:tcBorders>
            <w:noWrap w:val="0"/>
            <w:vAlign w:val="center"/>
          </w:tcPr>
          <w:p w14:paraId="18593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控制资源量</w:t>
            </w:r>
          </w:p>
        </w:tc>
        <w:tc>
          <w:tcPr>
            <w:tcW w:w="906" w:type="dxa"/>
            <w:tcBorders>
              <w:tl2br w:val="nil"/>
              <w:tr2bl w:val="nil"/>
            </w:tcBorders>
            <w:noWrap w:val="0"/>
            <w:vAlign w:val="center"/>
          </w:tcPr>
          <w:p w14:paraId="30955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32.62</w:t>
            </w:r>
          </w:p>
        </w:tc>
        <w:tc>
          <w:tcPr>
            <w:tcW w:w="906" w:type="dxa"/>
            <w:tcBorders>
              <w:tl2br w:val="nil"/>
              <w:tr2bl w:val="nil"/>
            </w:tcBorders>
            <w:noWrap w:val="0"/>
            <w:vAlign w:val="center"/>
          </w:tcPr>
          <w:p w14:paraId="09E40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24.80</w:t>
            </w:r>
          </w:p>
        </w:tc>
        <w:tc>
          <w:tcPr>
            <w:tcW w:w="1092" w:type="dxa"/>
            <w:tcBorders>
              <w:tl2br w:val="nil"/>
              <w:tr2bl w:val="nil"/>
            </w:tcBorders>
            <w:noWrap w:val="0"/>
            <w:vAlign w:val="center"/>
          </w:tcPr>
          <w:p w14:paraId="72076C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219.54</w:t>
            </w:r>
          </w:p>
        </w:tc>
        <w:tc>
          <w:tcPr>
            <w:tcW w:w="1482" w:type="dxa"/>
            <w:vMerge w:val="restart"/>
            <w:tcBorders>
              <w:tl2br w:val="nil"/>
              <w:tr2bl w:val="nil"/>
            </w:tcBorders>
            <w:noWrap w:val="0"/>
            <w:vAlign w:val="center"/>
          </w:tcPr>
          <w:p w14:paraId="04B0D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保有资源量</w:t>
            </w:r>
          </w:p>
        </w:tc>
      </w:tr>
      <w:tr w14:paraId="0890A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52CD1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3C0F4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vAlign w:val="center"/>
          </w:tcPr>
          <w:p w14:paraId="731A2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5" w:type="dxa"/>
            <w:vMerge w:val="continue"/>
            <w:tcBorders>
              <w:tl2br w:val="nil"/>
              <w:tr2bl w:val="nil"/>
            </w:tcBorders>
            <w:noWrap w:val="0"/>
            <w:vAlign w:val="center"/>
          </w:tcPr>
          <w:p w14:paraId="605C1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37BABC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推断资源量</w:t>
            </w:r>
          </w:p>
        </w:tc>
        <w:tc>
          <w:tcPr>
            <w:tcW w:w="906" w:type="dxa"/>
            <w:tcBorders>
              <w:tl2br w:val="nil"/>
              <w:tr2bl w:val="nil"/>
            </w:tcBorders>
            <w:noWrap w:val="0"/>
            <w:vAlign w:val="center"/>
          </w:tcPr>
          <w:p w14:paraId="3A671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32.84</w:t>
            </w:r>
          </w:p>
        </w:tc>
        <w:tc>
          <w:tcPr>
            <w:tcW w:w="906" w:type="dxa"/>
            <w:tcBorders>
              <w:tl2br w:val="nil"/>
              <w:tr2bl w:val="nil"/>
            </w:tcBorders>
            <w:noWrap w:val="0"/>
            <w:vAlign w:val="center"/>
          </w:tcPr>
          <w:p w14:paraId="669ED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24.75</w:t>
            </w:r>
          </w:p>
        </w:tc>
        <w:tc>
          <w:tcPr>
            <w:tcW w:w="1092" w:type="dxa"/>
            <w:tcBorders>
              <w:tl2br w:val="nil"/>
              <w:tr2bl w:val="nil"/>
            </w:tcBorders>
            <w:noWrap w:val="0"/>
            <w:vAlign w:val="center"/>
          </w:tcPr>
          <w:p w14:paraId="6A257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200.11</w:t>
            </w:r>
          </w:p>
        </w:tc>
        <w:tc>
          <w:tcPr>
            <w:tcW w:w="1482" w:type="dxa"/>
            <w:vMerge w:val="continue"/>
            <w:tcBorders>
              <w:tl2br w:val="nil"/>
              <w:tr2bl w:val="nil"/>
            </w:tcBorders>
            <w:noWrap w:val="0"/>
            <w:vAlign w:val="center"/>
          </w:tcPr>
          <w:p w14:paraId="0CE7D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76595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67AE5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2C7FB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vAlign w:val="center"/>
          </w:tcPr>
          <w:p w14:paraId="6801C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349" w:type="dxa"/>
            <w:gridSpan w:val="2"/>
            <w:tcBorders>
              <w:tl2br w:val="nil"/>
              <w:tr2bl w:val="nil"/>
            </w:tcBorders>
            <w:noWrap w:val="0"/>
            <w:vAlign w:val="center"/>
          </w:tcPr>
          <w:p w14:paraId="33204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小计</w:t>
            </w:r>
          </w:p>
        </w:tc>
        <w:tc>
          <w:tcPr>
            <w:tcW w:w="906" w:type="dxa"/>
            <w:tcBorders>
              <w:tl2br w:val="nil"/>
              <w:tr2bl w:val="nil"/>
            </w:tcBorders>
            <w:noWrap w:val="0"/>
            <w:vAlign w:val="center"/>
          </w:tcPr>
          <w:p w14:paraId="53A88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32.72</w:t>
            </w:r>
          </w:p>
        </w:tc>
        <w:tc>
          <w:tcPr>
            <w:tcW w:w="906" w:type="dxa"/>
            <w:tcBorders>
              <w:tl2br w:val="nil"/>
              <w:tr2bl w:val="nil"/>
            </w:tcBorders>
            <w:noWrap w:val="0"/>
            <w:vAlign w:val="center"/>
          </w:tcPr>
          <w:p w14:paraId="18155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24.78</w:t>
            </w:r>
          </w:p>
        </w:tc>
        <w:tc>
          <w:tcPr>
            <w:tcW w:w="1092" w:type="dxa"/>
            <w:tcBorders>
              <w:tl2br w:val="nil"/>
              <w:tr2bl w:val="nil"/>
            </w:tcBorders>
            <w:noWrap w:val="0"/>
            <w:vAlign w:val="center"/>
          </w:tcPr>
          <w:p w14:paraId="768766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419.65</w:t>
            </w:r>
          </w:p>
        </w:tc>
        <w:tc>
          <w:tcPr>
            <w:tcW w:w="1482" w:type="dxa"/>
            <w:vMerge w:val="continue"/>
            <w:tcBorders>
              <w:tl2br w:val="nil"/>
              <w:tr2bl w:val="nil"/>
            </w:tcBorders>
            <w:noWrap w:val="0"/>
            <w:vAlign w:val="center"/>
          </w:tcPr>
          <w:p w14:paraId="4A36E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1FC75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13E944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07E7C0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restart"/>
            <w:tcBorders>
              <w:tl2br w:val="nil"/>
              <w:tr2bl w:val="nil"/>
            </w:tcBorders>
            <w:noWrap w:val="0"/>
            <w:vAlign w:val="center"/>
          </w:tcPr>
          <w:p w14:paraId="7A9966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Ⅲ</w:t>
            </w:r>
          </w:p>
        </w:tc>
        <w:tc>
          <w:tcPr>
            <w:tcW w:w="915" w:type="dxa"/>
            <w:vMerge w:val="restart"/>
            <w:tcBorders>
              <w:tl2br w:val="nil"/>
              <w:tr2bl w:val="nil"/>
            </w:tcBorders>
            <w:noWrap w:val="0"/>
            <w:vAlign w:val="center"/>
          </w:tcPr>
          <w:p w14:paraId="1BE0A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工业矿</w:t>
            </w:r>
          </w:p>
        </w:tc>
        <w:tc>
          <w:tcPr>
            <w:tcW w:w="1434" w:type="dxa"/>
            <w:tcBorders>
              <w:tl2br w:val="nil"/>
              <w:tr2bl w:val="nil"/>
            </w:tcBorders>
            <w:noWrap w:val="0"/>
            <w:vAlign w:val="center"/>
          </w:tcPr>
          <w:p w14:paraId="5F0879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控制资源量</w:t>
            </w:r>
          </w:p>
        </w:tc>
        <w:tc>
          <w:tcPr>
            <w:tcW w:w="906" w:type="dxa"/>
            <w:tcBorders>
              <w:tl2br w:val="nil"/>
              <w:tr2bl w:val="nil"/>
            </w:tcBorders>
            <w:noWrap w:val="0"/>
            <w:vAlign w:val="center"/>
          </w:tcPr>
          <w:p w14:paraId="025A7C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34.99</w:t>
            </w:r>
          </w:p>
        </w:tc>
        <w:tc>
          <w:tcPr>
            <w:tcW w:w="906" w:type="dxa"/>
            <w:tcBorders>
              <w:tl2br w:val="nil"/>
              <w:tr2bl w:val="nil"/>
            </w:tcBorders>
            <w:noWrap w:val="0"/>
            <w:vAlign w:val="center"/>
          </w:tcPr>
          <w:p w14:paraId="79836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27.68</w:t>
            </w:r>
          </w:p>
        </w:tc>
        <w:tc>
          <w:tcPr>
            <w:tcW w:w="1092" w:type="dxa"/>
            <w:tcBorders>
              <w:tl2br w:val="nil"/>
              <w:tr2bl w:val="nil"/>
            </w:tcBorders>
            <w:noWrap w:val="0"/>
            <w:vAlign w:val="center"/>
          </w:tcPr>
          <w:p w14:paraId="0620F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104.12</w:t>
            </w:r>
          </w:p>
        </w:tc>
        <w:tc>
          <w:tcPr>
            <w:tcW w:w="1482" w:type="dxa"/>
            <w:vMerge w:val="continue"/>
            <w:tcBorders>
              <w:tl2br w:val="nil"/>
              <w:tr2bl w:val="nil"/>
            </w:tcBorders>
            <w:noWrap w:val="0"/>
            <w:vAlign w:val="center"/>
          </w:tcPr>
          <w:p w14:paraId="3ECC0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7C90C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1242F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59BC5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vAlign w:val="center"/>
          </w:tcPr>
          <w:p w14:paraId="09DB0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5" w:type="dxa"/>
            <w:vMerge w:val="continue"/>
            <w:tcBorders>
              <w:tl2br w:val="nil"/>
              <w:tr2bl w:val="nil"/>
            </w:tcBorders>
            <w:noWrap w:val="0"/>
            <w:vAlign w:val="center"/>
          </w:tcPr>
          <w:p w14:paraId="035AC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27FDE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推断资源量</w:t>
            </w:r>
          </w:p>
        </w:tc>
        <w:tc>
          <w:tcPr>
            <w:tcW w:w="906" w:type="dxa"/>
            <w:tcBorders>
              <w:tl2br w:val="nil"/>
              <w:tr2bl w:val="nil"/>
            </w:tcBorders>
            <w:noWrap w:val="0"/>
            <w:vAlign w:val="center"/>
          </w:tcPr>
          <w:p w14:paraId="0D893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34.90</w:t>
            </w:r>
          </w:p>
        </w:tc>
        <w:tc>
          <w:tcPr>
            <w:tcW w:w="906" w:type="dxa"/>
            <w:tcBorders>
              <w:tl2br w:val="nil"/>
              <w:tr2bl w:val="nil"/>
            </w:tcBorders>
            <w:noWrap w:val="0"/>
            <w:vAlign w:val="center"/>
          </w:tcPr>
          <w:p w14:paraId="63C4A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26.21</w:t>
            </w:r>
          </w:p>
        </w:tc>
        <w:tc>
          <w:tcPr>
            <w:tcW w:w="1092" w:type="dxa"/>
            <w:tcBorders>
              <w:tl2br w:val="nil"/>
              <w:tr2bl w:val="nil"/>
            </w:tcBorders>
            <w:noWrap w:val="0"/>
            <w:vAlign w:val="center"/>
          </w:tcPr>
          <w:p w14:paraId="7419C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293.96</w:t>
            </w:r>
          </w:p>
        </w:tc>
        <w:tc>
          <w:tcPr>
            <w:tcW w:w="1482" w:type="dxa"/>
            <w:vMerge w:val="continue"/>
            <w:tcBorders>
              <w:tl2br w:val="nil"/>
              <w:tr2bl w:val="nil"/>
            </w:tcBorders>
            <w:noWrap w:val="0"/>
            <w:vAlign w:val="center"/>
          </w:tcPr>
          <w:p w14:paraId="61943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74DE5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0A181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4761A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vAlign w:val="center"/>
          </w:tcPr>
          <w:p w14:paraId="7AD577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349" w:type="dxa"/>
            <w:gridSpan w:val="2"/>
            <w:tcBorders>
              <w:tl2br w:val="nil"/>
              <w:tr2bl w:val="nil"/>
            </w:tcBorders>
            <w:noWrap w:val="0"/>
            <w:vAlign w:val="center"/>
          </w:tcPr>
          <w:p w14:paraId="3F471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小计</w:t>
            </w:r>
          </w:p>
        </w:tc>
        <w:tc>
          <w:tcPr>
            <w:tcW w:w="906" w:type="dxa"/>
            <w:tcBorders>
              <w:tl2br w:val="nil"/>
              <w:tr2bl w:val="nil"/>
            </w:tcBorders>
            <w:noWrap w:val="0"/>
            <w:vAlign w:val="center"/>
          </w:tcPr>
          <w:p w14:paraId="5B44E1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34.92</w:t>
            </w:r>
          </w:p>
        </w:tc>
        <w:tc>
          <w:tcPr>
            <w:tcW w:w="906" w:type="dxa"/>
            <w:tcBorders>
              <w:tl2br w:val="nil"/>
              <w:tr2bl w:val="nil"/>
            </w:tcBorders>
            <w:noWrap w:val="0"/>
            <w:vAlign w:val="center"/>
          </w:tcPr>
          <w:p w14:paraId="0574D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26.60</w:t>
            </w:r>
          </w:p>
        </w:tc>
        <w:tc>
          <w:tcPr>
            <w:tcW w:w="1092" w:type="dxa"/>
            <w:tcBorders>
              <w:tl2br w:val="nil"/>
              <w:tr2bl w:val="nil"/>
            </w:tcBorders>
            <w:noWrap w:val="0"/>
            <w:vAlign w:val="center"/>
          </w:tcPr>
          <w:p w14:paraId="4F42E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398.08</w:t>
            </w:r>
          </w:p>
        </w:tc>
        <w:tc>
          <w:tcPr>
            <w:tcW w:w="1482" w:type="dxa"/>
            <w:vMerge w:val="continue"/>
            <w:tcBorders>
              <w:tl2br w:val="nil"/>
              <w:tr2bl w:val="nil"/>
            </w:tcBorders>
            <w:noWrap w:val="0"/>
            <w:vAlign w:val="center"/>
          </w:tcPr>
          <w:p w14:paraId="30B82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13CE8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027BA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0D3A4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restart"/>
            <w:tcBorders>
              <w:tl2br w:val="nil"/>
              <w:tr2bl w:val="nil"/>
            </w:tcBorders>
            <w:noWrap w:val="0"/>
            <w:vAlign w:val="center"/>
          </w:tcPr>
          <w:p w14:paraId="4601F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Ⅰ-2</w:t>
            </w:r>
          </w:p>
        </w:tc>
        <w:tc>
          <w:tcPr>
            <w:tcW w:w="915" w:type="dxa"/>
            <w:tcBorders>
              <w:tl2br w:val="nil"/>
              <w:tr2bl w:val="nil"/>
            </w:tcBorders>
            <w:noWrap w:val="0"/>
            <w:vAlign w:val="center"/>
          </w:tcPr>
          <w:p w14:paraId="2D08D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工业矿</w:t>
            </w:r>
          </w:p>
        </w:tc>
        <w:tc>
          <w:tcPr>
            <w:tcW w:w="1434" w:type="dxa"/>
            <w:tcBorders>
              <w:tl2br w:val="nil"/>
              <w:tr2bl w:val="nil"/>
            </w:tcBorders>
            <w:noWrap w:val="0"/>
            <w:vAlign w:val="center"/>
          </w:tcPr>
          <w:p w14:paraId="2FF05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推断资源量</w:t>
            </w:r>
          </w:p>
        </w:tc>
        <w:tc>
          <w:tcPr>
            <w:tcW w:w="906" w:type="dxa"/>
            <w:tcBorders>
              <w:tl2br w:val="nil"/>
              <w:tr2bl w:val="nil"/>
            </w:tcBorders>
            <w:noWrap w:val="0"/>
            <w:vAlign w:val="center"/>
          </w:tcPr>
          <w:p w14:paraId="2DF22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36.43</w:t>
            </w:r>
          </w:p>
        </w:tc>
        <w:tc>
          <w:tcPr>
            <w:tcW w:w="906" w:type="dxa"/>
            <w:tcBorders>
              <w:tl2br w:val="nil"/>
              <w:tr2bl w:val="nil"/>
            </w:tcBorders>
            <w:noWrap w:val="0"/>
            <w:vAlign w:val="center"/>
          </w:tcPr>
          <w:p w14:paraId="38136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20.75</w:t>
            </w:r>
          </w:p>
        </w:tc>
        <w:tc>
          <w:tcPr>
            <w:tcW w:w="1092" w:type="dxa"/>
            <w:tcBorders>
              <w:tl2br w:val="nil"/>
              <w:tr2bl w:val="nil"/>
            </w:tcBorders>
            <w:noWrap w:val="0"/>
            <w:vAlign w:val="center"/>
          </w:tcPr>
          <w:p w14:paraId="0B239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27.92</w:t>
            </w:r>
          </w:p>
        </w:tc>
        <w:tc>
          <w:tcPr>
            <w:tcW w:w="1482" w:type="dxa"/>
            <w:vMerge w:val="continue"/>
            <w:tcBorders>
              <w:tl2br w:val="nil"/>
              <w:tr2bl w:val="nil"/>
            </w:tcBorders>
            <w:noWrap w:val="0"/>
            <w:vAlign w:val="center"/>
          </w:tcPr>
          <w:p w14:paraId="60D414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0CCD7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40963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72FF21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vAlign w:val="center"/>
          </w:tcPr>
          <w:p w14:paraId="006CF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349" w:type="dxa"/>
            <w:gridSpan w:val="2"/>
            <w:tcBorders>
              <w:tl2br w:val="nil"/>
              <w:tr2bl w:val="nil"/>
            </w:tcBorders>
            <w:noWrap w:val="0"/>
            <w:vAlign w:val="center"/>
          </w:tcPr>
          <w:p w14:paraId="5CC25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小计</w:t>
            </w:r>
          </w:p>
        </w:tc>
        <w:tc>
          <w:tcPr>
            <w:tcW w:w="906" w:type="dxa"/>
            <w:tcBorders>
              <w:tl2br w:val="nil"/>
              <w:tr2bl w:val="nil"/>
            </w:tcBorders>
            <w:noWrap w:val="0"/>
            <w:vAlign w:val="center"/>
          </w:tcPr>
          <w:p w14:paraId="31A96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36.43</w:t>
            </w:r>
          </w:p>
        </w:tc>
        <w:tc>
          <w:tcPr>
            <w:tcW w:w="906" w:type="dxa"/>
            <w:tcBorders>
              <w:tl2br w:val="nil"/>
              <w:tr2bl w:val="nil"/>
            </w:tcBorders>
            <w:noWrap w:val="0"/>
            <w:vAlign w:val="center"/>
          </w:tcPr>
          <w:p w14:paraId="14935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20.75</w:t>
            </w:r>
          </w:p>
        </w:tc>
        <w:tc>
          <w:tcPr>
            <w:tcW w:w="1092" w:type="dxa"/>
            <w:tcBorders>
              <w:tl2br w:val="nil"/>
              <w:tr2bl w:val="nil"/>
            </w:tcBorders>
            <w:noWrap w:val="0"/>
            <w:vAlign w:val="center"/>
          </w:tcPr>
          <w:p w14:paraId="2D062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27.92</w:t>
            </w:r>
          </w:p>
        </w:tc>
        <w:tc>
          <w:tcPr>
            <w:tcW w:w="1482" w:type="dxa"/>
            <w:vMerge w:val="continue"/>
            <w:tcBorders>
              <w:tl2br w:val="nil"/>
              <w:tr2bl w:val="nil"/>
            </w:tcBorders>
            <w:noWrap w:val="0"/>
            <w:vAlign w:val="center"/>
          </w:tcPr>
          <w:p w14:paraId="4AAAF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14519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restart"/>
            <w:tcBorders>
              <w:tl2br w:val="nil"/>
              <w:tr2bl w:val="nil"/>
            </w:tcBorders>
            <w:noWrap w:val="0"/>
            <w:vAlign w:val="center"/>
          </w:tcPr>
          <w:p w14:paraId="54B0B3E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累计查明</w:t>
            </w:r>
            <w:r>
              <w:rPr>
                <w:rFonts w:hint="default" w:ascii="Times New Roman" w:hAnsi="Times New Roman" w:eastAsia="宋体" w:cs="Times New Roman"/>
                <w:color w:val="000000" w:themeColor="text1"/>
                <w:sz w:val="21"/>
                <w:szCs w:val="21"/>
                <w14:textFill>
                  <w14:solidFill>
                    <w14:schemeClr w14:val="tx1"/>
                  </w14:solidFill>
                </w14:textFill>
              </w:rPr>
              <w:t>计资源量</w:t>
            </w:r>
          </w:p>
        </w:tc>
        <w:tc>
          <w:tcPr>
            <w:tcW w:w="1142" w:type="dxa"/>
            <w:vMerge w:val="restart"/>
            <w:tcBorders>
              <w:tl2br w:val="nil"/>
              <w:tr2bl w:val="nil"/>
            </w:tcBorders>
            <w:noWrap w:val="0"/>
            <w:vAlign w:val="center"/>
          </w:tcPr>
          <w:p w14:paraId="562E403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采矿证内</w:t>
            </w:r>
          </w:p>
        </w:tc>
        <w:tc>
          <w:tcPr>
            <w:tcW w:w="713" w:type="dxa"/>
            <w:vMerge w:val="restart"/>
            <w:tcBorders>
              <w:tl2br w:val="nil"/>
              <w:tr2bl w:val="nil"/>
            </w:tcBorders>
            <w:noWrap w:val="0"/>
            <w:vAlign w:val="center"/>
          </w:tcPr>
          <w:p w14:paraId="382E2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矿床</w:t>
            </w:r>
          </w:p>
        </w:tc>
        <w:tc>
          <w:tcPr>
            <w:tcW w:w="915" w:type="dxa"/>
            <w:vMerge w:val="restart"/>
            <w:tcBorders>
              <w:tl2br w:val="nil"/>
              <w:tr2bl w:val="nil"/>
            </w:tcBorders>
            <w:noWrap w:val="0"/>
            <w:vAlign w:val="center"/>
          </w:tcPr>
          <w:p w14:paraId="5BE66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工业矿</w:t>
            </w:r>
          </w:p>
        </w:tc>
        <w:tc>
          <w:tcPr>
            <w:tcW w:w="1434" w:type="dxa"/>
            <w:tcBorders>
              <w:tl2br w:val="nil"/>
              <w:tr2bl w:val="nil"/>
            </w:tcBorders>
            <w:noWrap w:val="0"/>
            <w:vAlign w:val="center"/>
          </w:tcPr>
          <w:p w14:paraId="744B7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探明资源量</w:t>
            </w:r>
          </w:p>
        </w:tc>
        <w:tc>
          <w:tcPr>
            <w:tcW w:w="906" w:type="dxa"/>
            <w:tcBorders>
              <w:tl2br w:val="nil"/>
              <w:tr2bl w:val="nil"/>
            </w:tcBorders>
            <w:noWrap w:val="0"/>
            <w:vAlign w:val="center"/>
          </w:tcPr>
          <w:p w14:paraId="24DD3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29.49</w:t>
            </w:r>
          </w:p>
        </w:tc>
        <w:tc>
          <w:tcPr>
            <w:tcW w:w="906" w:type="dxa"/>
            <w:tcBorders>
              <w:tl2br w:val="nil"/>
              <w:tr2bl w:val="nil"/>
            </w:tcBorders>
            <w:noWrap w:val="0"/>
            <w:vAlign w:val="center"/>
          </w:tcPr>
          <w:p w14:paraId="19F8C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23.09</w:t>
            </w:r>
          </w:p>
        </w:tc>
        <w:tc>
          <w:tcPr>
            <w:tcW w:w="1092" w:type="dxa"/>
            <w:tcBorders>
              <w:tl2br w:val="nil"/>
              <w:tr2bl w:val="nil"/>
            </w:tcBorders>
            <w:noWrap w:val="0"/>
            <w:vAlign w:val="center"/>
          </w:tcPr>
          <w:p w14:paraId="7AFF7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245.07</w:t>
            </w:r>
          </w:p>
        </w:tc>
        <w:tc>
          <w:tcPr>
            <w:tcW w:w="1482" w:type="dxa"/>
            <w:vMerge w:val="restart"/>
            <w:tcBorders>
              <w:tl2br w:val="nil"/>
              <w:tr2bl w:val="nil"/>
            </w:tcBorders>
            <w:noWrap w:val="0"/>
            <w:vAlign w:val="center"/>
          </w:tcPr>
          <w:p w14:paraId="6187E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动用资源量</w:t>
            </w:r>
          </w:p>
        </w:tc>
      </w:tr>
      <w:tr w14:paraId="6076E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5BEDF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067E2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textDirection w:val="tbRlV"/>
            <w:vAlign w:val="center"/>
          </w:tcPr>
          <w:p w14:paraId="3FCF5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5" w:type="dxa"/>
            <w:vMerge w:val="continue"/>
            <w:tcBorders>
              <w:tl2br w:val="nil"/>
              <w:tr2bl w:val="nil"/>
            </w:tcBorders>
            <w:noWrap w:val="0"/>
            <w:vAlign w:val="center"/>
          </w:tcPr>
          <w:p w14:paraId="2727B8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59DCA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小计</w:t>
            </w:r>
          </w:p>
        </w:tc>
        <w:tc>
          <w:tcPr>
            <w:tcW w:w="906" w:type="dxa"/>
            <w:tcBorders>
              <w:tl2br w:val="nil"/>
              <w:tr2bl w:val="nil"/>
            </w:tcBorders>
            <w:noWrap w:val="0"/>
            <w:vAlign w:val="center"/>
          </w:tcPr>
          <w:p w14:paraId="43A4A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29.49</w:t>
            </w:r>
          </w:p>
        </w:tc>
        <w:tc>
          <w:tcPr>
            <w:tcW w:w="906" w:type="dxa"/>
            <w:tcBorders>
              <w:tl2br w:val="nil"/>
              <w:tr2bl w:val="nil"/>
            </w:tcBorders>
            <w:noWrap w:val="0"/>
            <w:vAlign w:val="center"/>
          </w:tcPr>
          <w:p w14:paraId="199C2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23.09</w:t>
            </w:r>
          </w:p>
        </w:tc>
        <w:tc>
          <w:tcPr>
            <w:tcW w:w="1092" w:type="dxa"/>
            <w:tcBorders>
              <w:tl2br w:val="nil"/>
              <w:tr2bl w:val="nil"/>
            </w:tcBorders>
            <w:noWrap w:val="0"/>
            <w:vAlign w:val="center"/>
          </w:tcPr>
          <w:p w14:paraId="5C157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245.07</w:t>
            </w:r>
          </w:p>
        </w:tc>
        <w:tc>
          <w:tcPr>
            <w:tcW w:w="1482" w:type="dxa"/>
            <w:vMerge w:val="continue"/>
            <w:tcBorders>
              <w:tl2br w:val="nil"/>
              <w:tr2bl w:val="nil"/>
            </w:tcBorders>
            <w:noWrap w:val="0"/>
            <w:vAlign w:val="center"/>
          </w:tcPr>
          <w:p w14:paraId="59F724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12332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465C4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633B8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textDirection w:val="tbRlV"/>
            <w:vAlign w:val="center"/>
          </w:tcPr>
          <w:p w14:paraId="464CB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5" w:type="dxa"/>
            <w:vMerge w:val="continue"/>
            <w:tcBorders>
              <w:tl2br w:val="nil"/>
              <w:tr2bl w:val="nil"/>
            </w:tcBorders>
            <w:noWrap w:val="0"/>
            <w:vAlign w:val="center"/>
          </w:tcPr>
          <w:p w14:paraId="751D0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6779C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控制资源量</w:t>
            </w:r>
          </w:p>
        </w:tc>
        <w:tc>
          <w:tcPr>
            <w:tcW w:w="906" w:type="dxa"/>
            <w:tcBorders>
              <w:tl2br w:val="nil"/>
              <w:tr2bl w:val="nil"/>
            </w:tcBorders>
            <w:noWrap w:val="0"/>
            <w:vAlign w:val="center"/>
          </w:tcPr>
          <w:p w14:paraId="0AB3E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33.38</w:t>
            </w:r>
          </w:p>
        </w:tc>
        <w:tc>
          <w:tcPr>
            <w:tcW w:w="906" w:type="dxa"/>
            <w:tcBorders>
              <w:tl2br w:val="nil"/>
              <w:tr2bl w:val="nil"/>
            </w:tcBorders>
            <w:noWrap w:val="0"/>
            <w:vAlign w:val="center"/>
          </w:tcPr>
          <w:p w14:paraId="551BE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25.73</w:t>
            </w:r>
          </w:p>
        </w:tc>
        <w:tc>
          <w:tcPr>
            <w:tcW w:w="1092" w:type="dxa"/>
            <w:tcBorders>
              <w:tl2br w:val="nil"/>
              <w:tr2bl w:val="nil"/>
            </w:tcBorders>
            <w:noWrap w:val="0"/>
            <w:vAlign w:val="center"/>
          </w:tcPr>
          <w:p w14:paraId="53461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323.66</w:t>
            </w:r>
          </w:p>
        </w:tc>
        <w:tc>
          <w:tcPr>
            <w:tcW w:w="1482" w:type="dxa"/>
            <w:vMerge w:val="restart"/>
            <w:tcBorders>
              <w:tl2br w:val="nil"/>
              <w:tr2bl w:val="nil"/>
            </w:tcBorders>
            <w:noWrap w:val="0"/>
            <w:vAlign w:val="center"/>
          </w:tcPr>
          <w:p w14:paraId="6DC3B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保有资源量</w:t>
            </w:r>
          </w:p>
        </w:tc>
      </w:tr>
      <w:tr w14:paraId="31D84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20385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1AD3AC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textDirection w:val="tbRlV"/>
            <w:vAlign w:val="center"/>
          </w:tcPr>
          <w:p w14:paraId="56A39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5" w:type="dxa"/>
            <w:vMerge w:val="continue"/>
            <w:tcBorders>
              <w:tl2br w:val="nil"/>
              <w:tr2bl w:val="nil"/>
            </w:tcBorders>
            <w:noWrap w:val="0"/>
            <w:vAlign w:val="center"/>
          </w:tcPr>
          <w:p w14:paraId="3789C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4EFA1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推断资源量</w:t>
            </w:r>
          </w:p>
        </w:tc>
        <w:tc>
          <w:tcPr>
            <w:tcW w:w="906" w:type="dxa"/>
            <w:tcBorders>
              <w:tl2br w:val="nil"/>
              <w:tr2bl w:val="nil"/>
            </w:tcBorders>
            <w:noWrap w:val="0"/>
            <w:vAlign w:val="center"/>
          </w:tcPr>
          <w:p w14:paraId="3A5B17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34.19</w:t>
            </w:r>
          </w:p>
        </w:tc>
        <w:tc>
          <w:tcPr>
            <w:tcW w:w="906" w:type="dxa"/>
            <w:tcBorders>
              <w:tl2br w:val="nil"/>
              <w:tr2bl w:val="nil"/>
            </w:tcBorders>
            <w:noWrap w:val="0"/>
            <w:vAlign w:val="center"/>
          </w:tcPr>
          <w:p w14:paraId="1C93E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25.36</w:t>
            </w:r>
          </w:p>
        </w:tc>
        <w:tc>
          <w:tcPr>
            <w:tcW w:w="1092" w:type="dxa"/>
            <w:tcBorders>
              <w:tl2br w:val="nil"/>
              <w:tr2bl w:val="nil"/>
            </w:tcBorders>
            <w:noWrap w:val="0"/>
            <w:vAlign w:val="center"/>
          </w:tcPr>
          <w:p w14:paraId="0C8D6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521.99</w:t>
            </w:r>
          </w:p>
        </w:tc>
        <w:tc>
          <w:tcPr>
            <w:tcW w:w="1482" w:type="dxa"/>
            <w:vMerge w:val="continue"/>
            <w:tcBorders>
              <w:tl2br w:val="nil"/>
              <w:tr2bl w:val="nil"/>
            </w:tcBorders>
            <w:noWrap w:val="0"/>
            <w:vAlign w:val="center"/>
          </w:tcPr>
          <w:p w14:paraId="2010D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780DD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4C3EA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29BF9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13" w:type="dxa"/>
            <w:vMerge w:val="continue"/>
            <w:tcBorders>
              <w:tl2br w:val="nil"/>
              <w:tr2bl w:val="nil"/>
            </w:tcBorders>
            <w:noWrap w:val="0"/>
            <w:textDirection w:val="tbRlV"/>
            <w:vAlign w:val="center"/>
          </w:tcPr>
          <w:p w14:paraId="4E333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2349" w:type="dxa"/>
            <w:gridSpan w:val="2"/>
            <w:tcBorders>
              <w:tl2br w:val="nil"/>
              <w:tr2bl w:val="nil"/>
            </w:tcBorders>
            <w:noWrap w:val="0"/>
            <w:vAlign w:val="center"/>
          </w:tcPr>
          <w:p w14:paraId="79440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小计</w:t>
            </w:r>
          </w:p>
        </w:tc>
        <w:tc>
          <w:tcPr>
            <w:tcW w:w="906" w:type="dxa"/>
            <w:tcBorders>
              <w:tl2br w:val="nil"/>
              <w:tr2bl w:val="nil"/>
            </w:tcBorders>
            <w:noWrap w:val="0"/>
            <w:vAlign w:val="center"/>
          </w:tcPr>
          <w:p w14:paraId="5AC8B2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33.88</w:t>
            </w:r>
          </w:p>
        </w:tc>
        <w:tc>
          <w:tcPr>
            <w:tcW w:w="906" w:type="dxa"/>
            <w:tcBorders>
              <w:tl2br w:val="nil"/>
              <w:tr2bl w:val="nil"/>
            </w:tcBorders>
            <w:noWrap w:val="0"/>
            <w:vAlign w:val="center"/>
          </w:tcPr>
          <w:p w14:paraId="5C30C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25.50</w:t>
            </w:r>
          </w:p>
        </w:tc>
        <w:tc>
          <w:tcPr>
            <w:tcW w:w="1092" w:type="dxa"/>
            <w:tcBorders>
              <w:tl2br w:val="nil"/>
              <w:tr2bl w:val="nil"/>
            </w:tcBorders>
            <w:noWrap w:val="0"/>
            <w:vAlign w:val="center"/>
          </w:tcPr>
          <w:p w14:paraId="3377E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845.65</w:t>
            </w:r>
          </w:p>
        </w:tc>
        <w:tc>
          <w:tcPr>
            <w:tcW w:w="1482" w:type="dxa"/>
            <w:vMerge w:val="continue"/>
            <w:tcBorders>
              <w:tl2br w:val="nil"/>
              <w:tr2bl w:val="nil"/>
            </w:tcBorders>
            <w:noWrap w:val="0"/>
            <w:vAlign w:val="center"/>
          </w:tcPr>
          <w:p w14:paraId="59CCD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4B49E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0A360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4E451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628" w:type="dxa"/>
            <w:gridSpan w:val="2"/>
            <w:vMerge w:val="restart"/>
            <w:tcBorders>
              <w:tl2br w:val="nil"/>
              <w:tr2bl w:val="nil"/>
            </w:tcBorders>
            <w:noWrap w:val="0"/>
            <w:vAlign w:val="center"/>
          </w:tcPr>
          <w:p w14:paraId="0750A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总计</w:t>
            </w:r>
          </w:p>
        </w:tc>
        <w:tc>
          <w:tcPr>
            <w:tcW w:w="1434" w:type="dxa"/>
            <w:tcBorders>
              <w:tl2br w:val="nil"/>
              <w:tr2bl w:val="nil"/>
            </w:tcBorders>
            <w:noWrap w:val="0"/>
            <w:vAlign w:val="center"/>
          </w:tcPr>
          <w:p w14:paraId="1E62D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证实储量</w:t>
            </w:r>
          </w:p>
        </w:tc>
        <w:tc>
          <w:tcPr>
            <w:tcW w:w="906" w:type="dxa"/>
            <w:tcBorders>
              <w:tl2br w:val="nil"/>
              <w:tr2bl w:val="nil"/>
            </w:tcBorders>
            <w:noWrap w:val="0"/>
            <w:vAlign w:val="center"/>
          </w:tcPr>
          <w:p w14:paraId="0ABB03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29.49</w:t>
            </w:r>
          </w:p>
        </w:tc>
        <w:tc>
          <w:tcPr>
            <w:tcW w:w="906" w:type="dxa"/>
            <w:tcBorders>
              <w:tl2br w:val="nil"/>
              <w:tr2bl w:val="nil"/>
            </w:tcBorders>
            <w:noWrap w:val="0"/>
            <w:vAlign w:val="center"/>
          </w:tcPr>
          <w:p w14:paraId="5EECC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23.09</w:t>
            </w:r>
          </w:p>
        </w:tc>
        <w:tc>
          <w:tcPr>
            <w:tcW w:w="1092" w:type="dxa"/>
            <w:tcBorders>
              <w:tl2br w:val="nil"/>
              <w:tr2bl w:val="nil"/>
            </w:tcBorders>
            <w:noWrap w:val="0"/>
            <w:vAlign w:val="center"/>
          </w:tcPr>
          <w:p w14:paraId="1B4ED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205.25</w:t>
            </w:r>
          </w:p>
        </w:tc>
        <w:tc>
          <w:tcPr>
            <w:tcW w:w="1482" w:type="dxa"/>
            <w:vMerge w:val="restart"/>
            <w:tcBorders>
              <w:tl2br w:val="nil"/>
              <w:tr2bl w:val="nil"/>
            </w:tcBorders>
            <w:noWrap w:val="0"/>
            <w:vAlign w:val="center"/>
          </w:tcPr>
          <w:p w14:paraId="27CB9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证内累计</w:t>
            </w:r>
          </w:p>
        </w:tc>
      </w:tr>
      <w:tr w14:paraId="60F6A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2286F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60962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628" w:type="dxa"/>
            <w:gridSpan w:val="2"/>
            <w:vMerge w:val="continue"/>
            <w:tcBorders>
              <w:tl2br w:val="nil"/>
              <w:tr2bl w:val="nil"/>
            </w:tcBorders>
            <w:noWrap w:val="0"/>
            <w:textDirection w:val="tbRlV"/>
            <w:vAlign w:val="center"/>
          </w:tcPr>
          <w:p w14:paraId="03C13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6BB64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控制资源量</w:t>
            </w:r>
          </w:p>
        </w:tc>
        <w:tc>
          <w:tcPr>
            <w:tcW w:w="906" w:type="dxa"/>
            <w:tcBorders>
              <w:tl2br w:val="nil"/>
              <w:tr2bl w:val="nil"/>
            </w:tcBorders>
            <w:noWrap w:val="0"/>
            <w:vAlign w:val="center"/>
          </w:tcPr>
          <w:p w14:paraId="30639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33.38</w:t>
            </w:r>
          </w:p>
        </w:tc>
        <w:tc>
          <w:tcPr>
            <w:tcW w:w="906" w:type="dxa"/>
            <w:tcBorders>
              <w:tl2br w:val="nil"/>
              <w:tr2bl w:val="nil"/>
            </w:tcBorders>
            <w:noWrap w:val="0"/>
            <w:vAlign w:val="center"/>
          </w:tcPr>
          <w:p w14:paraId="710BD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25.73</w:t>
            </w:r>
          </w:p>
        </w:tc>
        <w:tc>
          <w:tcPr>
            <w:tcW w:w="1092" w:type="dxa"/>
            <w:tcBorders>
              <w:tl2br w:val="nil"/>
              <w:tr2bl w:val="nil"/>
            </w:tcBorders>
            <w:noWrap w:val="0"/>
            <w:vAlign w:val="center"/>
          </w:tcPr>
          <w:p w14:paraId="1FF49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323.66</w:t>
            </w:r>
          </w:p>
        </w:tc>
        <w:tc>
          <w:tcPr>
            <w:tcW w:w="1482" w:type="dxa"/>
            <w:vMerge w:val="continue"/>
            <w:tcBorders>
              <w:tl2br w:val="nil"/>
              <w:tr2bl w:val="nil"/>
            </w:tcBorders>
            <w:noWrap w:val="0"/>
            <w:vAlign w:val="center"/>
          </w:tcPr>
          <w:p w14:paraId="399B3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6BB89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20AEE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3B376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628" w:type="dxa"/>
            <w:gridSpan w:val="2"/>
            <w:vMerge w:val="continue"/>
            <w:tcBorders>
              <w:tl2br w:val="nil"/>
              <w:tr2bl w:val="nil"/>
            </w:tcBorders>
            <w:noWrap w:val="0"/>
            <w:textDirection w:val="tbRlV"/>
            <w:vAlign w:val="center"/>
          </w:tcPr>
          <w:p w14:paraId="5DA67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5ADF9D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推断资源量</w:t>
            </w:r>
          </w:p>
        </w:tc>
        <w:tc>
          <w:tcPr>
            <w:tcW w:w="906" w:type="dxa"/>
            <w:tcBorders>
              <w:tl2br w:val="nil"/>
              <w:tr2bl w:val="nil"/>
            </w:tcBorders>
            <w:noWrap w:val="0"/>
            <w:vAlign w:val="center"/>
          </w:tcPr>
          <w:p w14:paraId="33ECB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34.19</w:t>
            </w:r>
          </w:p>
        </w:tc>
        <w:tc>
          <w:tcPr>
            <w:tcW w:w="906" w:type="dxa"/>
            <w:tcBorders>
              <w:tl2br w:val="nil"/>
              <w:tr2bl w:val="nil"/>
            </w:tcBorders>
            <w:noWrap w:val="0"/>
            <w:vAlign w:val="center"/>
          </w:tcPr>
          <w:p w14:paraId="562ED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25.36</w:t>
            </w:r>
          </w:p>
        </w:tc>
        <w:tc>
          <w:tcPr>
            <w:tcW w:w="1092" w:type="dxa"/>
            <w:tcBorders>
              <w:tl2br w:val="nil"/>
              <w:tr2bl w:val="nil"/>
            </w:tcBorders>
            <w:noWrap w:val="0"/>
            <w:vAlign w:val="center"/>
          </w:tcPr>
          <w:p w14:paraId="3E48E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521.99</w:t>
            </w:r>
          </w:p>
        </w:tc>
        <w:tc>
          <w:tcPr>
            <w:tcW w:w="1482" w:type="dxa"/>
            <w:vMerge w:val="continue"/>
            <w:tcBorders>
              <w:tl2br w:val="nil"/>
              <w:tr2bl w:val="nil"/>
            </w:tcBorders>
            <w:noWrap w:val="0"/>
            <w:vAlign w:val="center"/>
          </w:tcPr>
          <w:p w14:paraId="05C7A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3D3BD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tcBorders>
              <w:tl2br w:val="nil"/>
              <w:tr2bl w:val="nil"/>
            </w:tcBorders>
            <w:noWrap w:val="0"/>
            <w:vAlign w:val="center"/>
          </w:tcPr>
          <w:p w14:paraId="5E251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142" w:type="dxa"/>
            <w:vMerge w:val="continue"/>
            <w:tcBorders>
              <w:tl2br w:val="nil"/>
              <w:tr2bl w:val="nil"/>
            </w:tcBorders>
            <w:noWrap w:val="0"/>
            <w:vAlign w:val="center"/>
          </w:tcPr>
          <w:p w14:paraId="71200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628" w:type="dxa"/>
            <w:gridSpan w:val="2"/>
            <w:vMerge w:val="continue"/>
            <w:tcBorders>
              <w:tl2br w:val="nil"/>
              <w:tr2bl w:val="nil"/>
            </w:tcBorders>
            <w:noWrap w:val="0"/>
            <w:textDirection w:val="tbRlV"/>
            <w:vAlign w:val="center"/>
          </w:tcPr>
          <w:p w14:paraId="489A8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4" w:type="dxa"/>
            <w:tcBorders>
              <w:tl2br w:val="nil"/>
              <w:tr2bl w:val="nil"/>
            </w:tcBorders>
            <w:noWrap w:val="0"/>
            <w:vAlign w:val="center"/>
          </w:tcPr>
          <w:p w14:paraId="474AB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合计</w:t>
            </w:r>
          </w:p>
        </w:tc>
        <w:tc>
          <w:tcPr>
            <w:tcW w:w="906" w:type="dxa"/>
            <w:tcBorders>
              <w:tl2br w:val="nil"/>
              <w:tr2bl w:val="nil"/>
            </w:tcBorders>
            <w:noWrap w:val="0"/>
            <w:vAlign w:val="center"/>
          </w:tcPr>
          <w:p w14:paraId="56DE4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32.89</w:t>
            </w:r>
          </w:p>
        </w:tc>
        <w:tc>
          <w:tcPr>
            <w:tcW w:w="906" w:type="dxa"/>
            <w:tcBorders>
              <w:tl2br w:val="nil"/>
              <w:tr2bl w:val="nil"/>
            </w:tcBorders>
            <w:noWrap w:val="0"/>
            <w:vAlign w:val="center"/>
          </w:tcPr>
          <w:p w14:paraId="2411A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24.96</w:t>
            </w:r>
          </w:p>
        </w:tc>
        <w:tc>
          <w:tcPr>
            <w:tcW w:w="1092" w:type="dxa"/>
            <w:tcBorders>
              <w:tl2br w:val="nil"/>
              <w:tr2bl w:val="nil"/>
            </w:tcBorders>
            <w:noWrap w:val="0"/>
            <w:vAlign w:val="center"/>
          </w:tcPr>
          <w:p w14:paraId="39849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1090.72</w:t>
            </w:r>
          </w:p>
        </w:tc>
        <w:tc>
          <w:tcPr>
            <w:tcW w:w="1482" w:type="dxa"/>
            <w:vMerge w:val="continue"/>
            <w:tcBorders>
              <w:tl2br w:val="nil"/>
              <w:tr2bl w:val="nil"/>
            </w:tcBorders>
            <w:noWrap w:val="0"/>
            <w:vAlign w:val="center"/>
          </w:tcPr>
          <w:p w14:paraId="2A001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bl>
    <w:p w14:paraId="4F94E41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（3）设计利用的资源储量</w:t>
      </w:r>
    </w:p>
    <w:p w14:paraId="619A8C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开发利用方案，对新疆维吾尔自治区矿产资源储量评审中心《新疆哈密市M1033铁矿资源储量核实报告》矿产资源储量评审意见书（新矿评储字〔2022〕19号）评审通过的采矿权范围内有保有资源量的矿体，设计利用的矿体数量为3个，矿体编号分别为Ⅰ-2、Ⅰ-1和Ⅲ号矿体。</w:t>
      </w:r>
    </w:p>
    <w:p w14:paraId="626226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计采矿许可证内保有的（KZ+TD）资源量：矿石量845.65万t，平均品位：TFe33.88%，mFe25.50%全部利用。其中：控制（KZ）资源量：矿石量323.66万t，平均品位：TFe33.38%，mFe25.73%；推断（TD）资源量：矿石量521.99万t，平均品位：TFe</w:t>
      </w:r>
      <w:bookmarkStart w:id="290" w:name="_Hlk132484673"/>
      <w:r>
        <w:rPr>
          <w:rFonts w:hint="default" w:ascii="Times New Roman" w:hAnsi="Times New Roman" w:eastAsia="宋体" w:cs="Times New Roman"/>
          <w:color w:val="000000" w:themeColor="text1"/>
          <w:sz w:val="24"/>
          <w:szCs w:val="24"/>
          <w14:textFill>
            <w14:solidFill>
              <w14:schemeClr w14:val="tx1"/>
            </w14:solidFill>
          </w14:textFill>
        </w:rPr>
        <w:t>34.19%，mFe25.36%</w:t>
      </w:r>
      <w:bookmarkEnd w:id="290"/>
      <w:r>
        <w:rPr>
          <w:rFonts w:hint="default" w:ascii="Times New Roman" w:hAnsi="Times New Roman" w:eastAsia="宋体" w:cs="Times New Roman"/>
          <w:color w:val="000000" w:themeColor="text1"/>
          <w:sz w:val="24"/>
          <w:szCs w:val="24"/>
          <w14:textFill>
            <w14:solidFill>
              <w14:schemeClr w14:val="tx1"/>
            </w14:solidFill>
          </w14:textFill>
        </w:rPr>
        <w:t>。</w:t>
      </w:r>
    </w:p>
    <w:p w14:paraId="13E173F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（4）资源储量类别调整建议</w:t>
      </w:r>
    </w:p>
    <w:p w14:paraId="2740456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Cs w:val="28"/>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矿区范围内评审通过的资源/储量调整为可采资源/储量与设计损失及采矿损失量两部分，设计将评审通过的控制资源量调整为可信储量，推断资源量仍为推断资源量。工业矿资源/储量及类别调整结果详见表3.2-3。</w:t>
      </w:r>
    </w:p>
    <w:p w14:paraId="09F67563">
      <w:pPr>
        <w:pStyle w:val="18"/>
        <w:spacing w:line="480" w:lineRule="exact"/>
        <w:ind w:firstLine="0" w:firstLineChars="0"/>
        <w:jc w:val="center"/>
        <w:rPr>
          <w:b/>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表3</w:t>
      </w:r>
      <w:r>
        <w:rPr>
          <w:b/>
          <w:color w:val="000000" w:themeColor="text1"/>
          <w:sz w:val="24"/>
          <w:szCs w:val="28"/>
          <w14:textFill>
            <w14:solidFill>
              <w14:schemeClr w14:val="tx1"/>
            </w14:solidFill>
          </w14:textFill>
        </w:rPr>
        <w:t xml:space="preserve">.2-3    </w:t>
      </w:r>
      <w:r>
        <w:rPr>
          <w:rFonts w:hint="eastAsia"/>
          <w:b/>
          <w:color w:val="000000" w:themeColor="text1"/>
          <w:sz w:val="24"/>
          <w:szCs w:val="28"/>
          <w14:textFill>
            <w14:solidFill>
              <w14:schemeClr w14:val="tx1"/>
            </w14:solidFill>
          </w14:textFill>
        </w:rPr>
        <w:t>资源/储量及类别调整前后对照表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846"/>
        <w:gridCol w:w="1328"/>
        <w:gridCol w:w="1546"/>
        <w:gridCol w:w="2423"/>
      </w:tblGrid>
      <w:tr w14:paraId="48842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2"/>
            <w:vMerge w:val="restart"/>
            <w:tcBorders>
              <w:tl2br w:val="nil"/>
              <w:tr2bl w:val="nil"/>
            </w:tcBorders>
            <w:noWrap w:val="0"/>
            <w:vAlign w:val="center"/>
          </w:tcPr>
          <w:p w14:paraId="6DF3C9AA">
            <w:pPr>
              <w:keepNext w:val="0"/>
              <w:keepLines w:val="0"/>
              <w:suppressLineNumbers w:val="0"/>
              <w:spacing w:before="0" w:beforeAutospacing="0" w:after="0" w:afterAutospacing="0" w:line="360" w:lineRule="exact"/>
              <w:ind w:left="0" w:right="0" w:firstLine="105" w:firstLineChars="5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矿区范围内评审通过的</w:t>
            </w:r>
          </w:p>
          <w:p w14:paraId="2D6A5C59">
            <w:pPr>
              <w:keepNext w:val="0"/>
              <w:keepLines w:val="0"/>
              <w:suppressLineNumbers w:val="0"/>
              <w:spacing w:before="0" w:beforeAutospacing="0" w:after="0" w:afterAutospacing="0" w:line="360" w:lineRule="exact"/>
              <w:ind w:left="0" w:right="0" w:firstLine="105" w:firstLineChars="5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保有资源/储量及类别</w:t>
            </w:r>
          </w:p>
        </w:tc>
        <w:tc>
          <w:tcPr>
            <w:tcW w:w="3107" w:type="pct"/>
            <w:gridSpan w:val="3"/>
            <w:tcBorders>
              <w:tl2br w:val="nil"/>
              <w:tr2bl w:val="nil"/>
            </w:tcBorders>
            <w:noWrap w:val="0"/>
            <w:vAlign w:val="center"/>
          </w:tcPr>
          <w:p w14:paraId="7DB80235">
            <w:pPr>
              <w:keepNext w:val="0"/>
              <w:keepLines w:val="0"/>
              <w:suppressLineNumbers w:val="0"/>
              <w:spacing w:before="0" w:beforeAutospacing="0" w:after="0" w:afterAutospacing="0" w:line="360" w:lineRule="exact"/>
              <w:ind w:left="0" w:right="0" w:firstLine="48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设计调整的资源/储量及类别</w:t>
            </w:r>
          </w:p>
        </w:tc>
      </w:tr>
      <w:tr w14:paraId="24BE9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2"/>
            <w:vMerge w:val="continue"/>
            <w:tcBorders>
              <w:tl2br w:val="nil"/>
              <w:tr2bl w:val="nil"/>
            </w:tcBorders>
            <w:noWrap w:val="0"/>
            <w:vAlign w:val="center"/>
          </w:tcPr>
          <w:p w14:paraId="1CC47667">
            <w:pPr>
              <w:keepNext w:val="0"/>
              <w:keepLines w:val="0"/>
              <w:suppressLineNumbers w:val="0"/>
              <w:spacing w:before="0" w:beforeAutospacing="0" w:after="0" w:afterAutospacing="0" w:line="360" w:lineRule="exact"/>
              <w:ind w:left="0" w:right="0" w:firstLine="480"/>
              <w:rPr>
                <w:rFonts w:hint="default" w:ascii="Times New Roman" w:hAnsi="Times New Roman" w:cs="Times New Roman"/>
                <w:b/>
                <w:bCs/>
                <w:color w:val="000000" w:themeColor="text1"/>
                <w:sz w:val="21"/>
                <w:szCs w:val="21"/>
                <w14:textFill>
                  <w14:solidFill>
                    <w14:schemeClr w14:val="tx1"/>
                  </w14:solidFill>
                </w14:textFill>
              </w:rPr>
            </w:pPr>
          </w:p>
        </w:tc>
        <w:tc>
          <w:tcPr>
            <w:tcW w:w="1686" w:type="pct"/>
            <w:gridSpan w:val="2"/>
            <w:tcBorders>
              <w:tl2br w:val="nil"/>
              <w:tr2bl w:val="nil"/>
            </w:tcBorders>
            <w:noWrap w:val="0"/>
            <w:vAlign w:val="center"/>
          </w:tcPr>
          <w:p w14:paraId="063C176F">
            <w:pPr>
              <w:keepNext w:val="0"/>
              <w:keepLines w:val="0"/>
              <w:suppressLineNumbers w:val="0"/>
              <w:spacing w:before="0" w:beforeAutospacing="0" w:after="0" w:afterAutospacing="0" w:line="360" w:lineRule="exact"/>
              <w:ind w:left="0" w:right="0" w:firstLine="42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可采资源/储量</w:t>
            </w:r>
          </w:p>
        </w:tc>
        <w:tc>
          <w:tcPr>
            <w:tcW w:w="1421" w:type="pct"/>
            <w:tcBorders>
              <w:tl2br w:val="nil"/>
              <w:tr2bl w:val="nil"/>
            </w:tcBorders>
            <w:noWrap w:val="0"/>
            <w:vAlign w:val="center"/>
          </w:tcPr>
          <w:p w14:paraId="3F9FE25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设计损失及采矿损失量</w:t>
            </w:r>
          </w:p>
        </w:tc>
      </w:tr>
      <w:tr w14:paraId="65684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tcBorders>
              <w:tl2br w:val="nil"/>
              <w:tr2bl w:val="nil"/>
            </w:tcBorders>
            <w:noWrap w:val="0"/>
            <w:vAlign w:val="center"/>
          </w:tcPr>
          <w:p w14:paraId="6250E94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类别</w:t>
            </w:r>
          </w:p>
        </w:tc>
        <w:tc>
          <w:tcPr>
            <w:tcW w:w="1082" w:type="pct"/>
            <w:tcBorders>
              <w:tl2br w:val="nil"/>
              <w:tr2bl w:val="nil"/>
            </w:tcBorders>
            <w:noWrap w:val="0"/>
            <w:vAlign w:val="center"/>
          </w:tcPr>
          <w:p w14:paraId="572B0CF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矿石量（万吨）</w:t>
            </w:r>
          </w:p>
        </w:tc>
        <w:tc>
          <w:tcPr>
            <w:tcW w:w="779" w:type="pct"/>
            <w:tcBorders>
              <w:tl2br w:val="nil"/>
              <w:tr2bl w:val="nil"/>
            </w:tcBorders>
            <w:noWrap w:val="0"/>
            <w:vAlign w:val="center"/>
          </w:tcPr>
          <w:p w14:paraId="761E2DE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类别</w:t>
            </w:r>
          </w:p>
        </w:tc>
        <w:tc>
          <w:tcPr>
            <w:tcW w:w="907" w:type="pct"/>
            <w:tcBorders>
              <w:tl2br w:val="nil"/>
              <w:tr2bl w:val="nil"/>
            </w:tcBorders>
            <w:noWrap w:val="0"/>
            <w:vAlign w:val="center"/>
          </w:tcPr>
          <w:p w14:paraId="5273736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矿石量（万吨）</w:t>
            </w:r>
          </w:p>
        </w:tc>
        <w:tc>
          <w:tcPr>
            <w:tcW w:w="1421" w:type="pct"/>
            <w:tcBorders>
              <w:tl2br w:val="nil"/>
              <w:tr2bl w:val="nil"/>
            </w:tcBorders>
            <w:noWrap w:val="0"/>
            <w:vAlign w:val="center"/>
          </w:tcPr>
          <w:p w14:paraId="2294984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矿石量（万吨）</w:t>
            </w:r>
          </w:p>
        </w:tc>
      </w:tr>
      <w:tr w14:paraId="5BCED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tcBorders>
              <w:tl2br w:val="nil"/>
              <w:tr2bl w:val="nil"/>
            </w:tcBorders>
            <w:noWrap w:val="0"/>
            <w:vAlign w:val="center"/>
          </w:tcPr>
          <w:p w14:paraId="46176FC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控制KZ</w:t>
            </w:r>
          </w:p>
        </w:tc>
        <w:tc>
          <w:tcPr>
            <w:tcW w:w="1082" w:type="pct"/>
            <w:tcBorders>
              <w:tl2br w:val="nil"/>
              <w:tr2bl w:val="nil"/>
            </w:tcBorders>
            <w:noWrap w:val="0"/>
            <w:vAlign w:val="center"/>
          </w:tcPr>
          <w:p w14:paraId="779CAE7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323.66</w:t>
            </w:r>
          </w:p>
        </w:tc>
        <w:tc>
          <w:tcPr>
            <w:tcW w:w="779" w:type="pct"/>
            <w:tcBorders>
              <w:tl2br w:val="nil"/>
              <w:tr2bl w:val="nil"/>
            </w:tcBorders>
            <w:noWrap w:val="0"/>
            <w:vAlign w:val="center"/>
          </w:tcPr>
          <w:p w14:paraId="4C80510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可信储量</w:t>
            </w:r>
          </w:p>
        </w:tc>
        <w:tc>
          <w:tcPr>
            <w:tcW w:w="907" w:type="pct"/>
            <w:tcBorders>
              <w:tl2br w:val="nil"/>
              <w:tr2bl w:val="nil"/>
            </w:tcBorders>
            <w:noWrap w:val="0"/>
            <w:vAlign w:val="center"/>
          </w:tcPr>
          <w:p w14:paraId="312FD19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275.11</w:t>
            </w:r>
          </w:p>
        </w:tc>
        <w:tc>
          <w:tcPr>
            <w:tcW w:w="1421" w:type="pct"/>
            <w:tcBorders>
              <w:tl2br w:val="nil"/>
              <w:tr2bl w:val="nil"/>
            </w:tcBorders>
            <w:noWrap w:val="0"/>
            <w:vAlign w:val="center"/>
          </w:tcPr>
          <w:p w14:paraId="031F6A1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48.55</w:t>
            </w:r>
          </w:p>
        </w:tc>
      </w:tr>
      <w:tr w14:paraId="10CB9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tcBorders>
              <w:tl2br w:val="nil"/>
              <w:tr2bl w:val="nil"/>
            </w:tcBorders>
            <w:noWrap w:val="0"/>
            <w:vAlign w:val="center"/>
          </w:tcPr>
          <w:p w14:paraId="715196A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推断TD</w:t>
            </w:r>
          </w:p>
        </w:tc>
        <w:tc>
          <w:tcPr>
            <w:tcW w:w="1082" w:type="pct"/>
            <w:tcBorders>
              <w:tl2br w:val="nil"/>
              <w:tr2bl w:val="nil"/>
            </w:tcBorders>
            <w:noWrap w:val="0"/>
            <w:vAlign w:val="center"/>
          </w:tcPr>
          <w:p w14:paraId="7C62C12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521.99</w:t>
            </w:r>
          </w:p>
        </w:tc>
        <w:tc>
          <w:tcPr>
            <w:tcW w:w="779" w:type="pct"/>
            <w:tcBorders>
              <w:tl2br w:val="nil"/>
              <w:tr2bl w:val="nil"/>
            </w:tcBorders>
            <w:noWrap w:val="0"/>
            <w:vAlign w:val="center"/>
          </w:tcPr>
          <w:p w14:paraId="299426E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推断资源量</w:t>
            </w:r>
          </w:p>
        </w:tc>
        <w:tc>
          <w:tcPr>
            <w:tcW w:w="907" w:type="pct"/>
            <w:tcBorders>
              <w:tl2br w:val="nil"/>
              <w:tr2bl w:val="nil"/>
            </w:tcBorders>
            <w:noWrap w:val="0"/>
            <w:vAlign w:val="center"/>
          </w:tcPr>
          <w:p w14:paraId="57B3A03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443.69</w:t>
            </w:r>
          </w:p>
        </w:tc>
        <w:tc>
          <w:tcPr>
            <w:tcW w:w="1421" w:type="pct"/>
            <w:tcBorders>
              <w:tl2br w:val="nil"/>
              <w:tr2bl w:val="nil"/>
            </w:tcBorders>
            <w:noWrap w:val="0"/>
            <w:vAlign w:val="center"/>
          </w:tcPr>
          <w:p w14:paraId="1488D3A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78.30</w:t>
            </w:r>
          </w:p>
        </w:tc>
      </w:tr>
      <w:tr w14:paraId="46E0F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pct"/>
            <w:tcBorders>
              <w:tl2br w:val="nil"/>
              <w:tr2bl w:val="nil"/>
            </w:tcBorders>
            <w:noWrap w:val="0"/>
            <w:vAlign w:val="center"/>
          </w:tcPr>
          <w:p w14:paraId="47B07D3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控制+推断(KZ+TD）</w:t>
            </w:r>
          </w:p>
        </w:tc>
        <w:tc>
          <w:tcPr>
            <w:tcW w:w="1082" w:type="pct"/>
            <w:tcBorders>
              <w:tl2br w:val="nil"/>
              <w:tr2bl w:val="nil"/>
            </w:tcBorders>
            <w:noWrap w:val="0"/>
            <w:vAlign w:val="center"/>
          </w:tcPr>
          <w:p w14:paraId="64E383B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845.65</w:t>
            </w:r>
          </w:p>
        </w:tc>
        <w:tc>
          <w:tcPr>
            <w:tcW w:w="779" w:type="pct"/>
            <w:tcBorders>
              <w:tl2br w:val="nil"/>
              <w:tr2bl w:val="nil"/>
            </w:tcBorders>
            <w:noWrap w:val="0"/>
            <w:vAlign w:val="center"/>
          </w:tcPr>
          <w:p w14:paraId="19B251E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可信储量+推断资源量</w:t>
            </w:r>
          </w:p>
        </w:tc>
        <w:tc>
          <w:tcPr>
            <w:tcW w:w="907" w:type="pct"/>
            <w:tcBorders>
              <w:tl2br w:val="nil"/>
              <w:tr2bl w:val="nil"/>
            </w:tcBorders>
            <w:noWrap w:val="0"/>
            <w:vAlign w:val="center"/>
          </w:tcPr>
          <w:p w14:paraId="234857A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718.80</w:t>
            </w:r>
          </w:p>
        </w:tc>
        <w:tc>
          <w:tcPr>
            <w:tcW w:w="1421" w:type="pct"/>
            <w:tcBorders>
              <w:tl2br w:val="nil"/>
              <w:tr2bl w:val="nil"/>
            </w:tcBorders>
            <w:noWrap w:val="0"/>
            <w:vAlign w:val="center"/>
          </w:tcPr>
          <w:p w14:paraId="525CBD2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126.85</w:t>
            </w:r>
          </w:p>
        </w:tc>
      </w:tr>
    </w:tbl>
    <w:p w14:paraId="6F790564">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.1.7矿石组成及类型</w:t>
      </w:r>
    </w:p>
    <w:p w14:paraId="2429A0DF">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（1）矿石的主要矿物成分</w:t>
      </w:r>
    </w:p>
    <w:p w14:paraId="4E9B4E19">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矿石金属矿物以磁铁矿为主，次有磁黄铁矿、黄铁矿、赤铁矿等，含量较少。脉石矿物主要为石英、方解石、黑云母，次要矿物为绿泥石，长石，少量白云母等。</w:t>
      </w:r>
    </w:p>
    <w:p w14:paraId="77B10CE4">
      <w:pPr>
        <w:pStyle w:val="18"/>
        <w:spacing w:line="480" w:lineRule="exact"/>
        <w:ind w:firstLine="480"/>
        <w:rPr>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①</w:t>
      </w:r>
      <w:r>
        <w:rPr>
          <w:rFonts w:hint="eastAsia"/>
          <w:color w:val="000000" w:themeColor="text1"/>
          <w:sz w:val="24"/>
          <w:szCs w:val="28"/>
          <w14:textFill>
            <w14:solidFill>
              <w14:schemeClr w14:val="tx1"/>
            </w14:solidFill>
          </w14:textFill>
        </w:rPr>
        <w:t>矿石矿物</w:t>
      </w:r>
    </w:p>
    <w:p w14:paraId="1A8EDD0A">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磁铁矿：单晶体常呈八面体，较少呈菱形十二面体。集合体多呈致密块状、粒状和条带状分布。颜色为铁黑色，半金属光泽，不透明。显微镜下灰色带棕色调，均质，具强磁性。多以等轴粒状集合体的形式产出，单晶呈自形，半自形，粒径范围较宽，一般在0.02～0.40mm之间，少部分粒度较粗，呈大于0.7mm，具压扁拉长定向排列。该矿石中磁铁矿含量约占矿物总量15.0%～25.0%，分布广泛。磁铁矿与黄铁矿嵌布关系密切，黄铁矿呈集合体形式充填在磁铁矿裂隙间，两者间界限清楚较为清晰，还有少量磁铁矿边缘部被黄铁矿包裹，大部分磁铁矿呈拉长单晶粒状散布偶见有细粒状黄铁矿。</w:t>
      </w:r>
    </w:p>
    <w:p w14:paraId="4CEE4954">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黄铁矿：各矿体黄铁矿约占矿物总量的5.0%以上，矿石中呈稀疏浸染状、细脉状、粒状分布，有些黄铁矿结晶程度较好，自形、半自形晶常见，裂隙不发育。黄铁矿粒径悬殊，粗粒超过1.0mm，细粒者不到0.005mm，一般在0.025～0.40mm之间。</w:t>
      </w:r>
    </w:p>
    <w:p w14:paraId="65DDD36E">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赤铁矿：单反射光下赤铁矿为钢灰色，隐晶质，金属至半金属光泽，有时光泽暗淡，三个矿体中均含有少量赤铁矿，含量约占矿物总量的1%～2%。赤铁矿粒径较为平均，粗粒一般在0.015mm，多分布在磁铁矿的边缘，部分被黄铁矿包裹。</w:t>
      </w:r>
    </w:p>
    <w:p w14:paraId="28EF2D7F">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磁黄铁矿：含量较少，为它形粒状，粒度变化在0.02～0.15mm，多分布于方解石颗粒之间。遭受剪切变形后粒度变细、拉长，在强变形区域内多在0.01～0.02mm。</w:t>
      </w:r>
    </w:p>
    <w:p w14:paraId="4C8DC064">
      <w:pPr>
        <w:pStyle w:val="18"/>
        <w:spacing w:line="480" w:lineRule="exact"/>
        <w:ind w:firstLine="480"/>
        <w:rPr>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②</w:t>
      </w:r>
      <w:r>
        <w:rPr>
          <w:rFonts w:hint="eastAsia"/>
          <w:color w:val="000000" w:themeColor="text1"/>
          <w:sz w:val="24"/>
          <w:szCs w:val="28"/>
          <w14:textFill>
            <w14:solidFill>
              <w14:schemeClr w14:val="tx1"/>
            </w14:solidFill>
          </w14:textFill>
        </w:rPr>
        <w:t>脉石矿物</w:t>
      </w:r>
    </w:p>
    <w:p w14:paraId="3B428E2D">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石英：呈他形粒状集合体，次棱角状-次圆状、团块状、脉状分布，粒径多在0.08～0.60mm之间，具拉长定向排列；石英含量约30</w:t>
      </w:r>
      <w:r>
        <w:rPr>
          <w:rFonts w:hint="eastAsia"/>
          <w:color w:val="000000" w:themeColor="text1"/>
          <w:sz w:val="24"/>
          <w:szCs w:val="28"/>
          <w:lang w:val="en-US" w:eastAsia="zh-CN"/>
          <w14:textFill>
            <w14:solidFill>
              <w14:schemeClr w14:val="tx1"/>
            </w14:solidFill>
          </w14:textFill>
        </w:rPr>
        <w:t>%</w:t>
      </w:r>
      <w:r>
        <w:rPr>
          <w:rFonts w:hint="eastAsia"/>
          <w:color w:val="000000" w:themeColor="text1"/>
          <w:sz w:val="24"/>
          <w:szCs w:val="28"/>
          <w14:textFill>
            <w14:solidFill>
              <w14:schemeClr w14:val="tx1"/>
            </w14:solidFill>
          </w14:textFill>
        </w:rPr>
        <w:t>～55%左右。石英细脉可分两种嵌布形态，一是呈变余粒状分布在黑云母长英质片岩及黑云母长英质角岩中，粒度0.01～0.05mm，二是呈它形粒状变晶分布在矿石中，粒度一般0.02～0.1mm，少量可达1mm集合体</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局部可呈团粒状。</w:t>
      </w:r>
    </w:p>
    <w:p w14:paraId="1C02265F">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方解石：含量5</w:t>
      </w:r>
      <w:r>
        <w:rPr>
          <w:rFonts w:hint="eastAsia"/>
          <w:color w:val="000000" w:themeColor="text1"/>
          <w:sz w:val="24"/>
          <w:szCs w:val="28"/>
          <w:lang w:val="en-US" w:eastAsia="zh-CN"/>
          <w14:textFill>
            <w14:solidFill>
              <w14:schemeClr w14:val="tx1"/>
            </w14:solidFill>
          </w14:textFill>
        </w:rPr>
        <w:t>%</w:t>
      </w:r>
      <w:r>
        <w:rPr>
          <w:rFonts w:hint="eastAsia"/>
          <w:color w:val="000000" w:themeColor="text1"/>
          <w:sz w:val="24"/>
          <w:szCs w:val="28"/>
          <w14:textFill>
            <w14:solidFill>
              <w14:schemeClr w14:val="tx1"/>
            </w14:solidFill>
          </w14:textFill>
        </w:rPr>
        <w:t>～25%，他形粒状，粒径多在0.1～0.65mm之间，具拉长定向排列。</w:t>
      </w:r>
    </w:p>
    <w:p w14:paraId="5BE9767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黑云母：含量5</w:t>
      </w:r>
      <w:r>
        <w:rPr>
          <w:rFonts w:hint="eastAsia"/>
          <w:color w:val="000000" w:themeColor="text1"/>
          <w:sz w:val="24"/>
          <w:szCs w:val="28"/>
          <w:lang w:val="en-US" w:eastAsia="zh-CN"/>
          <w14:textFill>
            <w14:solidFill>
              <w14:schemeClr w14:val="tx1"/>
            </w14:solidFill>
          </w14:textFill>
        </w:rPr>
        <w:t>%</w:t>
      </w:r>
      <w:r>
        <w:rPr>
          <w:rFonts w:hint="eastAsia"/>
          <w:color w:val="000000" w:themeColor="text1"/>
          <w:sz w:val="24"/>
          <w:szCs w:val="28"/>
          <w14:textFill>
            <w14:solidFill>
              <w14:schemeClr w14:val="tx1"/>
            </w14:solidFill>
          </w14:textFill>
        </w:rPr>
        <w:t>～20%，黄褐色、浅灰白色鳞片-片状，集合体定向或弯曲成皱纹状定向排列，显千枚状构造，粒度一般0.01×0.03～0.03×0.1mm,可与金属矿物连生，并且在变质作用过程中，有时可穿插交代磁铁矿，或中间夹杂少量粒状黄铁矿。少量黑云母被绿泥石交代呈绿色。</w:t>
      </w:r>
    </w:p>
    <w:p w14:paraId="5A214D6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白云母：含量2%～10%，淡褐色，由黑云母褪色所致，鳞片状，多与黑云母一起相对集中呈条纹状分布，受外力作用，多呈弯曲状。</w:t>
      </w:r>
    </w:p>
    <w:p w14:paraId="289B98C7">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绿泥石：含量约5%，淡黄绿色，呈半自形粒状或不规则形粒状，有的局部集中呈条带状分布。</w:t>
      </w:r>
    </w:p>
    <w:p w14:paraId="73B0C89A">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矿石中还含有少量的长石的物质主要为斜长石，少量为钾长石。</w:t>
      </w:r>
    </w:p>
    <w:p w14:paraId="3612DFCF">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（2）矿石化学成分</w:t>
      </w:r>
    </w:p>
    <w:p w14:paraId="23FA8254">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矿石的化学成分包括有用组分和有害组分。</w:t>
      </w:r>
    </w:p>
    <w:p w14:paraId="35021722">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有用组分：对矿床磁铁矿石进行多元素分析及组合分析,本矿床矿石主要有用组分为铁，其他各元素含量较低</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均未达到伴生组分的要求。Ⅰ-1号矿体矿石中主要有用组分TFe平均品位32.77×10</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，mFe平均品位24.96×10</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；Ⅲ号矿体矿石中主要有用组分TFe平均品位34.91×10</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，mFe平均品位26.52×10</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；Ⅰ-2号矿体矿石中主要有用组分TFe平均品位36.43×10</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，mFe平均品位20.75×10</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w:t>
      </w:r>
    </w:p>
    <w:p w14:paraId="6C33FD2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有害组分：根据多元素样和组合样分析结果</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矿石主要有害组分的含量为：SiO</w:t>
      </w:r>
      <w:r>
        <w:rPr>
          <w:rFonts w:hint="eastAsia"/>
          <w:color w:val="000000" w:themeColor="text1"/>
          <w:sz w:val="24"/>
          <w:szCs w:val="28"/>
          <w:vertAlign w:val="subscript"/>
          <w14:textFill>
            <w14:solidFill>
              <w14:schemeClr w14:val="tx1"/>
            </w14:solidFill>
          </w14:textFill>
        </w:rPr>
        <w:t>2</w:t>
      </w:r>
      <w:r>
        <w:rPr>
          <w:rFonts w:hint="eastAsia"/>
          <w:color w:val="000000" w:themeColor="text1"/>
          <w:sz w:val="24"/>
          <w:szCs w:val="28"/>
          <w14:textFill>
            <w14:solidFill>
              <w14:schemeClr w14:val="tx1"/>
            </w14:solidFill>
          </w14:textFill>
        </w:rPr>
        <w:t>37.67%～43.58%，平均含量40.63%；S0.021%～0.19%，平均含量0.092%；P0.25%～1.13%，平均含量0.70%。与炼铁用铁矿石的有害物质指标相比，SiO</w:t>
      </w:r>
      <w:r>
        <w:rPr>
          <w:rFonts w:hint="eastAsia"/>
          <w:color w:val="000000" w:themeColor="text1"/>
          <w:sz w:val="24"/>
          <w:szCs w:val="28"/>
          <w:vertAlign w:val="subscript"/>
          <w14:textFill>
            <w14:solidFill>
              <w14:schemeClr w14:val="tx1"/>
            </w14:solidFill>
          </w14:textFill>
        </w:rPr>
        <w:t>2</w:t>
      </w:r>
      <w:r>
        <w:rPr>
          <w:rFonts w:hint="eastAsia"/>
          <w:color w:val="000000" w:themeColor="text1"/>
          <w:sz w:val="24"/>
          <w:szCs w:val="28"/>
          <w14:textFill>
            <w14:solidFill>
              <w14:schemeClr w14:val="tx1"/>
            </w14:solidFill>
          </w14:textFill>
        </w:rPr>
        <w:t>高，S、P低，属高硅、低硫、低磷铁矿石。其他组分铜、铅、锌等含量极微，不影响矿石质量。</w:t>
      </w:r>
    </w:p>
    <w:p w14:paraId="175DDA71">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（3）矿石类型</w:t>
      </w:r>
    </w:p>
    <w:p w14:paraId="4D01FF96">
      <w:pPr>
        <w:pStyle w:val="18"/>
        <w:spacing w:line="480" w:lineRule="exact"/>
        <w:ind w:firstLine="480"/>
        <w:rPr>
          <w:rFonts w:hint="eastAsia"/>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①</w:t>
      </w:r>
      <w:r>
        <w:rPr>
          <w:rFonts w:hint="eastAsia"/>
          <w:color w:val="000000" w:themeColor="text1"/>
          <w:sz w:val="24"/>
          <w:szCs w:val="28"/>
          <w14:textFill>
            <w14:solidFill>
              <w14:schemeClr w14:val="tx1"/>
            </w14:solidFill>
          </w14:textFill>
        </w:rPr>
        <w:t>矿石自然类型</w:t>
      </w:r>
    </w:p>
    <w:p w14:paraId="63744127">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按含铁矿物可分为：磁铁矿、黄铁矿、赤铁矿、磁黄铁矿以及含有以上两种含铁矿物组成的混合矿石。</w:t>
      </w:r>
    </w:p>
    <w:p w14:paraId="3E8DFB88">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矿石自然类型划分：</w:t>
      </w:r>
    </w:p>
    <w:p w14:paraId="08A46578">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按矿石氧化程度划分为原生矿石。从铁物相分析结果表可以看出。浅部-深部矿体矿石赤、褐铁矿的分配率为0.09</w:t>
      </w:r>
      <w:r>
        <w:rPr>
          <w:rFonts w:hint="eastAsia"/>
          <w:color w:val="000000" w:themeColor="text1"/>
          <w:sz w:val="24"/>
          <w:szCs w:val="28"/>
          <w:lang w:val="en-US" w:eastAsia="zh-CN"/>
          <w14:textFill>
            <w14:solidFill>
              <w14:schemeClr w14:val="tx1"/>
            </w14:solidFill>
          </w14:textFill>
        </w:rPr>
        <w:t>%</w:t>
      </w:r>
      <w:r>
        <w:rPr>
          <w:rFonts w:hint="eastAsia"/>
          <w:color w:val="000000" w:themeColor="text1"/>
          <w:sz w:val="24"/>
          <w:szCs w:val="28"/>
          <w14:textFill>
            <w14:solidFill>
              <w14:schemeClr w14:val="tx1"/>
            </w14:solidFill>
          </w14:textFill>
        </w:rPr>
        <w:t>～0.43%；说明矿石氧化程度很低，均为原生矿石。</w:t>
      </w:r>
    </w:p>
    <w:p w14:paraId="19B0541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根据矿石结构构造划分为条带状（块状）磁铁矿、稠密浸染状磁铁矿矿石，其中以条带状（块状）磁铁矿为主，分布较普遍，稠密浸染状磁铁矿矿石仅分布在局部地段。</w:t>
      </w:r>
    </w:p>
    <w:p w14:paraId="00731DC0">
      <w:pPr>
        <w:pStyle w:val="18"/>
        <w:spacing w:line="480" w:lineRule="exact"/>
        <w:ind w:firstLine="480"/>
        <w:rPr>
          <w:rFonts w:hint="eastAsia"/>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②</w:t>
      </w:r>
      <w:r>
        <w:rPr>
          <w:rFonts w:hint="eastAsia"/>
          <w:color w:val="000000" w:themeColor="text1"/>
          <w:sz w:val="24"/>
          <w:szCs w:val="28"/>
          <w14:textFill>
            <w14:solidFill>
              <w14:schemeClr w14:val="tx1"/>
            </w14:solidFill>
          </w14:textFill>
        </w:rPr>
        <w:t>矿石工业类型</w:t>
      </w:r>
    </w:p>
    <w:p w14:paraId="139D0444">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根据物相分析结果，考虑矿石中硅酸铁、硫化铁、碳酸铁含量之和大于3%，按mFe/（TFe-siFe-sfFe-cFe）计算，矿石中磁性铁占有率在24.06</w:t>
      </w:r>
      <w:r>
        <w:rPr>
          <w:rFonts w:hint="eastAsia"/>
          <w:color w:val="000000" w:themeColor="text1"/>
          <w:sz w:val="24"/>
          <w:szCs w:val="28"/>
          <w:lang w:val="en-US" w:eastAsia="zh-CN"/>
          <w14:textFill>
            <w14:solidFill>
              <w14:schemeClr w14:val="tx1"/>
            </w14:solidFill>
          </w14:textFill>
        </w:rPr>
        <w:t>%</w:t>
      </w:r>
      <w:r>
        <w:rPr>
          <w:rFonts w:hint="eastAsia"/>
          <w:color w:val="000000" w:themeColor="text1"/>
          <w:sz w:val="24"/>
          <w:szCs w:val="28"/>
          <w14:textFill>
            <w14:solidFill>
              <w14:schemeClr w14:val="tx1"/>
            </w14:solidFill>
          </w14:textFill>
        </w:rPr>
        <w:t>～53.52%之间，平均为40.22%</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为弱磁性铁矿石。</w:t>
      </w:r>
    </w:p>
    <w:p w14:paraId="614348CA">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矿床TFe平均品位32.19%，小于50%，同时有害组分SiO2含量较高、S、P含量低。属“需选的铁矿石”。</w:t>
      </w:r>
    </w:p>
    <w:p w14:paraId="1F6DD60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综合上述，该铁矿的矿石工业类型为“高硅、低硫、低磷需选的磁铁矿石”。</w:t>
      </w:r>
    </w:p>
    <w:p w14:paraId="2FFED785">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.1.8矿石结构、构造</w:t>
      </w:r>
    </w:p>
    <w:p w14:paraId="46B0687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（1）矿石结构</w:t>
      </w:r>
    </w:p>
    <w:p w14:paraId="5368F564">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矿石结构主要以自形、半自形、它形晶粒结构为主，其次为海绵陨铁结构、粒状变晶结构等。</w:t>
      </w:r>
    </w:p>
    <w:p w14:paraId="7868BFAF">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自形晶粒状结构：单一的自形晶结构少见，主要是磁铁矿呈细一微粒镜下可见四方形或呈八面体，其次可见磁黄铁矿呈六边形，巨型的自形晶体。</w:t>
      </w:r>
    </w:p>
    <w:p w14:paraId="68AB6E35">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自形-半自形晶粒状结构：是矿区最常见的矿石结构，主要是磁铁矿常呈细-微粒自形-半自形，有时也见黄铁矿呈聚晶但粒度比磁铁矿大5～8倍。</w:t>
      </w:r>
    </w:p>
    <w:p w14:paraId="5406ECA6">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半自形-它形晶粒结构：细一微粒磁铁矿大致呈等轴状半自形-它形晶粒。</w:t>
      </w:r>
    </w:p>
    <w:p w14:paraId="708274C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粒状变晶结构：矿石中石英、黑云母等非金属矿物呈残留粒状或重结晶粒状产出，金属矿物在脉石矿物间呈粒状产出。</w:t>
      </w:r>
    </w:p>
    <w:p w14:paraId="3D801F14">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（2）矿石的构造</w:t>
      </w:r>
    </w:p>
    <w:p w14:paraId="0E09E875">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矿石构造主要有两种，一种是浸染状构造，另一种是浸染条带状及条带状构造。</w:t>
      </w:r>
    </w:p>
    <w:p w14:paraId="09DEF39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浸染状构造：是区内矿石主要构造类型之一，在脉石碳酸盐矿物的基质内，细微粒磁铁矿多呈单晶或聚晶均匀或不均匀浸染分布。</w:t>
      </w:r>
    </w:p>
    <w:p w14:paraId="33167714">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浸染条带状及条带状构造：磁铁矿集合体或单晶在矿石中形成浸染条带或条带与脉石矿物富集的条带相间排列，有时条带连续性差，条带不规则，形成短条带或条痕状构造，条带宽窄不一，多为窄条带，当条带小于l.0mm时，形成条纹状构造。</w:t>
      </w:r>
    </w:p>
    <w:p w14:paraId="05B260F7">
      <w:pPr>
        <w:pStyle w:val="4"/>
        <w:spacing w:before="60" w:after="60" w:line="480" w:lineRule="exact"/>
        <w:rPr>
          <w:color w:val="000000" w:themeColor="text1"/>
          <w:kern w:val="2"/>
          <w14:textFill>
            <w14:solidFill>
              <w14:schemeClr w14:val="tx1"/>
            </w14:solidFill>
          </w14:textFill>
        </w:rPr>
      </w:pPr>
      <w:bookmarkStart w:id="291" w:name="_Toc13531"/>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.2主要生产设备</w:t>
      </w:r>
      <w:bookmarkEnd w:id="291"/>
    </w:p>
    <w:p w14:paraId="77CB5B5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因原有设备老旧、淘汰，</w:t>
      </w:r>
      <w:r>
        <w:rPr>
          <w:rFonts w:hint="eastAsia"/>
          <w:color w:val="000000" w:themeColor="text1"/>
          <w:sz w:val="24"/>
          <w:szCs w:val="28"/>
          <w:lang w:eastAsia="zh-CN"/>
          <w14:textFill>
            <w14:solidFill>
              <w14:schemeClr w14:val="tx1"/>
            </w14:solidFill>
          </w14:textFill>
        </w:rPr>
        <w:t>本项目</w:t>
      </w:r>
      <w:r>
        <w:rPr>
          <w:rFonts w:hint="eastAsia"/>
          <w:color w:val="000000" w:themeColor="text1"/>
          <w:sz w:val="24"/>
          <w:szCs w:val="28"/>
          <w14:textFill>
            <w14:solidFill>
              <w14:schemeClr w14:val="tx1"/>
            </w14:solidFill>
          </w14:textFill>
        </w:rPr>
        <w:t>需新增生产设备，主要新增生产设备见表3.</w:t>
      </w:r>
      <w:r>
        <w:rPr>
          <w:color w:val="000000" w:themeColor="text1"/>
          <w:sz w:val="24"/>
          <w:szCs w:val="28"/>
          <w14:textFill>
            <w14:solidFill>
              <w14:schemeClr w14:val="tx1"/>
            </w14:solidFill>
          </w14:textFill>
        </w:rPr>
        <w:t>2</w:t>
      </w: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4</w:t>
      </w:r>
      <w:r>
        <w:rPr>
          <w:rFonts w:hint="eastAsia"/>
          <w:color w:val="000000" w:themeColor="text1"/>
          <w:sz w:val="24"/>
          <w:szCs w:val="28"/>
          <w14:textFill>
            <w14:solidFill>
              <w14:schemeClr w14:val="tx1"/>
            </w14:solidFill>
          </w14:textFill>
        </w:rPr>
        <w:t>。</w:t>
      </w:r>
    </w:p>
    <w:p w14:paraId="3273D7D8">
      <w:pPr>
        <w:snapToGrid w:val="0"/>
        <w:spacing w:line="480" w:lineRule="exact"/>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表3.</w:t>
      </w:r>
      <w:r>
        <w:rPr>
          <w:b/>
          <w:color w:val="000000" w:themeColor="text1"/>
          <w:sz w:val="24"/>
          <w:szCs w:val="24"/>
          <w14:textFill>
            <w14:solidFill>
              <w14:schemeClr w14:val="tx1"/>
            </w14:solidFill>
          </w14:textFill>
        </w:rPr>
        <w:t>2</w:t>
      </w:r>
      <w:r>
        <w:rPr>
          <w:rFonts w:hint="eastAsia"/>
          <w:b/>
          <w:color w:val="000000" w:themeColor="text1"/>
          <w:sz w:val="24"/>
          <w:szCs w:val="24"/>
          <w14:textFill>
            <w14:solidFill>
              <w14:schemeClr w14:val="tx1"/>
            </w14:solidFill>
          </w14:textFill>
        </w:rPr>
        <w:t>-</w:t>
      </w:r>
      <w:r>
        <w:rPr>
          <w:b/>
          <w:color w:val="000000" w:themeColor="text1"/>
          <w:sz w:val="24"/>
          <w:szCs w:val="24"/>
          <w14:textFill>
            <w14:solidFill>
              <w14:schemeClr w14:val="tx1"/>
            </w14:solidFill>
          </w14:textFill>
        </w:rPr>
        <w:t>4</w:t>
      </w:r>
      <w:r>
        <w:rPr>
          <w:rFonts w:hint="eastAsia"/>
          <w:b/>
          <w:color w:val="000000" w:themeColor="text1"/>
          <w:sz w:val="24"/>
          <w:szCs w:val="24"/>
          <w14:textFill>
            <w14:solidFill>
              <w14:schemeClr w14:val="tx1"/>
            </w14:solidFill>
          </w14:textFill>
        </w:rPr>
        <w:t xml:space="preserve">    主要生产设备一览表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07"/>
        <w:gridCol w:w="1987"/>
        <w:gridCol w:w="1978"/>
        <w:gridCol w:w="795"/>
        <w:gridCol w:w="907"/>
        <w:gridCol w:w="965"/>
        <w:gridCol w:w="1283"/>
      </w:tblGrid>
      <w:tr w14:paraId="6DB7F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tblHeader/>
          <w:jc w:val="center"/>
        </w:trPr>
        <w:tc>
          <w:tcPr>
            <w:tcW w:w="356" w:type="pct"/>
            <w:noWrap w:val="0"/>
            <w:vAlign w:val="center"/>
          </w:tcPr>
          <w:p w14:paraId="2385E8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序号</w:t>
            </w:r>
          </w:p>
        </w:tc>
        <w:tc>
          <w:tcPr>
            <w:tcW w:w="1165" w:type="pct"/>
            <w:noWrap w:val="0"/>
            <w:vAlign w:val="center"/>
          </w:tcPr>
          <w:p w14:paraId="6BD50E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设备名称</w:t>
            </w:r>
          </w:p>
        </w:tc>
        <w:tc>
          <w:tcPr>
            <w:tcW w:w="1160" w:type="pct"/>
            <w:noWrap w:val="0"/>
            <w:vAlign w:val="center"/>
          </w:tcPr>
          <w:p w14:paraId="5A3179B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型号及规格</w:t>
            </w:r>
          </w:p>
        </w:tc>
        <w:tc>
          <w:tcPr>
            <w:tcW w:w="466" w:type="pct"/>
            <w:noWrap w:val="0"/>
            <w:vAlign w:val="center"/>
          </w:tcPr>
          <w:p w14:paraId="77F7CFA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单位</w:t>
            </w:r>
          </w:p>
        </w:tc>
        <w:tc>
          <w:tcPr>
            <w:tcW w:w="532" w:type="pct"/>
            <w:noWrap w:val="0"/>
            <w:vAlign w:val="center"/>
          </w:tcPr>
          <w:p w14:paraId="49FC580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数量</w:t>
            </w:r>
          </w:p>
        </w:tc>
        <w:tc>
          <w:tcPr>
            <w:tcW w:w="566" w:type="pct"/>
            <w:noWrap w:val="0"/>
            <w:vAlign w:val="center"/>
          </w:tcPr>
          <w:p w14:paraId="4C754AF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附电机</w:t>
            </w:r>
          </w:p>
          <w:p w14:paraId="4C19AF1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w:t>
            </w:r>
            <w:r>
              <w:rPr>
                <w:rFonts w:hint="default" w:ascii="Times New Roman" w:hAnsi="Times New Roman" w:cs="Times New Roman"/>
                <w:b/>
                <w:color w:val="000000" w:themeColor="text1"/>
                <w:szCs w:val="21"/>
                <w14:textFill>
                  <w14:solidFill>
                    <w14:schemeClr w14:val="tx1"/>
                  </w14:solidFill>
                </w14:textFill>
              </w:rPr>
              <w:t>kW</w:t>
            </w:r>
            <w:r>
              <w:rPr>
                <w:rFonts w:hint="eastAsia" w:ascii="Times New Roman" w:hAnsi="Times New Roman" w:cs="Times New Roman"/>
                <w:b/>
                <w:color w:val="000000" w:themeColor="text1"/>
                <w:szCs w:val="21"/>
                <w14:textFill>
                  <w14:solidFill>
                    <w14:schemeClr w14:val="tx1"/>
                  </w14:solidFill>
                </w14:textFill>
              </w:rPr>
              <w:t>）</w:t>
            </w:r>
          </w:p>
        </w:tc>
        <w:tc>
          <w:tcPr>
            <w:tcW w:w="752" w:type="pct"/>
            <w:noWrap w:val="0"/>
            <w:vAlign w:val="center"/>
          </w:tcPr>
          <w:p w14:paraId="33036FF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备注</w:t>
            </w:r>
          </w:p>
        </w:tc>
      </w:tr>
      <w:tr w14:paraId="1B1DF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2B95747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165" w:type="pct"/>
            <w:noWrap w:val="0"/>
            <w:vAlign w:val="center"/>
          </w:tcPr>
          <w:p w14:paraId="579FC38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凿岩机</w:t>
            </w:r>
          </w:p>
        </w:tc>
        <w:tc>
          <w:tcPr>
            <w:tcW w:w="1160" w:type="pct"/>
            <w:noWrap w:val="0"/>
            <w:vAlign w:val="center"/>
          </w:tcPr>
          <w:p w14:paraId="66E6D23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YT28</w:t>
            </w:r>
          </w:p>
        </w:tc>
        <w:tc>
          <w:tcPr>
            <w:tcW w:w="466" w:type="pct"/>
            <w:noWrap w:val="0"/>
            <w:vAlign w:val="center"/>
          </w:tcPr>
          <w:p w14:paraId="713D921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0DA0571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w:t>
            </w:r>
          </w:p>
        </w:tc>
        <w:tc>
          <w:tcPr>
            <w:tcW w:w="566" w:type="pct"/>
            <w:noWrap w:val="0"/>
            <w:vAlign w:val="center"/>
          </w:tcPr>
          <w:p w14:paraId="17242D4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7604274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r>
              <w:rPr>
                <w:rFonts w:hint="eastAsia" w:ascii="Times New Roman" w:hAnsi="Times New Roman" w:cs="Times New Roman"/>
                <w:color w:val="000000" w:themeColor="text1"/>
                <w:szCs w:val="21"/>
                <w14:textFill>
                  <w14:solidFill>
                    <w14:schemeClr w14:val="tx1"/>
                  </w14:solidFill>
                </w14:textFill>
              </w:rPr>
              <w:t>备</w:t>
            </w:r>
          </w:p>
        </w:tc>
      </w:tr>
      <w:tr w14:paraId="3AA0A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5E6949B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1165" w:type="pct"/>
            <w:noWrap w:val="0"/>
            <w:vAlign w:val="center"/>
          </w:tcPr>
          <w:p w14:paraId="70EF62A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中深孔</w:t>
            </w:r>
            <w:r>
              <w:rPr>
                <w:rFonts w:hint="eastAsia" w:ascii="Times New Roman" w:hAnsi="Times New Roman" w:cs="Times New Roman"/>
                <w:color w:val="000000" w:themeColor="text1"/>
                <w:szCs w:val="21"/>
                <w14:textFill>
                  <w14:solidFill>
                    <w14:schemeClr w14:val="tx1"/>
                  </w14:solidFill>
                </w14:textFill>
              </w:rPr>
              <w:t>凿岩机</w:t>
            </w:r>
          </w:p>
        </w:tc>
        <w:tc>
          <w:tcPr>
            <w:tcW w:w="1160" w:type="pct"/>
            <w:noWrap w:val="0"/>
            <w:vAlign w:val="center"/>
          </w:tcPr>
          <w:p w14:paraId="58D2B98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YGZ-90</w:t>
            </w:r>
          </w:p>
        </w:tc>
        <w:tc>
          <w:tcPr>
            <w:tcW w:w="466" w:type="pct"/>
            <w:noWrap w:val="0"/>
            <w:vAlign w:val="center"/>
          </w:tcPr>
          <w:p w14:paraId="79DE49A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4F0179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566" w:type="pct"/>
            <w:noWrap w:val="0"/>
            <w:vAlign w:val="center"/>
          </w:tcPr>
          <w:p w14:paraId="18D3AB0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6CCF050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备</w:t>
            </w:r>
          </w:p>
        </w:tc>
      </w:tr>
      <w:tr w14:paraId="189A7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52844C6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1165" w:type="pct"/>
            <w:noWrap w:val="0"/>
            <w:vAlign w:val="center"/>
          </w:tcPr>
          <w:p w14:paraId="68F7CCC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局扇</w:t>
            </w:r>
          </w:p>
        </w:tc>
        <w:tc>
          <w:tcPr>
            <w:tcW w:w="1160" w:type="pct"/>
            <w:noWrap w:val="0"/>
            <w:vAlign w:val="center"/>
          </w:tcPr>
          <w:p w14:paraId="67B883A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JK58-1</w:t>
            </w:r>
          </w:p>
        </w:tc>
        <w:tc>
          <w:tcPr>
            <w:tcW w:w="466" w:type="pct"/>
            <w:noWrap w:val="0"/>
            <w:vAlign w:val="center"/>
          </w:tcPr>
          <w:p w14:paraId="35BB897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46AB4D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566" w:type="pct"/>
            <w:noWrap w:val="0"/>
            <w:vAlign w:val="center"/>
          </w:tcPr>
          <w:p w14:paraId="52FA83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11</w:t>
            </w:r>
          </w:p>
        </w:tc>
        <w:tc>
          <w:tcPr>
            <w:tcW w:w="752" w:type="pct"/>
            <w:noWrap w:val="0"/>
            <w:vAlign w:val="center"/>
          </w:tcPr>
          <w:p w14:paraId="3878F40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备</w:t>
            </w:r>
          </w:p>
        </w:tc>
      </w:tr>
      <w:tr w14:paraId="04025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004CC3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1165" w:type="pct"/>
            <w:noWrap w:val="0"/>
            <w:vAlign w:val="center"/>
          </w:tcPr>
          <w:p w14:paraId="270128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电机车</w:t>
            </w:r>
          </w:p>
        </w:tc>
        <w:tc>
          <w:tcPr>
            <w:tcW w:w="1160" w:type="pct"/>
            <w:noWrap w:val="0"/>
            <w:vAlign w:val="center"/>
          </w:tcPr>
          <w:p w14:paraId="5F2E7C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r>
              <w:rPr>
                <w:rFonts w:hint="eastAsia" w:ascii="Times New Roman" w:hAnsi="Times New Roman" w:cs="Times New Roman"/>
                <w:color w:val="000000" w:themeColor="text1"/>
                <w:szCs w:val="21"/>
                <w14:textFill>
                  <w14:solidFill>
                    <w14:schemeClr w14:val="tx1"/>
                  </w14:solidFill>
                </w14:textFill>
              </w:rPr>
              <w:t>t蓄电池</w:t>
            </w:r>
          </w:p>
        </w:tc>
        <w:tc>
          <w:tcPr>
            <w:tcW w:w="466" w:type="pct"/>
            <w:noWrap w:val="0"/>
            <w:vAlign w:val="center"/>
          </w:tcPr>
          <w:p w14:paraId="44F8257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70BA477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566" w:type="pct"/>
            <w:noWrap w:val="0"/>
            <w:vAlign w:val="center"/>
          </w:tcPr>
          <w:p w14:paraId="135875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752" w:type="pct"/>
            <w:noWrap w:val="0"/>
            <w:vAlign w:val="center"/>
          </w:tcPr>
          <w:p w14:paraId="1553348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备</w:t>
            </w:r>
          </w:p>
        </w:tc>
      </w:tr>
      <w:tr w14:paraId="100D05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29131D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1165" w:type="pct"/>
            <w:noWrap w:val="0"/>
            <w:vAlign w:val="center"/>
          </w:tcPr>
          <w:p w14:paraId="205E272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铲运机</w:t>
            </w:r>
          </w:p>
        </w:tc>
        <w:tc>
          <w:tcPr>
            <w:tcW w:w="1160" w:type="pct"/>
            <w:noWrap w:val="0"/>
            <w:vAlign w:val="center"/>
          </w:tcPr>
          <w:p w14:paraId="62E81004">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m</w:t>
            </w:r>
            <w:r>
              <w:rPr>
                <w:rFonts w:hint="eastAsia" w:cs="Times New Roman"/>
                <w:color w:val="000000" w:themeColor="text1"/>
                <w:szCs w:val="21"/>
                <w:vertAlign w:val="superscript"/>
                <w:lang w:val="en-US" w:eastAsia="zh-CN"/>
                <w14:textFill>
                  <w14:solidFill>
                    <w14:schemeClr w14:val="tx1"/>
                  </w14:solidFill>
                </w14:textFill>
              </w:rPr>
              <w:t>3</w:t>
            </w:r>
          </w:p>
        </w:tc>
        <w:tc>
          <w:tcPr>
            <w:tcW w:w="466" w:type="pct"/>
            <w:noWrap w:val="0"/>
            <w:vAlign w:val="center"/>
          </w:tcPr>
          <w:p w14:paraId="336642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78FECA7E">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w:t>
            </w:r>
          </w:p>
        </w:tc>
        <w:tc>
          <w:tcPr>
            <w:tcW w:w="566" w:type="pct"/>
            <w:noWrap w:val="0"/>
            <w:vAlign w:val="center"/>
          </w:tcPr>
          <w:p w14:paraId="75C90FC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36D3416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备</w:t>
            </w:r>
          </w:p>
        </w:tc>
      </w:tr>
      <w:tr w14:paraId="006A5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04BA8B4B">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1165" w:type="pct"/>
            <w:noWrap w:val="0"/>
            <w:vAlign w:val="center"/>
          </w:tcPr>
          <w:p w14:paraId="2734549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耙斗装岩机</w:t>
            </w:r>
          </w:p>
        </w:tc>
        <w:tc>
          <w:tcPr>
            <w:tcW w:w="1160" w:type="pct"/>
            <w:noWrap w:val="0"/>
            <w:vAlign w:val="center"/>
          </w:tcPr>
          <w:p w14:paraId="14F1D4B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P15B</w:t>
            </w:r>
          </w:p>
        </w:tc>
        <w:tc>
          <w:tcPr>
            <w:tcW w:w="466" w:type="pct"/>
            <w:noWrap w:val="0"/>
            <w:vAlign w:val="center"/>
          </w:tcPr>
          <w:p w14:paraId="7A904CA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台</w:t>
            </w:r>
          </w:p>
        </w:tc>
        <w:tc>
          <w:tcPr>
            <w:tcW w:w="532" w:type="pct"/>
            <w:noWrap w:val="0"/>
            <w:vAlign w:val="center"/>
          </w:tcPr>
          <w:p w14:paraId="7896B96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w:t>
            </w:r>
          </w:p>
        </w:tc>
        <w:tc>
          <w:tcPr>
            <w:tcW w:w="566" w:type="pct"/>
            <w:noWrap w:val="0"/>
            <w:vAlign w:val="center"/>
          </w:tcPr>
          <w:p w14:paraId="4730F05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38F9E24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备</w:t>
            </w:r>
          </w:p>
        </w:tc>
      </w:tr>
      <w:tr w14:paraId="3573A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5E045FD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p>
        </w:tc>
        <w:tc>
          <w:tcPr>
            <w:tcW w:w="1165" w:type="pct"/>
            <w:noWrap w:val="0"/>
            <w:vAlign w:val="center"/>
          </w:tcPr>
          <w:p w14:paraId="387E1D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单绳缠绕式提升机</w:t>
            </w:r>
          </w:p>
        </w:tc>
        <w:tc>
          <w:tcPr>
            <w:tcW w:w="1160" w:type="pct"/>
            <w:noWrap w:val="0"/>
            <w:vAlign w:val="center"/>
          </w:tcPr>
          <w:p w14:paraId="77841D7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2JK-3.0×1.5/11.5A</w:t>
            </w:r>
          </w:p>
        </w:tc>
        <w:tc>
          <w:tcPr>
            <w:tcW w:w="466" w:type="pct"/>
            <w:noWrap w:val="0"/>
            <w:vAlign w:val="center"/>
          </w:tcPr>
          <w:p w14:paraId="5F91399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7BE0813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3E3132F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500</w:t>
            </w:r>
          </w:p>
        </w:tc>
        <w:tc>
          <w:tcPr>
            <w:tcW w:w="752" w:type="pct"/>
            <w:noWrap w:val="0"/>
            <w:vAlign w:val="center"/>
          </w:tcPr>
          <w:p w14:paraId="79F04D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罐笼井</w:t>
            </w:r>
          </w:p>
        </w:tc>
      </w:tr>
      <w:tr w14:paraId="3FEA4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6D0BC73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w:t>
            </w:r>
          </w:p>
        </w:tc>
        <w:tc>
          <w:tcPr>
            <w:tcW w:w="1165" w:type="pct"/>
            <w:noWrap w:val="0"/>
            <w:vAlign w:val="center"/>
          </w:tcPr>
          <w:p w14:paraId="49B68BE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罐笼</w:t>
            </w:r>
          </w:p>
        </w:tc>
        <w:tc>
          <w:tcPr>
            <w:tcW w:w="1160" w:type="pct"/>
            <w:noWrap w:val="0"/>
            <w:vAlign w:val="center"/>
          </w:tcPr>
          <w:p w14:paraId="25BB9F4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r>
              <w:rPr>
                <w:rFonts w:hint="eastAsia" w:ascii="Times New Roman" w:hAnsi="Times New Roman" w:cs="Times New Roman"/>
                <w:color w:val="000000" w:themeColor="text1"/>
                <w:szCs w:val="21"/>
                <w:vertAlign w:val="superscript"/>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单绳单层</w:t>
            </w:r>
          </w:p>
        </w:tc>
        <w:tc>
          <w:tcPr>
            <w:tcW w:w="466" w:type="pct"/>
            <w:noWrap w:val="0"/>
            <w:vAlign w:val="center"/>
          </w:tcPr>
          <w:p w14:paraId="5AB020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24D2FAB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1E7C0B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3760C47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06ABF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23E04CA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p>
        </w:tc>
        <w:tc>
          <w:tcPr>
            <w:tcW w:w="1165" w:type="pct"/>
            <w:noWrap w:val="0"/>
            <w:vAlign w:val="center"/>
          </w:tcPr>
          <w:p w14:paraId="179BF1E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单绳缠绕式提升机</w:t>
            </w:r>
          </w:p>
        </w:tc>
        <w:tc>
          <w:tcPr>
            <w:tcW w:w="1160" w:type="pct"/>
            <w:noWrap w:val="0"/>
            <w:vAlign w:val="center"/>
          </w:tcPr>
          <w:p w14:paraId="62D38F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2JK-3.0×1.5/11.5A</w:t>
            </w:r>
          </w:p>
        </w:tc>
        <w:tc>
          <w:tcPr>
            <w:tcW w:w="466" w:type="pct"/>
            <w:noWrap w:val="0"/>
            <w:vAlign w:val="center"/>
          </w:tcPr>
          <w:p w14:paraId="44FB118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55A1AF2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485B12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630</w:t>
            </w:r>
          </w:p>
        </w:tc>
        <w:tc>
          <w:tcPr>
            <w:tcW w:w="752" w:type="pct"/>
            <w:noWrap w:val="0"/>
            <w:vAlign w:val="center"/>
          </w:tcPr>
          <w:p w14:paraId="396169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箕斗井</w:t>
            </w:r>
          </w:p>
        </w:tc>
      </w:tr>
      <w:tr w14:paraId="7BB55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070A830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w:t>
            </w:r>
          </w:p>
        </w:tc>
        <w:tc>
          <w:tcPr>
            <w:tcW w:w="1165" w:type="pct"/>
            <w:noWrap w:val="0"/>
            <w:vAlign w:val="center"/>
          </w:tcPr>
          <w:p w14:paraId="39F7E37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箕斗</w:t>
            </w:r>
          </w:p>
        </w:tc>
        <w:tc>
          <w:tcPr>
            <w:tcW w:w="1160" w:type="pct"/>
            <w:noWrap w:val="0"/>
            <w:vAlign w:val="center"/>
          </w:tcPr>
          <w:p w14:paraId="69C9E91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FJD4.0(7)，4.0m</w:t>
            </w:r>
            <w:r>
              <w:rPr>
                <w:rFonts w:hint="default" w:ascii="Times New Roman" w:hAnsi="Times New Roman" w:cs="Times New Roman"/>
                <w:color w:val="000000" w:themeColor="text1"/>
                <w:szCs w:val="21"/>
                <w:vertAlign w:val="superscript"/>
                <w14:textFill>
                  <w14:solidFill>
                    <w14:schemeClr w14:val="tx1"/>
                  </w14:solidFill>
                </w14:textFill>
              </w:rPr>
              <w:t>3</w:t>
            </w:r>
          </w:p>
        </w:tc>
        <w:tc>
          <w:tcPr>
            <w:tcW w:w="466" w:type="pct"/>
            <w:noWrap w:val="0"/>
            <w:vAlign w:val="center"/>
          </w:tcPr>
          <w:p w14:paraId="5366AD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0076448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75D565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34E0EA7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1DCC1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66F833A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1</w:t>
            </w:r>
          </w:p>
        </w:tc>
        <w:tc>
          <w:tcPr>
            <w:tcW w:w="1165" w:type="pct"/>
            <w:noWrap w:val="0"/>
            <w:vAlign w:val="center"/>
          </w:tcPr>
          <w:p w14:paraId="6CBE159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水泵</w:t>
            </w:r>
          </w:p>
        </w:tc>
        <w:tc>
          <w:tcPr>
            <w:tcW w:w="1160" w:type="pct"/>
            <w:noWrap w:val="0"/>
            <w:vAlign w:val="center"/>
          </w:tcPr>
          <w:p w14:paraId="545C3D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D80-50/84×8</w:t>
            </w:r>
          </w:p>
        </w:tc>
        <w:tc>
          <w:tcPr>
            <w:tcW w:w="466" w:type="pct"/>
            <w:noWrap w:val="0"/>
            <w:vAlign w:val="center"/>
          </w:tcPr>
          <w:p w14:paraId="091CF9F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1B3E28C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566" w:type="pct"/>
            <w:noWrap w:val="0"/>
            <w:vAlign w:val="center"/>
          </w:tcPr>
          <w:p w14:paraId="3B77A64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165</w:t>
            </w:r>
          </w:p>
        </w:tc>
        <w:tc>
          <w:tcPr>
            <w:tcW w:w="752" w:type="pct"/>
            <w:noWrap w:val="0"/>
            <w:vAlign w:val="center"/>
          </w:tcPr>
          <w:p w14:paraId="034589A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1备</w:t>
            </w:r>
          </w:p>
        </w:tc>
      </w:tr>
      <w:tr w14:paraId="61084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2C1901F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2</w:t>
            </w:r>
          </w:p>
        </w:tc>
        <w:tc>
          <w:tcPr>
            <w:tcW w:w="1165" w:type="pct"/>
            <w:noWrap w:val="0"/>
            <w:vAlign w:val="center"/>
          </w:tcPr>
          <w:p w14:paraId="0C165DB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侧卸式矿车</w:t>
            </w:r>
          </w:p>
        </w:tc>
        <w:tc>
          <w:tcPr>
            <w:tcW w:w="1160" w:type="pct"/>
            <w:noWrap w:val="0"/>
            <w:vAlign w:val="center"/>
          </w:tcPr>
          <w:p w14:paraId="5E7A451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Y</w:t>
            </w:r>
            <w:r>
              <w:rPr>
                <w:rFonts w:hint="eastAsia" w:ascii="Times New Roman" w:hAnsi="Times New Roman" w:cs="Times New Roman"/>
                <w:color w:val="000000" w:themeColor="text1"/>
                <w:szCs w:val="21"/>
                <w14:textFill>
                  <w14:solidFill>
                    <w14:schemeClr w14:val="tx1"/>
                  </w14:solidFill>
                </w14:textFill>
              </w:rPr>
              <w:t>C</w:t>
            </w:r>
            <w:r>
              <w:rPr>
                <w:rFonts w:hint="default" w:ascii="Times New Roman" w:hAnsi="Times New Roman" w:cs="Times New Roman"/>
                <w:color w:val="000000" w:themeColor="text1"/>
                <w:szCs w:val="21"/>
                <w14:textFill>
                  <w14:solidFill>
                    <w14:schemeClr w14:val="tx1"/>
                  </w14:solidFill>
                </w14:textFill>
              </w:rPr>
              <w:t>C-2.0</w:t>
            </w:r>
          </w:p>
        </w:tc>
        <w:tc>
          <w:tcPr>
            <w:tcW w:w="466" w:type="pct"/>
            <w:noWrap w:val="0"/>
            <w:vAlign w:val="center"/>
          </w:tcPr>
          <w:p w14:paraId="2FF6CB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辆</w:t>
            </w:r>
          </w:p>
        </w:tc>
        <w:tc>
          <w:tcPr>
            <w:tcW w:w="532" w:type="pct"/>
            <w:noWrap w:val="0"/>
            <w:vAlign w:val="center"/>
          </w:tcPr>
          <w:p w14:paraId="0390D02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60</w:t>
            </w:r>
          </w:p>
        </w:tc>
        <w:tc>
          <w:tcPr>
            <w:tcW w:w="566" w:type="pct"/>
            <w:noWrap w:val="0"/>
            <w:vAlign w:val="center"/>
          </w:tcPr>
          <w:p w14:paraId="56D2CA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3DCF1A5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517683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2D8024D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3</w:t>
            </w:r>
          </w:p>
        </w:tc>
        <w:tc>
          <w:tcPr>
            <w:tcW w:w="1165" w:type="pct"/>
            <w:noWrap w:val="0"/>
            <w:vAlign w:val="center"/>
          </w:tcPr>
          <w:p w14:paraId="5959A6E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螺杆式空压机</w:t>
            </w:r>
          </w:p>
        </w:tc>
        <w:tc>
          <w:tcPr>
            <w:tcW w:w="1160" w:type="pct"/>
            <w:noWrap w:val="0"/>
            <w:vAlign w:val="center"/>
          </w:tcPr>
          <w:p w14:paraId="62276E5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Q=36.3</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/min</w:t>
            </w:r>
          </w:p>
        </w:tc>
        <w:tc>
          <w:tcPr>
            <w:tcW w:w="466" w:type="pct"/>
            <w:noWrap w:val="0"/>
            <w:vAlign w:val="center"/>
          </w:tcPr>
          <w:p w14:paraId="2E1380B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54C28EC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566" w:type="pct"/>
            <w:noWrap w:val="0"/>
            <w:vAlign w:val="center"/>
          </w:tcPr>
          <w:p w14:paraId="47348F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200</w:t>
            </w:r>
          </w:p>
        </w:tc>
        <w:tc>
          <w:tcPr>
            <w:tcW w:w="752" w:type="pct"/>
            <w:noWrap w:val="0"/>
            <w:vAlign w:val="center"/>
          </w:tcPr>
          <w:p w14:paraId="7E2993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1备</w:t>
            </w:r>
          </w:p>
        </w:tc>
      </w:tr>
      <w:tr w14:paraId="38C46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005ACAE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4</w:t>
            </w:r>
          </w:p>
        </w:tc>
        <w:tc>
          <w:tcPr>
            <w:tcW w:w="1165" w:type="pct"/>
            <w:noWrap w:val="0"/>
            <w:vAlign w:val="center"/>
          </w:tcPr>
          <w:p w14:paraId="2B2BFE9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通风机</w:t>
            </w:r>
          </w:p>
        </w:tc>
        <w:tc>
          <w:tcPr>
            <w:tcW w:w="1160" w:type="pct"/>
            <w:noWrap w:val="0"/>
            <w:vAlign w:val="center"/>
          </w:tcPr>
          <w:p w14:paraId="5206749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K40-6-No.18</w:t>
            </w:r>
          </w:p>
        </w:tc>
        <w:tc>
          <w:tcPr>
            <w:tcW w:w="466" w:type="pct"/>
            <w:noWrap w:val="0"/>
            <w:vAlign w:val="center"/>
          </w:tcPr>
          <w:p w14:paraId="3B27CB1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套</w:t>
            </w:r>
          </w:p>
        </w:tc>
        <w:tc>
          <w:tcPr>
            <w:tcW w:w="532" w:type="pct"/>
            <w:noWrap w:val="0"/>
            <w:vAlign w:val="center"/>
          </w:tcPr>
          <w:p w14:paraId="491F30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7DDBD8E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r>
              <w:rPr>
                <w:rFonts w:hint="eastAsia" w:ascii="Times New Roman" w:hAnsi="Times New Roman" w:cs="Times New Roman"/>
                <w:color w:val="000000" w:themeColor="text1"/>
                <w:szCs w:val="21"/>
                <w14:textFill>
                  <w14:solidFill>
                    <w14:schemeClr w14:val="tx1"/>
                  </w14:solidFill>
                </w14:textFill>
              </w:rPr>
              <w:t>0</w:t>
            </w:r>
          </w:p>
        </w:tc>
        <w:tc>
          <w:tcPr>
            <w:tcW w:w="752" w:type="pct"/>
            <w:noWrap w:val="0"/>
            <w:vAlign w:val="center"/>
          </w:tcPr>
          <w:p w14:paraId="1EF8E4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西1风井</w:t>
            </w:r>
          </w:p>
        </w:tc>
      </w:tr>
      <w:tr w14:paraId="33B23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0372F02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5</w:t>
            </w:r>
          </w:p>
        </w:tc>
        <w:tc>
          <w:tcPr>
            <w:tcW w:w="1165" w:type="pct"/>
            <w:noWrap w:val="0"/>
            <w:vAlign w:val="center"/>
          </w:tcPr>
          <w:p w14:paraId="6F2D88E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通风机</w:t>
            </w:r>
          </w:p>
        </w:tc>
        <w:tc>
          <w:tcPr>
            <w:tcW w:w="1160" w:type="pct"/>
            <w:noWrap w:val="0"/>
            <w:vAlign w:val="center"/>
          </w:tcPr>
          <w:p w14:paraId="4A04C99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K40-</w:t>
            </w:r>
            <w:r>
              <w:rPr>
                <w:rFonts w:hint="default"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-No.1</w:t>
            </w:r>
            <w:r>
              <w:rPr>
                <w:rFonts w:hint="default" w:ascii="Times New Roman" w:hAnsi="Times New Roman" w:cs="Times New Roman"/>
                <w:color w:val="000000" w:themeColor="text1"/>
                <w:szCs w:val="21"/>
                <w14:textFill>
                  <w14:solidFill>
                    <w14:schemeClr w14:val="tx1"/>
                  </w14:solidFill>
                </w14:textFill>
              </w:rPr>
              <w:t>2</w:t>
            </w:r>
          </w:p>
        </w:tc>
        <w:tc>
          <w:tcPr>
            <w:tcW w:w="466" w:type="pct"/>
            <w:noWrap w:val="0"/>
            <w:vAlign w:val="center"/>
          </w:tcPr>
          <w:p w14:paraId="2251A6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套</w:t>
            </w:r>
          </w:p>
        </w:tc>
        <w:tc>
          <w:tcPr>
            <w:tcW w:w="532" w:type="pct"/>
            <w:noWrap w:val="0"/>
            <w:vAlign w:val="center"/>
          </w:tcPr>
          <w:p w14:paraId="56980EB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008E581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7</w:t>
            </w:r>
          </w:p>
        </w:tc>
        <w:tc>
          <w:tcPr>
            <w:tcW w:w="752" w:type="pct"/>
            <w:noWrap w:val="0"/>
            <w:vAlign w:val="center"/>
          </w:tcPr>
          <w:p w14:paraId="02515D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西</w:t>
            </w: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风井</w:t>
            </w:r>
          </w:p>
        </w:tc>
      </w:tr>
      <w:tr w14:paraId="55A59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78C1975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6</w:t>
            </w:r>
          </w:p>
        </w:tc>
        <w:tc>
          <w:tcPr>
            <w:tcW w:w="1165" w:type="pct"/>
            <w:noWrap w:val="0"/>
            <w:vAlign w:val="center"/>
          </w:tcPr>
          <w:p w14:paraId="386A88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变压器</w:t>
            </w:r>
          </w:p>
        </w:tc>
        <w:tc>
          <w:tcPr>
            <w:tcW w:w="1160" w:type="pct"/>
            <w:noWrap w:val="0"/>
            <w:vAlign w:val="center"/>
          </w:tcPr>
          <w:p w14:paraId="33E113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500kVA</w:t>
            </w:r>
          </w:p>
        </w:tc>
        <w:tc>
          <w:tcPr>
            <w:tcW w:w="466" w:type="pct"/>
            <w:noWrap w:val="0"/>
            <w:vAlign w:val="center"/>
          </w:tcPr>
          <w:p w14:paraId="316580C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173E9A0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384F272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61232D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44693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0C381B1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7</w:t>
            </w:r>
          </w:p>
        </w:tc>
        <w:tc>
          <w:tcPr>
            <w:tcW w:w="1165" w:type="pct"/>
            <w:noWrap w:val="0"/>
            <w:vAlign w:val="center"/>
          </w:tcPr>
          <w:p w14:paraId="6AD1537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变压器</w:t>
            </w:r>
          </w:p>
        </w:tc>
        <w:tc>
          <w:tcPr>
            <w:tcW w:w="1160" w:type="pct"/>
            <w:noWrap w:val="0"/>
            <w:vAlign w:val="center"/>
          </w:tcPr>
          <w:p w14:paraId="30DB4F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125</w:t>
            </w:r>
            <w:r>
              <w:rPr>
                <w:rFonts w:hint="eastAsia" w:ascii="Times New Roman" w:hAnsi="Times New Roman" w:cs="Times New Roman"/>
                <w:color w:val="000000" w:themeColor="text1"/>
                <w:szCs w:val="21"/>
                <w14:textFill>
                  <w14:solidFill>
                    <w14:schemeClr w14:val="tx1"/>
                  </w14:solidFill>
                </w14:textFill>
              </w:rPr>
              <w:t>0kVA</w:t>
            </w:r>
          </w:p>
        </w:tc>
        <w:tc>
          <w:tcPr>
            <w:tcW w:w="466" w:type="pct"/>
            <w:noWrap w:val="0"/>
            <w:vAlign w:val="center"/>
          </w:tcPr>
          <w:p w14:paraId="7F7B0BD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6B3D419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566" w:type="pct"/>
            <w:noWrap w:val="0"/>
            <w:vAlign w:val="center"/>
          </w:tcPr>
          <w:p w14:paraId="4FEDC70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3D90009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4097B3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5283E1E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8</w:t>
            </w:r>
          </w:p>
        </w:tc>
        <w:tc>
          <w:tcPr>
            <w:tcW w:w="1165" w:type="pct"/>
            <w:noWrap w:val="0"/>
            <w:vAlign w:val="center"/>
          </w:tcPr>
          <w:p w14:paraId="210A20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柴油发电机组</w:t>
            </w:r>
          </w:p>
        </w:tc>
        <w:tc>
          <w:tcPr>
            <w:tcW w:w="1160" w:type="pct"/>
            <w:noWrap w:val="0"/>
            <w:vAlign w:val="center"/>
          </w:tcPr>
          <w:p w14:paraId="6723B9F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500k</w:t>
            </w:r>
            <w:r>
              <w:rPr>
                <w:rFonts w:hint="eastAsia" w:ascii="Times New Roman" w:hAnsi="Times New Roman" w:cs="Times New Roman"/>
                <w:color w:val="000000" w:themeColor="text1"/>
                <w:szCs w:val="21"/>
                <w14:textFill>
                  <w14:solidFill>
                    <w14:schemeClr w14:val="tx1"/>
                  </w14:solidFill>
                </w14:textFill>
              </w:rPr>
              <w:t>W</w:t>
            </w:r>
          </w:p>
        </w:tc>
        <w:tc>
          <w:tcPr>
            <w:tcW w:w="466" w:type="pct"/>
            <w:noWrap w:val="0"/>
            <w:vAlign w:val="center"/>
          </w:tcPr>
          <w:p w14:paraId="468BD5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208E47C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566" w:type="pct"/>
            <w:noWrap w:val="0"/>
            <w:vAlign w:val="center"/>
          </w:tcPr>
          <w:p w14:paraId="528830B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7B5BEEA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2E1C8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0A53370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9</w:t>
            </w:r>
          </w:p>
        </w:tc>
        <w:tc>
          <w:tcPr>
            <w:tcW w:w="1165" w:type="pct"/>
            <w:noWrap w:val="0"/>
            <w:vAlign w:val="center"/>
          </w:tcPr>
          <w:p w14:paraId="3D1635F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配电柜</w:t>
            </w:r>
          </w:p>
        </w:tc>
        <w:tc>
          <w:tcPr>
            <w:tcW w:w="1160" w:type="pct"/>
            <w:noWrap w:val="0"/>
            <w:vAlign w:val="center"/>
          </w:tcPr>
          <w:p w14:paraId="19CCEC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GCS</w:t>
            </w:r>
          </w:p>
        </w:tc>
        <w:tc>
          <w:tcPr>
            <w:tcW w:w="466" w:type="pct"/>
            <w:noWrap w:val="0"/>
            <w:vAlign w:val="center"/>
          </w:tcPr>
          <w:p w14:paraId="400F8A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面</w:t>
            </w:r>
          </w:p>
        </w:tc>
        <w:tc>
          <w:tcPr>
            <w:tcW w:w="532" w:type="pct"/>
            <w:noWrap w:val="0"/>
            <w:vAlign w:val="center"/>
          </w:tcPr>
          <w:p w14:paraId="6DE2F9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566" w:type="pct"/>
            <w:noWrap w:val="0"/>
            <w:vAlign w:val="center"/>
          </w:tcPr>
          <w:p w14:paraId="3993F15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358F2B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6D887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3383D0A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0</w:t>
            </w:r>
          </w:p>
        </w:tc>
        <w:tc>
          <w:tcPr>
            <w:tcW w:w="1165" w:type="pct"/>
            <w:noWrap w:val="0"/>
            <w:vAlign w:val="center"/>
          </w:tcPr>
          <w:p w14:paraId="2BF9881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整流柜</w:t>
            </w:r>
          </w:p>
        </w:tc>
        <w:tc>
          <w:tcPr>
            <w:tcW w:w="1160" w:type="pct"/>
            <w:noWrap w:val="0"/>
            <w:vAlign w:val="center"/>
          </w:tcPr>
          <w:p w14:paraId="30505D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ZQA-400/550</w:t>
            </w:r>
          </w:p>
        </w:tc>
        <w:tc>
          <w:tcPr>
            <w:tcW w:w="466" w:type="pct"/>
            <w:noWrap w:val="0"/>
            <w:vAlign w:val="center"/>
          </w:tcPr>
          <w:p w14:paraId="1EBD67D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2698A6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566" w:type="pct"/>
            <w:noWrap w:val="0"/>
            <w:vAlign w:val="center"/>
          </w:tcPr>
          <w:p w14:paraId="01F418B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4B4DC62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7015D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356" w:type="pct"/>
            <w:noWrap w:val="0"/>
            <w:vAlign w:val="center"/>
          </w:tcPr>
          <w:p w14:paraId="0D4D3CD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w:t>
            </w:r>
          </w:p>
        </w:tc>
        <w:tc>
          <w:tcPr>
            <w:tcW w:w="1165" w:type="pct"/>
            <w:noWrap w:val="0"/>
            <w:vAlign w:val="center"/>
          </w:tcPr>
          <w:p w14:paraId="128B97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程控交换机</w:t>
            </w:r>
          </w:p>
        </w:tc>
        <w:tc>
          <w:tcPr>
            <w:tcW w:w="1160" w:type="pct"/>
            <w:noWrap w:val="0"/>
            <w:vAlign w:val="center"/>
          </w:tcPr>
          <w:p w14:paraId="2A4B17B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24门</w:t>
            </w:r>
          </w:p>
        </w:tc>
        <w:tc>
          <w:tcPr>
            <w:tcW w:w="466" w:type="pct"/>
            <w:noWrap w:val="0"/>
            <w:vAlign w:val="center"/>
          </w:tcPr>
          <w:p w14:paraId="4896CC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套</w:t>
            </w:r>
          </w:p>
        </w:tc>
        <w:tc>
          <w:tcPr>
            <w:tcW w:w="532" w:type="pct"/>
            <w:noWrap w:val="0"/>
            <w:vAlign w:val="center"/>
          </w:tcPr>
          <w:p w14:paraId="2035470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44CFAE6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30AC9B6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36341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071C443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w:t>
            </w:r>
          </w:p>
        </w:tc>
        <w:tc>
          <w:tcPr>
            <w:tcW w:w="1165" w:type="pct"/>
            <w:noWrap w:val="0"/>
            <w:vAlign w:val="center"/>
          </w:tcPr>
          <w:p w14:paraId="5E70F01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车床</w:t>
            </w:r>
          </w:p>
        </w:tc>
        <w:tc>
          <w:tcPr>
            <w:tcW w:w="1160" w:type="pct"/>
            <w:noWrap w:val="0"/>
            <w:vAlign w:val="center"/>
          </w:tcPr>
          <w:p w14:paraId="405F7C1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CA6140</w:t>
            </w:r>
          </w:p>
        </w:tc>
        <w:tc>
          <w:tcPr>
            <w:tcW w:w="466" w:type="pct"/>
            <w:noWrap w:val="0"/>
            <w:vAlign w:val="center"/>
          </w:tcPr>
          <w:p w14:paraId="10B7228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2C894B7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0930E3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0B2374D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7C31F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105B5FB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3</w:t>
            </w:r>
          </w:p>
        </w:tc>
        <w:tc>
          <w:tcPr>
            <w:tcW w:w="1165" w:type="pct"/>
            <w:noWrap w:val="0"/>
            <w:vAlign w:val="center"/>
          </w:tcPr>
          <w:p w14:paraId="457BBB1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刨床</w:t>
            </w:r>
          </w:p>
        </w:tc>
        <w:tc>
          <w:tcPr>
            <w:tcW w:w="1160" w:type="pct"/>
            <w:noWrap w:val="0"/>
            <w:vAlign w:val="center"/>
          </w:tcPr>
          <w:p w14:paraId="25D1E57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B665</w:t>
            </w:r>
          </w:p>
        </w:tc>
        <w:tc>
          <w:tcPr>
            <w:tcW w:w="466" w:type="pct"/>
            <w:noWrap w:val="0"/>
            <w:vAlign w:val="center"/>
          </w:tcPr>
          <w:p w14:paraId="109140D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5679C21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66" w:type="pct"/>
            <w:noWrap w:val="0"/>
            <w:vAlign w:val="center"/>
          </w:tcPr>
          <w:p w14:paraId="0600F81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6E2C57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1F207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5243024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4</w:t>
            </w:r>
          </w:p>
        </w:tc>
        <w:tc>
          <w:tcPr>
            <w:tcW w:w="1165" w:type="pct"/>
            <w:noWrap w:val="0"/>
            <w:vAlign w:val="center"/>
          </w:tcPr>
          <w:p w14:paraId="1A279E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钻床</w:t>
            </w:r>
          </w:p>
        </w:tc>
        <w:tc>
          <w:tcPr>
            <w:tcW w:w="1160" w:type="pct"/>
            <w:noWrap w:val="0"/>
            <w:vAlign w:val="center"/>
          </w:tcPr>
          <w:p w14:paraId="56EE8DC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Z5140</w:t>
            </w:r>
          </w:p>
        </w:tc>
        <w:tc>
          <w:tcPr>
            <w:tcW w:w="466" w:type="pct"/>
            <w:noWrap w:val="0"/>
            <w:vAlign w:val="center"/>
          </w:tcPr>
          <w:p w14:paraId="3F32A37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6F03DC2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566" w:type="pct"/>
            <w:noWrap w:val="0"/>
            <w:vAlign w:val="center"/>
          </w:tcPr>
          <w:p w14:paraId="7C97053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522AB91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23A16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6" w:type="pct"/>
            <w:noWrap w:val="0"/>
            <w:vAlign w:val="center"/>
          </w:tcPr>
          <w:p w14:paraId="7932B8A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25</w:t>
            </w:r>
          </w:p>
        </w:tc>
        <w:tc>
          <w:tcPr>
            <w:tcW w:w="1165" w:type="pct"/>
            <w:noWrap w:val="0"/>
            <w:vAlign w:val="center"/>
          </w:tcPr>
          <w:p w14:paraId="65962CC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电焊机</w:t>
            </w:r>
          </w:p>
        </w:tc>
        <w:tc>
          <w:tcPr>
            <w:tcW w:w="1160" w:type="pct"/>
            <w:noWrap w:val="0"/>
            <w:vAlign w:val="center"/>
          </w:tcPr>
          <w:p w14:paraId="7BE2D8B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BX6-140-2</w:t>
            </w:r>
          </w:p>
        </w:tc>
        <w:tc>
          <w:tcPr>
            <w:tcW w:w="466" w:type="pct"/>
            <w:noWrap w:val="0"/>
            <w:vAlign w:val="center"/>
          </w:tcPr>
          <w:p w14:paraId="32DB833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532" w:type="pct"/>
            <w:noWrap w:val="0"/>
            <w:vAlign w:val="center"/>
          </w:tcPr>
          <w:p w14:paraId="62E74F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566" w:type="pct"/>
            <w:noWrap w:val="0"/>
            <w:vAlign w:val="center"/>
          </w:tcPr>
          <w:p w14:paraId="2E4FCF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52" w:type="pct"/>
            <w:noWrap w:val="0"/>
            <w:vAlign w:val="center"/>
          </w:tcPr>
          <w:p w14:paraId="016D072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bl>
    <w:p w14:paraId="2316600A">
      <w:pPr>
        <w:pStyle w:val="4"/>
        <w:spacing w:before="60" w:after="60" w:line="480" w:lineRule="exact"/>
        <w:rPr>
          <w:color w:val="000000" w:themeColor="text1"/>
          <w:kern w:val="2"/>
          <w14:textFill>
            <w14:solidFill>
              <w14:schemeClr w14:val="tx1"/>
            </w14:solidFill>
          </w14:textFill>
        </w:rPr>
      </w:pPr>
      <w:bookmarkStart w:id="292" w:name="_Toc6004"/>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.3原辅材料</w:t>
      </w:r>
      <w:bookmarkEnd w:id="292"/>
    </w:p>
    <w:p w14:paraId="1AC9BD33">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本项目主要材料消耗见表3.</w:t>
      </w:r>
      <w:r>
        <w:rPr>
          <w:color w:val="000000" w:themeColor="text1"/>
          <w:sz w:val="24"/>
          <w:szCs w:val="28"/>
          <w14:textFill>
            <w14:solidFill>
              <w14:schemeClr w14:val="tx1"/>
            </w14:solidFill>
          </w14:textFill>
        </w:rPr>
        <w:t>2</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p>
    <w:p w14:paraId="477228C6">
      <w:pPr>
        <w:snapToGrid w:val="0"/>
        <w:spacing w:line="480" w:lineRule="exact"/>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表3.</w:t>
      </w:r>
      <w:r>
        <w:rPr>
          <w:b/>
          <w:color w:val="000000" w:themeColor="text1"/>
          <w:sz w:val="24"/>
          <w:szCs w:val="24"/>
          <w14:textFill>
            <w14:solidFill>
              <w14:schemeClr w14:val="tx1"/>
            </w14:solidFill>
          </w14:textFill>
        </w:rPr>
        <w:t>2</w:t>
      </w:r>
      <w:r>
        <w:rPr>
          <w:rFonts w:hint="eastAsia"/>
          <w:b/>
          <w:color w:val="000000" w:themeColor="text1"/>
          <w:sz w:val="24"/>
          <w:szCs w:val="24"/>
          <w14:textFill>
            <w14:solidFill>
              <w14:schemeClr w14:val="tx1"/>
            </w14:solidFill>
          </w14:textFill>
        </w:rPr>
        <w:t>-</w:t>
      </w:r>
      <w:r>
        <w:rPr>
          <w:b/>
          <w:color w:val="000000" w:themeColor="text1"/>
          <w:sz w:val="24"/>
          <w:szCs w:val="24"/>
          <w14:textFill>
            <w14:solidFill>
              <w14:schemeClr w14:val="tx1"/>
            </w14:solidFill>
          </w14:textFill>
        </w:rPr>
        <w:t>5</w:t>
      </w:r>
      <w:r>
        <w:rPr>
          <w:rFonts w:hint="eastAsia"/>
          <w:b/>
          <w:color w:val="000000" w:themeColor="text1"/>
          <w:sz w:val="24"/>
          <w:szCs w:val="24"/>
          <w14:textFill>
            <w14:solidFill>
              <w14:schemeClr w14:val="tx1"/>
            </w14:solidFill>
          </w14:textFill>
        </w:rPr>
        <w:t xml:space="preserve">    主要材料消耗表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1"/>
        <w:gridCol w:w="1016"/>
        <w:gridCol w:w="574"/>
        <w:gridCol w:w="930"/>
        <w:gridCol w:w="765"/>
        <w:gridCol w:w="795"/>
        <w:gridCol w:w="720"/>
        <w:gridCol w:w="840"/>
        <w:gridCol w:w="840"/>
        <w:gridCol w:w="750"/>
        <w:gridCol w:w="781"/>
      </w:tblGrid>
      <w:tr w14:paraId="39C553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99" w:type="pct"/>
            <w:vMerge w:val="restart"/>
            <w:noWrap w:val="0"/>
            <w:vAlign w:val="center"/>
          </w:tcPr>
          <w:p w14:paraId="59A5A89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bookmarkStart w:id="293" w:name="_Hlk68428387" w:colFirst="0" w:colLast="11"/>
            <w:r>
              <w:rPr>
                <w:rFonts w:hint="eastAsia" w:ascii="Times New Roman" w:hAnsi="Times New Roman" w:cs="Times New Roman"/>
                <w:b/>
                <w:color w:val="000000" w:themeColor="text1"/>
                <w:szCs w:val="21"/>
                <w14:textFill>
                  <w14:solidFill>
                    <w14:schemeClr w14:val="tx1"/>
                  </w14:solidFill>
                </w14:textFill>
              </w:rPr>
              <w:t>序号</w:t>
            </w:r>
          </w:p>
        </w:tc>
        <w:tc>
          <w:tcPr>
            <w:tcW w:w="596" w:type="pct"/>
            <w:vMerge w:val="restart"/>
            <w:noWrap w:val="0"/>
            <w:vAlign w:val="center"/>
          </w:tcPr>
          <w:p w14:paraId="08017A8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材料</w:t>
            </w:r>
          </w:p>
          <w:p w14:paraId="16B8F37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名称</w:t>
            </w:r>
          </w:p>
        </w:tc>
        <w:tc>
          <w:tcPr>
            <w:tcW w:w="336" w:type="pct"/>
            <w:vMerge w:val="restart"/>
            <w:noWrap w:val="0"/>
            <w:vAlign w:val="center"/>
          </w:tcPr>
          <w:p w14:paraId="1435F9F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单位</w:t>
            </w:r>
          </w:p>
        </w:tc>
        <w:tc>
          <w:tcPr>
            <w:tcW w:w="1460" w:type="pct"/>
            <w:gridSpan w:val="3"/>
            <w:noWrap w:val="0"/>
            <w:vAlign w:val="center"/>
          </w:tcPr>
          <w:p w14:paraId="141FD73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掘进（</w:t>
            </w:r>
            <w:r>
              <w:rPr>
                <w:rFonts w:hint="default" w:ascii="Times New Roman" w:hAnsi="Times New Roman" w:cs="Times New Roman"/>
                <w:b/>
                <w:color w:val="000000" w:themeColor="text1"/>
                <w:szCs w:val="21"/>
                <w14:textFill>
                  <w14:solidFill>
                    <w14:schemeClr w14:val="tx1"/>
                  </w14:solidFill>
                </w14:textFill>
              </w:rPr>
              <w:t>119.04</w:t>
            </w:r>
            <w:r>
              <w:rPr>
                <w:rFonts w:hint="eastAsia" w:ascii="Times New Roman" w:hAnsi="Times New Roman" w:cs="Times New Roman"/>
                <w:b/>
                <w:color w:val="000000" w:themeColor="text1"/>
                <w:szCs w:val="21"/>
                <w14:textFill>
                  <w14:solidFill>
                    <w14:schemeClr w14:val="tx1"/>
                  </w14:solidFill>
                </w14:textFill>
              </w:rPr>
              <w:t>m</w:t>
            </w:r>
            <w:r>
              <w:rPr>
                <w:rFonts w:hint="eastAsia" w:ascii="Times New Roman" w:hAnsi="Times New Roman" w:cs="Times New Roman"/>
                <w:b/>
                <w:color w:val="000000" w:themeColor="text1"/>
                <w:szCs w:val="21"/>
                <w:vertAlign w:val="superscript"/>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/d）</w:t>
            </w:r>
          </w:p>
        </w:tc>
        <w:tc>
          <w:tcPr>
            <w:tcW w:w="1408" w:type="pct"/>
            <w:gridSpan w:val="3"/>
            <w:noWrap w:val="0"/>
            <w:vAlign w:val="center"/>
          </w:tcPr>
          <w:p w14:paraId="48A034E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采矿（2</w:t>
            </w:r>
            <w:r>
              <w:rPr>
                <w:rFonts w:hint="default"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14:textFill>
                  <w14:solidFill>
                    <w14:schemeClr w14:val="tx1"/>
                  </w14:solidFill>
                </w14:textFill>
              </w:rPr>
              <w:t>00t/d）</w:t>
            </w:r>
          </w:p>
        </w:tc>
        <w:tc>
          <w:tcPr>
            <w:tcW w:w="898" w:type="pct"/>
            <w:gridSpan w:val="2"/>
            <w:noWrap w:val="0"/>
            <w:vAlign w:val="center"/>
          </w:tcPr>
          <w:p w14:paraId="3986C12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综合</w:t>
            </w:r>
          </w:p>
        </w:tc>
      </w:tr>
      <w:tr w14:paraId="6C5100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99" w:type="pct"/>
            <w:vMerge w:val="continue"/>
            <w:noWrap w:val="0"/>
            <w:vAlign w:val="center"/>
          </w:tcPr>
          <w:p w14:paraId="5416A9CF">
            <w:pPr>
              <w:keepNext w:val="0"/>
              <w:keepLines w:val="0"/>
              <w:suppressLineNumbers w:val="0"/>
              <w:spacing w:before="0" w:beforeAutospacing="0" w:after="0" w:afterAutospacing="0" w:line="360" w:lineRule="exact"/>
              <w:ind w:left="-105" w:leftChars="-50" w:right="-105" w:rightChars="-50" w:firstLine="420"/>
              <w:rPr>
                <w:rFonts w:hint="eastAsia" w:ascii="Times New Roman" w:hAnsi="Times New Roman" w:cs="Times New Roman"/>
                <w:b/>
                <w:color w:val="000000" w:themeColor="text1"/>
                <w:szCs w:val="21"/>
                <w14:textFill>
                  <w14:solidFill>
                    <w14:schemeClr w14:val="tx1"/>
                  </w14:solidFill>
                </w14:textFill>
              </w:rPr>
            </w:pPr>
          </w:p>
        </w:tc>
        <w:tc>
          <w:tcPr>
            <w:tcW w:w="596" w:type="pct"/>
            <w:vMerge w:val="continue"/>
            <w:noWrap w:val="0"/>
            <w:vAlign w:val="center"/>
          </w:tcPr>
          <w:p w14:paraId="30ECB0C1">
            <w:pPr>
              <w:keepNext w:val="0"/>
              <w:keepLines w:val="0"/>
              <w:suppressLineNumbers w:val="0"/>
              <w:spacing w:before="0" w:beforeAutospacing="0" w:after="0" w:afterAutospacing="0" w:line="360" w:lineRule="exact"/>
              <w:ind w:left="-105" w:leftChars="-50" w:right="-105" w:rightChars="-50" w:firstLine="420"/>
              <w:rPr>
                <w:rFonts w:hint="eastAsia" w:ascii="Times New Roman" w:hAnsi="Times New Roman" w:cs="Times New Roman"/>
                <w:b/>
                <w:color w:val="000000" w:themeColor="text1"/>
                <w:szCs w:val="21"/>
                <w14:textFill>
                  <w14:solidFill>
                    <w14:schemeClr w14:val="tx1"/>
                  </w14:solidFill>
                </w14:textFill>
              </w:rPr>
            </w:pPr>
          </w:p>
        </w:tc>
        <w:tc>
          <w:tcPr>
            <w:tcW w:w="336" w:type="pct"/>
            <w:vMerge w:val="continue"/>
            <w:noWrap w:val="0"/>
            <w:vAlign w:val="center"/>
          </w:tcPr>
          <w:p w14:paraId="132851A7">
            <w:pPr>
              <w:keepNext w:val="0"/>
              <w:keepLines w:val="0"/>
              <w:suppressLineNumbers w:val="0"/>
              <w:spacing w:before="0" w:beforeAutospacing="0" w:after="0" w:afterAutospacing="0" w:line="360" w:lineRule="exact"/>
              <w:ind w:left="-105" w:leftChars="-50" w:right="-105" w:rightChars="-50" w:firstLine="420"/>
              <w:rPr>
                <w:rFonts w:hint="eastAsia" w:ascii="Times New Roman" w:hAnsi="Times New Roman" w:cs="Times New Roman"/>
                <w:b/>
                <w:color w:val="000000" w:themeColor="text1"/>
                <w:szCs w:val="21"/>
                <w14:textFill>
                  <w14:solidFill>
                    <w14:schemeClr w14:val="tx1"/>
                  </w14:solidFill>
                </w14:textFill>
              </w:rPr>
            </w:pPr>
          </w:p>
        </w:tc>
        <w:tc>
          <w:tcPr>
            <w:tcW w:w="545" w:type="pct"/>
            <w:noWrap w:val="0"/>
            <w:vAlign w:val="center"/>
          </w:tcPr>
          <w:p w14:paraId="50C3909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单耗</w:t>
            </w:r>
          </w:p>
        </w:tc>
        <w:tc>
          <w:tcPr>
            <w:tcW w:w="448" w:type="pct"/>
            <w:noWrap w:val="0"/>
            <w:vAlign w:val="center"/>
          </w:tcPr>
          <w:p w14:paraId="4F872C6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日耗</w:t>
            </w:r>
          </w:p>
        </w:tc>
        <w:tc>
          <w:tcPr>
            <w:tcW w:w="466" w:type="pct"/>
            <w:noWrap w:val="0"/>
            <w:vAlign w:val="center"/>
          </w:tcPr>
          <w:p w14:paraId="6C26946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年耗</w:t>
            </w:r>
          </w:p>
        </w:tc>
        <w:tc>
          <w:tcPr>
            <w:tcW w:w="422" w:type="pct"/>
            <w:noWrap w:val="0"/>
            <w:vAlign w:val="center"/>
          </w:tcPr>
          <w:p w14:paraId="20A4FAE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单耗</w:t>
            </w:r>
          </w:p>
        </w:tc>
        <w:tc>
          <w:tcPr>
            <w:tcW w:w="492" w:type="pct"/>
            <w:noWrap w:val="0"/>
            <w:vAlign w:val="center"/>
          </w:tcPr>
          <w:p w14:paraId="25B9617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日耗</w:t>
            </w:r>
          </w:p>
        </w:tc>
        <w:tc>
          <w:tcPr>
            <w:tcW w:w="492" w:type="pct"/>
            <w:noWrap w:val="0"/>
            <w:vAlign w:val="center"/>
          </w:tcPr>
          <w:p w14:paraId="73AA791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年耗</w:t>
            </w:r>
          </w:p>
        </w:tc>
        <w:tc>
          <w:tcPr>
            <w:tcW w:w="440" w:type="pct"/>
            <w:noWrap w:val="0"/>
            <w:vAlign w:val="center"/>
          </w:tcPr>
          <w:p w14:paraId="3CA9B91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单耗</w:t>
            </w:r>
          </w:p>
        </w:tc>
        <w:tc>
          <w:tcPr>
            <w:tcW w:w="458" w:type="pct"/>
            <w:noWrap w:val="0"/>
            <w:vAlign w:val="center"/>
          </w:tcPr>
          <w:p w14:paraId="2B47297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年耗</w:t>
            </w:r>
          </w:p>
        </w:tc>
      </w:tr>
      <w:tr w14:paraId="2023F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noWrap w:val="0"/>
            <w:vAlign w:val="center"/>
          </w:tcPr>
          <w:p w14:paraId="4E56B1E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596" w:type="pct"/>
            <w:noWrap w:val="0"/>
            <w:vAlign w:val="center"/>
          </w:tcPr>
          <w:p w14:paraId="6E935B7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炸药</w:t>
            </w:r>
          </w:p>
        </w:tc>
        <w:tc>
          <w:tcPr>
            <w:tcW w:w="336" w:type="pct"/>
            <w:noWrap w:val="0"/>
            <w:vAlign w:val="center"/>
          </w:tcPr>
          <w:p w14:paraId="022AFE9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kg</w:t>
            </w:r>
          </w:p>
        </w:tc>
        <w:tc>
          <w:tcPr>
            <w:tcW w:w="545" w:type="pct"/>
            <w:noWrap w:val="0"/>
            <w:vAlign w:val="center"/>
          </w:tcPr>
          <w:p w14:paraId="1D29AD3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2.50</w:t>
            </w:r>
          </w:p>
        </w:tc>
        <w:tc>
          <w:tcPr>
            <w:tcW w:w="448" w:type="pct"/>
            <w:noWrap w:val="0"/>
            <w:vAlign w:val="center"/>
          </w:tcPr>
          <w:p w14:paraId="3CC2C26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297.60</w:t>
            </w:r>
          </w:p>
        </w:tc>
        <w:tc>
          <w:tcPr>
            <w:tcW w:w="466" w:type="pct"/>
            <w:noWrap w:val="0"/>
            <w:vAlign w:val="center"/>
          </w:tcPr>
          <w:p w14:paraId="69000E1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74400</w:t>
            </w:r>
          </w:p>
        </w:tc>
        <w:tc>
          <w:tcPr>
            <w:tcW w:w="422" w:type="pct"/>
            <w:noWrap w:val="0"/>
            <w:vAlign w:val="center"/>
          </w:tcPr>
          <w:p w14:paraId="26AF18E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0.40</w:t>
            </w:r>
          </w:p>
        </w:tc>
        <w:tc>
          <w:tcPr>
            <w:tcW w:w="492" w:type="pct"/>
            <w:noWrap w:val="0"/>
            <w:vAlign w:val="center"/>
          </w:tcPr>
          <w:p w14:paraId="0622CC0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960.00</w:t>
            </w:r>
          </w:p>
        </w:tc>
        <w:tc>
          <w:tcPr>
            <w:tcW w:w="492" w:type="pct"/>
            <w:noWrap w:val="0"/>
            <w:vAlign w:val="center"/>
          </w:tcPr>
          <w:p w14:paraId="3C4B1C3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240000</w:t>
            </w:r>
          </w:p>
        </w:tc>
        <w:tc>
          <w:tcPr>
            <w:tcW w:w="440" w:type="pct"/>
            <w:noWrap w:val="0"/>
            <w:vAlign w:val="center"/>
          </w:tcPr>
          <w:p w14:paraId="4BA85FF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0.524</w:t>
            </w:r>
          </w:p>
        </w:tc>
        <w:tc>
          <w:tcPr>
            <w:tcW w:w="458" w:type="pct"/>
            <w:noWrap w:val="0"/>
            <w:vAlign w:val="center"/>
          </w:tcPr>
          <w:p w14:paraId="4EC2A20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314400</w:t>
            </w:r>
          </w:p>
        </w:tc>
      </w:tr>
      <w:tr w14:paraId="37172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noWrap w:val="0"/>
            <w:vAlign w:val="center"/>
          </w:tcPr>
          <w:p w14:paraId="107C1F1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596" w:type="pct"/>
            <w:noWrap w:val="0"/>
            <w:vAlign w:val="center"/>
          </w:tcPr>
          <w:p w14:paraId="6F7F70A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导爆雷管</w:t>
            </w:r>
          </w:p>
        </w:tc>
        <w:tc>
          <w:tcPr>
            <w:tcW w:w="336" w:type="pct"/>
            <w:noWrap w:val="0"/>
            <w:vAlign w:val="center"/>
          </w:tcPr>
          <w:p w14:paraId="081758D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个</w:t>
            </w:r>
          </w:p>
        </w:tc>
        <w:tc>
          <w:tcPr>
            <w:tcW w:w="545" w:type="pct"/>
            <w:noWrap w:val="0"/>
            <w:vAlign w:val="center"/>
          </w:tcPr>
          <w:p w14:paraId="32E4A87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1.80</w:t>
            </w:r>
          </w:p>
        </w:tc>
        <w:tc>
          <w:tcPr>
            <w:tcW w:w="448" w:type="pct"/>
            <w:noWrap w:val="0"/>
            <w:vAlign w:val="center"/>
          </w:tcPr>
          <w:p w14:paraId="3DA704E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214.27</w:t>
            </w:r>
          </w:p>
        </w:tc>
        <w:tc>
          <w:tcPr>
            <w:tcW w:w="466" w:type="pct"/>
            <w:noWrap w:val="0"/>
            <w:vAlign w:val="center"/>
          </w:tcPr>
          <w:p w14:paraId="545BB66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53568</w:t>
            </w:r>
          </w:p>
        </w:tc>
        <w:tc>
          <w:tcPr>
            <w:tcW w:w="422" w:type="pct"/>
            <w:noWrap w:val="0"/>
            <w:vAlign w:val="center"/>
          </w:tcPr>
          <w:p w14:paraId="4302E92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0.46</w:t>
            </w:r>
          </w:p>
        </w:tc>
        <w:tc>
          <w:tcPr>
            <w:tcW w:w="492" w:type="pct"/>
            <w:noWrap w:val="0"/>
            <w:vAlign w:val="center"/>
          </w:tcPr>
          <w:p w14:paraId="7D029C3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1104.00</w:t>
            </w:r>
          </w:p>
        </w:tc>
        <w:tc>
          <w:tcPr>
            <w:tcW w:w="492" w:type="pct"/>
            <w:noWrap w:val="0"/>
            <w:vAlign w:val="center"/>
          </w:tcPr>
          <w:p w14:paraId="08843A6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276000</w:t>
            </w:r>
          </w:p>
        </w:tc>
        <w:tc>
          <w:tcPr>
            <w:tcW w:w="440" w:type="pct"/>
            <w:noWrap w:val="0"/>
            <w:vAlign w:val="center"/>
          </w:tcPr>
          <w:p w14:paraId="693E3B7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0.549</w:t>
            </w:r>
          </w:p>
        </w:tc>
        <w:tc>
          <w:tcPr>
            <w:tcW w:w="458" w:type="pct"/>
            <w:noWrap w:val="0"/>
            <w:vAlign w:val="center"/>
          </w:tcPr>
          <w:p w14:paraId="73F845F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329568</w:t>
            </w:r>
          </w:p>
        </w:tc>
      </w:tr>
      <w:tr w14:paraId="38A13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noWrap w:val="0"/>
            <w:vAlign w:val="center"/>
          </w:tcPr>
          <w:p w14:paraId="704C087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596" w:type="pct"/>
            <w:noWrap w:val="0"/>
            <w:vAlign w:val="center"/>
          </w:tcPr>
          <w:p w14:paraId="7503BEE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数码雷管</w:t>
            </w:r>
          </w:p>
        </w:tc>
        <w:tc>
          <w:tcPr>
            <w:tcW w:w="336" w:type="pct"/>
            <w:noWrap w:val="0"/>
            <w:vAlign w:val="center"/>
          </w:tcPr>
          <w:p w14:paraId="62F0924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个</w:t>
            </w:r>
          </w:p>
        </w:tc>
        <w:tc>
          <w:tcPr>
            <w:tcW w:w="545" w:type="pct"/>
            <w:noWrap w:val="0"/>
            <w:vAlign w:val="center"/>
          </w:tcPr>
          <w:p w14:paraId="54E4BDE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1.81</w:t>
            </w:r>
          </w:p>
        </w:tc>
        <w:tc>
          <w:tcPr>
            <w:tcW w:w="448" w:type="pct"/>
            <w:noWrap w:val="0"/>
            <w:vAlign w:val="center"/>
          </w:tcPr>
          <w:p w14:paraId="64EF774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215.46</w:t>
            </w:r>
          </w:p>
        </w:tc>
        <w:tc>
          <w:tcPr>
            <w:tcW w:w="466" w:type="pct"/>
            <w:noWrap w:val="0"/>
            <w:vAlign w:val="center"/>
          </w:tcPr>
          <w:p w14:paraId="68CCEE5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53866</w:t>
            </w:r>
          </w:p>
        </w:tc>
        <w:tc>
          <w:tcPr>
            <w:tcW w:w="422" w:type="pct"/>
            <w:noWrap w:val="0"/>
            <w:vAlign w:val="center"/>
          </w:tcPr>
          <w:p w14:paraId="3EB17D5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0.44</w:t>
            </w:r>
          </w:p>
        </w:tc>
        <w:tc>
          <w:tcPr>
            <w:tcW w:w="492" w:type="pct"/>
            <w:noWrap w:val="0"/>
            <w:vAlign w:val="center"/>
          </w:tcPr>
          <w:p w14:paraId="024F477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1056.00</w:t>
            </w:r>
          </w:p>
        </w:tc>
        <w:tc>
          <w:tcPr>
            <w:tcW w:w="492" w:type="pct"/>
            <w:noWrap w:val="0"/>
            <w:vAlign w:val="center"/>
          </w:tcPr>
          <w:p w14:paraId="775D1C7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264000</w:t>
            </w:r>
          </w:p>
        </w:tc>
        <w:tc>
          <w:tcPr>
            <w:tcW w:w="440" w:type="pct"/>
            <w:noWrap w:val="0"/>
            <w:vAlign w:val="center"/>
          </w:tcPr>
          <w:p w14:paraId="036D46E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0.530</w:t>
            </w:r>
          </w:p>
        </w:tc>
        <w:tc>
          <w:tcPr>
            <w:tcW w:w="458" w:type="pct"/>
            <w:noWrap w:val="0"/>
            <w:vAlign w:val="center"/>
          </w:tcPr>
          <w:p w14:paraId="1B20313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317866</w:t>
            </w:r>
          </w:p>
        </w:tc>
      </w:tr>
      <w:tr w14:paraId="56438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noWrap w:val="0"/>
            <w:vAlign w:val="center"/>
          </w:tcPr>
          <w:p w14:paraId="3BE5BE4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596" w:type="pct"/>
            <w:noWrap w:val="0"/>
            <w:vAlign w:val="center"/>
          </w:tcPr>
          <w:p w14:paraId="6F11B3F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钎头</w:t>
            </w:r>
          </w:p>
        </w:tc>
        <w:tc>
          <w:tcPr>
            <w:tcW w:w="336" w:type="pct"/>
            <w:noWrap w:val="0"/>
            <w:vAlign w:val="center"/>
          </w:tcPr>
          <w:p w14:paraId="562923C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个</w:t>
            </w:r>
          </w:p>
        </w:tc>
        <w:tc>
          <w:tcPr>
            <w:tcW w:w="545" w:type="pct"/>
            <w:noWrap w:val="0"/>
            <w:vAlign w:val="center"/>
          </w:tcPr>
          <w:p w14:paraId="5FECE5D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0.009</w:t>
            </w:r>
          </w:p>
        </w:tc>
        <w:tc>
          <w:tcPr>
            <w:tcW w:w="448" w:type="pct"/>
            <w:noWrap w:val="0"/>
            <w:vAlign w:val="center"/>
          </w:tcPr>
          <w:p w14:paraId="03BA9BE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1.07</w:t>
            </w:r>
          </w:p>
        </w:tc>
        <w:tc>
          <w:tcPr>
            <w:tcW w:w="466" w:type="pct"/>
            <w:noWrap w:val="0"/>
            <w:vAlign w:val="center"/>
          </w:tcPr>
          <w:p w14:paraId="5E6BC64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268</w:t>
            </w:r>
          </w:p>
        </w:tc>
        <w:tc>
          <w:tcPr>
            <w:tcW w:w="422" w:type="pct"/>
            <w:noWrap w:val="0"/>
            <w:vAlign w:val="center"/>
          </w:tcPr>
          <w:p w14:paraId="6DDAAC9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0.004</w:t>
            </w:r>
          </w:p>
        </w:tc>
        <w:tc>
          <w:tcPr>
            <w:tcW w:w="492" w:type="pct"/>
            <w:noWrap w:val="0"/>
            <w:vAlign w:val="center"/>
          </w:tcPr>
          <w:p w14:paraId="1236313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9.60</w:t>
            </w:r>
          </w:p>
        </w:tc>
        <w:tc>
          <w:tcPr>
            <w:tcW w:w="492" w:type="pct"/>
            <w:noWrap w:val="0"/>
            <w:vAlign w:val="center"/>
          </w:tcPr>
          <w:p w14:paraId="6B0ED0E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2400</w:t>
            </w:r>
          </w:p>
        </w:tc>
        <w:tc>
          <w:tcPr>
            <w:tcW w:w="440" w:type="pct"/>
            <w:noWrap w:val="0"/>
            <w:vAlign w:val="center"/>
          </w:tcPr>
          <w:p w14:paraId="12D0CDF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0.004</w:t>
            </w:r>
          </w:p>
        </w:tc>
        <w:tc>
          <w:tcPr>
            <w:tcW w:w="458" w:type="pct"/>
            <w:noWrap w:val="0"/>
            <w:vAlign w:val="center"/>
          </w:tcPr>
          <w:p w14:paraId="5DAB243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2668</w:t>
            </w:r>
          </w:p>
        </w:tc>
      </w:tr>
      <w:tr w14:paraId="28C67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noWrap w:val="0"/>
            <w:vAlign w:val="center"/>
          </w:tcPr>
          <w:p w14:paraId="5BB338F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596" w:type="pct"/>
            <w:noWrap w:val="0"/>
            <w:vAlign w:val="center"/>
          </w:tcPr>
          <w:p w14:paraId="1E6E62B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钎子钢</w:t>
            </w:r>
          </w:p>
        </w:tc>
        <w:tc>
          <w:tcPr>
            <w:tcW w:w="336" w:type="pct"/>
            <w:noWrap w:val="0"/>
            <w:vAlign w:val="center"/>
          </w:tcPr>
          <w:p w14:paraId="7924193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kg</w:t>
            </w:r>
          </w:p>
        </w:tc>
        <w:tc>
          <w:tcPr>
            <w:tcW w:w="545" w:type="pct"/>
            <w:noWrap w:val="0"/>
            <w:vAlign w:val="center"/>
          </w:tcPr>
          <w:p w14:paraId="28993B7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0.06</w:t>
            </w:r>
          </w:p>
        </w:tc>
        <w:tc>
          <w:tcPr>
            <w:tcW w:w="448" w:type="pct"/>
            <w:noWrap w:val="0"/>
            <w:vAlign w:val="center"/>
          </w:tcPr>
          <w:p w14:paraId="6850F3A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7.14</w:t>
            </w:r>
          </w:p>
        </w:tc>
        <w:tc>
          <w:tcPr>
            <w:tcW w:w="466" w:type="pct"/>
            <w:noWrap w:val="0"/>
            <w:vAlign w:val="center"/>
          </w:tcPr>
          <w:p w14:paraId="3D67A70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1786</w:t>
            </w:r>
          </w:p>
        </w:tc>
        <w:tc>
          <w:tcPr>
            <w:tcW w:w="422" w:type="pct"/>
            <w:noWrap w:val="0"/>
            <w:vAlign w:val="center"/>
          </w:tcPr>
          <w:p w14:paraId="1216E73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0.05</w:t>
            </w:r>
          </w:p>
        </w:tc>
        <w:tc>
          <w:tcPr>
            <w:tcW w:w="492" w:type="pct"/>
            <w:noWrap w:val="0"/>
            <w:vAlign w:val="center"/>
          </w:tcPr>
          <w:p w14:paraId="79B1052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120.00</w:t>
            </w:r>
          </w:p>
        </w:tc>
        <w:tc>
          <w:tcPr>
            <w:tcW w:w="492" w:type="pct"/>
            <w:noWrap w:val="0"/>
            <w:vAlign w:val="center"/>
          </w:tcPr>
          <w:p w14:paraId="554732E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30000</w:t>
            </w:r>
          </w:p>
        </w:tc>
        <w:tc>
          <w:tcPr>
            <w:tcW w:w="440" w:type="pct"/>
            <w:noWrap w:val="0"/>
            <w:vAlign w:val="center"/>
          </w:tcPr>
          <w:p w14:paraId="5CF85D7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0.053</w:t>
            </w:r>
          </w:p>
        </w:tc>
        <w:tc>
          <w:tcPr>
            <w:tcW w:w="458" w:type="pct"/>
            <w:noWrap w:val="0"/>
            <w:vAlign w:val="center"/>
          </w:tcPr>
          <w:p w14:paraId="1D4C2AE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31786</w:t>
            </w:r>
          </w:p>
        </w:tc>
      </w:tr>
      <w:tr w14:paraId="00F6E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noWrap w:val="0"/>
            <w:vAlign w:val="center"/>
          </w:tcPr>
          <w:p w14:paraId="3A7F914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596" w:type="pct"/>
            <w:noWrap w:val="0"/>
            <w:vAlign w:val="center"/>
          </w:tcPr>
          <w:p w14:paraId="28F1C6B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机油</w:t>
            </w:r>
          </w:p>
        </w:tc>
        <w:tc>
          <w:tcPr>
            <w:tcW w:w="336" w:type="pct"/>
            <w:noWrap w:val="0"/>
            <w:vAlign w:val="center"/>
          </w:tcPr>
          <w:p w14:paraId="3E7C096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kg</w:t>
            </w:r>
          </w:p>
        </w:tc>
        <w:tc>
          <w:tcPr>
            <w:tcW w:w="545" w:type="pct"/>
            <w:noWrap w:val="0"/>
            <w:vAlign w:val="center"/>
          </w:tcPr>
          <w:p w14:paraId="5DC1C77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0.02</w:t>
            </w:r>
          </w:p>
        </w:tc>
        <w:tc>
          <w:tcPr>
            <w:tcW w:w="448" w:type="pct"/>
            <w:noWrap w:val="0"/>
            <w:vAlign w:val="center"/>
          </w:tcPr>
          <w:p w14:paraId="3B3D53F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2.38</w:t>
            </w:r>
          </w:p>
        </w:tc>
        <w:tc>
          <w:tcPr>
            <w:tcW w:w="466" w:type="pct"/>
            <w:noWrap w:val="0"/>
            <w:vAlign w:val="center"/>
          </w:tcPr>
          <w:p w14:paraId="5BB30FB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595</w:t>
            </w:r>
          </w:p>
        </w:tc>
        <w:tc>
          <w:tcPr>
            <w:tcW w:w="422" w:type="pct"/>
            <w:noWrap w:val="0"/>
            <w:vAlign w:val="center"/>
          </w:tcPr>
          <w:p w14:paraId="50E5CC6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0.001</w:t>
            </w:r>
          </w:p>
        </w:tc>
        <w:tc>
          <w:tcPr>
            <w:tcW w:w="492" w:type="pct"/>
            <w:noWrap w:val="0"/>
            <w:vAlign w:val="center"/>
          </w:tcPr>
          <w:p w14:paraId="0B7C8D7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2.40</w:t>
            </w:r>
          </w:p>
        </w:tc>
        <w:tc>
          <w:tcPr>
            <w:tcW w:w="492" w:type="pct"/>
            <w:noWrap w:val="0"/>
            <w:vAlign w:val="center"/>
          </w:tcPr>
          <w:p w14:paraId="20D30DE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600</w:t>
            </w:r>
          </w:p>
        </w:tc>
        <w:tc>
          <w:tcPr>
            <w:tcW w:w="440" w:type="pct"/>
            <w:noWrap w:val="0"/>
            <w:vAlign w:val="center"/>
          </w:tcPr>
          <w:p w14:paraId="0B90DFD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0.002</w:t>
            </w:r>
          </w:p>
        </w:tc>
        <w:tc>
          <w:tcPr>
            <w:tcW w:w="458" w:type="pct"/>
            <w:noWrap w:val="0"/>
            <w:vAlign w:val="center"/>
          </w:tcPr>
          <w:p w14:paraId="1338D5A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1195</w:t>
            </w:r>
          </w:p>
        </w:tc>
      </w:tr>
      <w:tr w14:paraId="25406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noWrap w:val="0"/>
            <w:vAlign w:val="center"/>
          </w:tcPr>
          <w:p w14:paraId="3A199E8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p>
        </w:tc>
        <w:tc>
          <w:tcPr>
            <w:tcW w:w="596" w:type="pct"/>
            <w:noWrap w:val="0"/>
            <w:vAlign w:val="center"/>
          </w:tcPr>
          <w:p w14:paraId="71408BF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黄油</w:t>
            </w:r>
          </w:p>
        </w:tc>
        <w:tc>
          <w:tcPr>
            <w:tcW w:w="336" w:type="pct"/>
            <w:noWrap w:val="0"/>
            <w:vAlign w:val="center"/>
          </w:tcPr>
          <w:p w14:paraId="461DE57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kg</w:t>
            </w:r>
          </w:p>
        </w:tc>
        <w:tc>
          <w:tcPr>
            <w:tcW w:w="545" w:type="pct"/>
            <w:noWrap w:val="0"/>
            <w:vAlign w:val="center"/>
          </w:tcPr>
          <w:p w14:paraId="32E90BF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0.02</w:t>
            </w:r>
          </w:p>
        </w:tc>
        <w:tc>
          <w:tcPr>
            <w:tcW w:w="448" w:type="pct"/>
            <w:noWrap w:val="0"/>
            <w:vAlign w:val="center"/>
          </w:tcPr>
          <w:p w14:paraId="2F6BF35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2.38</w:t>
            </w:r>
          </w:p>
        </w:tc>
        <w:tc>
          <w:tcPr>
            <w:tcW w:w="466" w:type="pct"/>
            <w:noWrap w:val="0"/>
            <w:vAlign w:val="center"/>
          </w:tcPr>
          <w:p w14:paraId="3F4613A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595</w:t>
            </w:r>
          </w:p>
        </w:tc>
        <w:tc>
          <w:tcPr>
            <w:tcW w:w="422" w:type="pct"/>
            <w:noWrap w:val="0"/>
            <w:vAlign w:val="center"/>
          </w:tcPr>
          <w:p w14:paraId="2F99E65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0.001</w:t>
            </w:r>
          </w:p>
        </w:tc>
        <w:tc>
          <w:tcPr>
            <w:tcW w:w="492" w:type="pct"/>
            <w:noWrap w:val="0"/>
            <w:vAlign w:val="center"/>
          </w:tcPr>
          <w:p w14:paraId="4798B86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2.40</w:t>
            </w:r>
          </w:p>
        </w:tc>
        <w:tc>
          <w:tcPr>
            <w:tcW w:w="492" w:type="pct"/>
            <w:noWrap w:val="0"/>
            <w:vAlign w:val="center"/>
          </w:tcPr>
          <w:p w14:paraId="72117E6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600</w:t>
            </w:r>
          </w:p>
        </w:tc>
        <w:tc>
          <w:tcPr>
            <w:tcW w:w="440" w:type="pct"/>
            <w:noWrap w:val="0"/>
            <w:vAlign w:val="center"/>
          </w:tcPr>
          <w:p w14:paraId="2B38FC7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0.002</w:t>
            </w:r>
          </w:p>
        </w:tc>
        <w:tc>
          <w:tcPr>
            <w:tcW w:w="458" w:type="pct"/>
            <w:noWrap w:val="0"/>
            <w:vAlign w:val="center"/>
          </w:tcPr>
          <w:p w14:paraId="5AFE2D0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1195</w:t>
            </w:r>
          </w:p>
        </w:tc>
      </w:tr>
      <w:tr w14:paraId="1A1C3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 w:type="pct"/>
            <w:noWrap w:val="0"/>
            <w:vAlign w:val="center"/>
          </w:tcPr>
          <w:p w14:paraId="5B300D7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w:t>
            </w:r>
          </w:p>
        </w:tc>
        <w:tc>
          <w:tcPr>
            <w:tcW w:w="596" w:type="pct"/>
            <w:noWrap w:val="0"/>
            <w:vAlign w:val="center"/>
          </w:tcPr>
          <w:p w14:paraId="53ED864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柴油</w:t>
            </w:r>
          </w:p>
        </w:tc>
        <w:tc>
          <w:tcPr>
            <w:tcW w:w="336" w:type="pct"/>
            <w:noWrap w:val="0"/>
            <w:vAlign w:val="center"/>
          </w:tcPr>
          <w:p w14:paraId="2E9744A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kg</w:t>
            </w:r>
          </w:p>
        </w:tc>
        <w:tc>
          <w:tcPr>
            <w:tcW w:w="545" w:type="pct"/>
            <w:noWrap w:val="0"/>
            <w:vAlign w:val="center"/>
          </w:tcPr>
          <w:p w14:paraId="12E93E1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1.21</w:t>
            </w:r>
          </w:p>
        </w:tc>
        <w:tc>
          <w:tcPr>
            <w:tcW w:w="448" w:type="pct"/>
            <w:noWrap w:val="0"/>
            <w:vAlign w:val="center"/>
          </w:tcPr>
          <w:p w14:paraId="0388109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144.04</w:t>
            </w:r>
          </w:p>
        </w:tc>
        <w:tc>
          <w:tcPr>
            <w:tcW w:w="466" w:type="pct"/>
            <w:noWrap w:val="0"/>
            <w:vAlign w:val="center"/>
          </w:tcPr>
          <w:p w14:paraId="6F876FD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36010</w:t>
            </w:r>
          </w:p>
        </w:tc>
        <w:tc>
          <w:tcPr>
            <w:tcW w:w="422" w:type="pct"/>
            <w:noWrap w:val="0"/>
            <w:vAlign w:val="center"/>
          </w:tcPr>
          <w:p w14:paraId="2508F11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0.62</w:t>
            </w:r>
          </w:p>
        </w:tc>
        <w:tc>
          <w:tcPr>
            <w:tcW w:w="492" w:type="pct"/>
            <w:noWrap w:val="0"/>
            <w:vAlign w:val="center"/>
          </w:tcPr>
          <w:p w14:paraId="3A57440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1488.00</w:t>
            </w:r>
          </w:p>
        </w:tc>
        <w:tc>
          <w:tcPr>
            <w:tcW w:w="492" w:type="pct"/>
            <w:noWrap w:val="0"/>
            <w:vAlign w:val="center"/>
          </w:tcPr>
          <w:p w14:paraId="09FEB4D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372000</w:t>
            </w:r>
          </w:p>
        </w:tc>
        <w:tc>
          <w:tcPr>
            <w:tcW w:w="440" w:type="pct"/>
            <w:noWrap w:val="0"/>
            <w:vAlign w:val="center"/>
          </w:tcPr>
          <w:p w14:paraId="19FC30C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0.680</w:t>
            </w:r>
          </w:p>
        </w:tc>
        <w:tc>
          <w:tcPr>
            <w:tcW w:w="458" w:type="pct"/>
            <w:noWrap w:val="0"/>
            <w:vAlign w:val="center"/>
          </w:tcPr>
          <w:p w14:paraId="31D00A2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408010</w:t>
            </w:r>
          </w:p>
        </w:tc>
      </w:tr>
      <w:bookmarkEnd w:id="293"/>
    </w:tbl>
    <w:p w14:paraId="6EDC8F7E">
      <w:pPr>
        <w:pStyle w:val="4"/>
        <w:spacing w:before="60" w:after="60" w:line="480" w:lineRule="exact"/>
        <w:rPr>
          <w:color w:val="000000" w:themeColor="text1"/>
          <w:kern w:val="2"/>
          <w14:textFill>
            <w14:solidFill>
              <w14:schemeClr w14:val="tx1"/>
            </w14:solidFill>
          </w14:textFill>
        </w:rPr>
      </w:pPr>
      <w:bookmarkStart w:id="294" w:name="_Toc2594"/>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.4物料平衡</w:t>
      </w:r>
      <w:bookmarkEnd w:id="294"/>
    </w:p>
    <w:p w14:paraId="2286CDC7">
      <w:pPr>
        <w:pStyle w:val="18"/>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本项目开发利用方案，本项目采矿基建期产生废石量</w:t>
      </w:r>
      <w:r>
        <w:rPr>
          <w:color w:val="000000" w:themeColor="text1"/>
          <w:sz w:val="24"/>
          <w14:textFill>
            <w14:solidFill>
              <w14:schemeClr w14:val="tx1"/>
            </w14:solidFill>
          </w14:textFill>
        </w:rPr>
        <w:t>22.13</w:t>
      </w:r>
      <w:r>
        <w:rPr>
          <w:rFonts w:hint="eastAsia"/>
          <w:color w:val="000000" w:themeColor="text1"/>
          <w:sz w:val="24"/>
          <w14:textFill>
            <w14:solidFill>
              <w14:schemeClr w14:val="tx1"/>
            </w14:solidFill>
          </w14:textFill>
        </w:rPr>
        <w:t>×10</w:t>
      </w:r>
      <w:r>
        <w:rPr>
          <w:rFonts w:hint="eastAsia"/>
          <w:color w:val="000000" w:themeColor="text1"/>
          <w:sz w:val="24"/>
          <w:vertAlign w:val="superscript"/>
          <w14:textFill>
            <w14:solidFill>
              <w14:schemeClr w14:val="tx1"/>
            </w14:solidFill>
          </w14:textFill>
        </w:rPr>
        <w:t>4</w:t>
      </w:r>
      <w:r>
        <w:rPr>
          <w:rFonts w:hint="eastAsia"/>
          <w:color w:val="000000" w:themeColor="text1"/>
          <w:sz w:val="24"/>
          <w14:textFill>
            <w14:solidFill>
              <w14:schemeClr w14:val="tx1"/>
            </w14:solidFill>
          </w14:textFill>
        </w:rPr>
        <w:t>t；运营期采出矿石</w:t>
      </w:r>
      <w:r>
        <w:rPr>
          <w:color w:val="000000" w:themeColor="text1"/>
          <w:sz w:val="24"/>
          <w14:textFill>
            <w14:solidFill>
              <w14:schemeClr w14:val="tx1"/>
            </w14:solidFill>
          </w14:textFill>
        </w:rPr>
        <w:t>60</w:t>
      </w:r>
      <w:r>
        <w:rPr>
          <w:rFonts w:hint="eastAsia"/>
          <w:color w:val="000000" w:themeColor="text1"/>
          <w:sz w:val="24"/>
          <w14:textFill>
            <w14:solidFill>
              <w14:schemeClr w14:val="tx1"/>
            </w14:solidFill>
          </w14:textFill>
        </w:rPr>
        <w:t>×10</w:t>
      </w:r>
      <w:r>
        <w:rPr>
          <w:rFonts w:hint="eastAsia"/>
          <w:color w:val="000000" w:themeColor="text1"/>
          <w:sz w:val="24"/>
          <w:vertAlign w:val="superscript"/>
          <w14:textFill>
            <w14:solidFill>
              <w14:schemeClr w14:val="tx1"/>
            </w14:solidFill>
          </w14:textFill>
        </w:rPr>
        <w:t>4</w:t>
      </w:r>
      <w:r>
        <w:rPr>
          <w:rFonts w:hint="eastAsia"/>
          <w:color w:val="000000" w:themeColor="text1"/>
          <w:sz w:val="24"/>
          <w14:textFill>
            <w14:solidFill>
              <w14:schemeClr w14:val="tx1"/>
            </w14:solidFill>
          </w14:textFill>
        </w:rPr>
        <w:t>t/a（</w:t>
      </w:r>
      <w:r>
        <w:rPr>
          <w:color w:val="000000" w:themeColor="text1"/>
          <w:sz w:val="24"/>
          <w14:textFill>
            <w14:solidFill>
              <w14:schemeClr w14:val="tx1"/>
            </w14:solidFill>
          </w14:textFill>
        </w:rPr>
        <w:t>2400</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），产生废石量为</w:t>
      </w:r>
      <w:r>
        <w:rPr>
          <w:color w:val="000000" w:themeColor="text1"/>
          <w:sz w:val="24"/>
          <w14:textFill>
            <w14:solidFill>
              <w14:schemeClr w14:val="tx1"/>
            </w14:solidFill>
          </w14:textFill>
        </w:rPr>
        <w:t>13.97</w:t>
      </w:r>
      <w:r>
        <w:rPr>
          <w:rFonts w:hint="eastAsia"/>
          <w:color w:val="000000" w:themeColor="text1"/>
          <w:sz w:val="24"/>
          <w14:textFill>
            <w14:solidFill>
              <w14:schemeClr w14:val="tx1"/>
            </w14:solidFill>
          </w14:textFill>
        </w:rPr>
        <w:t>×10</w:t>
      </w:r>
      <w:r>
        <w:rPr>
          <w:rFonts w:hint="eastAsia"/>
          <w:color w:val="000000" w:themeColor="text1"/>
          <w:sz w:val="24"/>
          <w:vertAlign w:val="superscript"/>
          <w14:textFill>
            <w14:solidFill>
              <w14:schemeClr w14:val="tx1"/>
            </w14:solidFill>
          </w14:textFill>
        </w:rPr>
        <w:t>4</w:t>
      </w:r>
      <w:r>
        <w:rPr>
          <w:rFonts w:hint="eastAsia"/>
          <w:color w:val="000000" w:themeColor="text1"/>
          <w:sz w:val="24"/>
          <w14:textFill>
            <w14:solidFill>
              <w14:schemeClr w14:val="tx1"/>
            </w14:solidFill>
          </w14:textFill>
        </w:rPr>
        <w:t>t/a（</w:t>
      </w:r>
      <w:r>
        <w:rPr>
          <w:color w:val="000000" w:themeColor="text1"/>
          <w:sz w:val="24"/>
          <w14:textFill>
            <w14:solidFill>
              <w14:schemeClr w14:val="tx1"/>
            </w14:solidFill>
          </w14:textFill>
        </w:rPr>
        <w:t>558.8</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本</w:t>
      </w:r>
      <w:r>
        <w:rPr>
          <w:rFonts w:hint="eastAsia"/>
          <w:color w:val="000000" w:themeColor="text1"/>
          <w:sz w:val="24"/>
          <w:lang w:eastAsia="zh-CN"/>
          <w14:textFill>
            <w14:solidFill>
              <w14:schemeClr w14:val="tx1"/>
            </w14:solidFill>
          </w14:textFill>
        </w:rPr>
        <w:t>项目</w:t>
      </w:r>
      <w:r>
        <w:rPr>
          <w:color w:val="000000" w:themeColor="text1"/>
          <w:sz w:val="24"/>
          <w14:textFill>
            <w14:solidFill>
              <w14:schemeClr w14:val="tx1"/>
            </w14:solidFill>
          </w14:textFill>
        </w:rPr>
        <w:t>采矿生产过程物料平衡见图3.2</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p>
    <w:p w14:paraId="5601D3F6">
      <w:pPr>
        <w:pStyle w:val="18"/>
        <w:spacing w:line="240" w:lineRule="auto"/>
        <w:ind w:left="0" w:leftChars="0" w:firstLine="0" w:firstLineChars="0"/>
        <w:jc w:val="center"/>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object>
          <v:shape id="_x0000_i1027" o:spt="75" type="#_x0000_t75" style="height:111.6pt;width:386.4pt;" o:ole="t" filled="f" o:preferrelative="t" stroked="f" coordsize="21600,21600">
            <v:path/>
            <v:fill on="f" focussize="0,0"/>
            <v:stroke on="f"/>
            <v:imagedata r:id="rId41" o:title=""/>
            <o:lock v:ext="edit" aspectratio="f"/>
            <w10:wrap type="none"/>
            <w10:anchorlock/>
          </v:shape>
          <o:OLEObject Type="Embed" ProgID="Visio.Drawing.15" ShapeID="_x0000_i1027" DrawAspect="Content" ObjectID="_1468075727" r:id="rId40">
            <o:LockedField>false</o:LockedField>
          </o:OLEObject>
        </w:object>
      </w:r>
    </w:p>
    <w:p w14:paraId="215AD548">
      <w:pPr>
        <w:snapToGrid w:val="0"/>
        <w:spacing w:line="480" w:lineRule="exact"/>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图3.2</w:t>
      </w:r>
      <w:r>
        <w:rPr>
          <w:rFonts w:hint="eastAsia"/>
          <w:b/>
          <w:color w:val="000000" w:themeColor="text1"/>
          <w:sz w:val="24"/>
          <w:szCs w:val="24"/>
          <w14:textFill>
            <w14:solidFill>
              <w14:schemeClr w14:val="tx1"/>
            </w14:solidFill>
          </w14:textFill>
        </w:rPr>
        <w:t>-</w:t>
      </w:r>
      <w:r>
        <w:rPr>
          <w:rFonts w:hint="eastAsia"/>
          <w:b/>
          <w:color w:val="000000" w:themeColor="text1"/>
          <w:sz w:val="24"/>
          <w:szCs w:val="24"/>
          <w:lang w:val="en-US" w:eastAsia="zh-CN"/>
          <w14:textFill>
            <w14:solidFill>
              <w14:schemeClr w14:val="tx1"/>
            </w14:solidFill>
          </w14:textFill>
        </w:rPr>
        <w:t>4</w:t>
      </w:r>
      <w:r>
        <w:rPr>
          <w:rFonts w:hint="eastAsia"/>
          <w:b/>
          <w:color w:val="000000" w:themeColor="text1"/>
          <w:sz w:val="24"/>
          <w:szCs w:val="24"/>
          <w14:textFill>
            <w14:solidFill>
              <w14:schemeClr w14:val="tx1"/>
            </w14:solidFill>
          </w14:textFill>
        </w:rPr>
        <w:t xml:space="preserve">    本项目开采运营过程物料平衡图</w:t>
      </w:r>
    </w:p>
    <w:p w14:paraId="00DF4E85">
      <w:pPr>
        <w:pStyle w:val="4"/>
        <w:spacing w:before="60" w:after="60" w:line="480" w:lineRule="exact"/>
        <w:rPr>
          <w:color w:val="000000" w:themeColor="text1"/>
          <w:kern w:val="2"/>
          <w14:textFill>
            <w14:solidFill>
              <w14:schemeClr w14:val="tx1"/>
            </w14:solidFill>
          </w14:textFill>
        </w:rPr>
      </w:pPr>
      <w:bookmarkStart w:id="295" w:name="_Toc32474"/>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.5公用工程</w:t>
      </w:r>
      <w:bookmarkEnd w:id="295"/>
    </w:p>
    <w:p w14:paraId="37C75D16">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.5.1供电</w:t>
      </w:r>
    </w:p>
    <w:p w14:paraId="3187BC51">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矿山供电电源来自哈密市雅满苏变电所及35kV输电线路。矿山目前在地表有6台1250kVA变压器，分别布置在原有箕斗竖井井口、原有罐笼竖井井口以及选矿厂主厂房附近的变配电室内，变压器出口电压0.4kV。</w:t>
      </w:r>
    </w:p>
    <w:p w14:paraId="5BBE80C2">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.5.2</w:t>
      </w:r>
      <w:r>
        <w:rPr>
          <w:rFonts w:hint="eastAsia"/>
          <w:color w:val="000000" w:themeColor="text1"/>
          <w14:textFill>
            <w14:solidFill>
              <w14:schemeClr w14:val="tx1"/>
            </w14:solidFill>
          </w14:textFill>
        </w:rPr>
        <w:t>供水</w:t>
      </w:r>
    </w:p>
    <w:p w14:paraId="67C1192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（1）水源</w:t>
      </w:r>
    </w:p>
    <w:p w14:paraId="6313E495">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矿山生活用水从雅满苏镇拉运解决。在罐笼竖井的井口旁设一个200m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生产用高位水池，以满足消防用水及井下生产用水，水源为矿井涌水。</w:t>
      </w:r>
    </w:p>
    <w:p w14:paraId="56BF390E">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生产、消防给水管道设室外地下式消火栓，消防时由生产、消防高位水池供水，可以满足消防用水量和水压要求。</w:t>
      </w:r>
    </w:p>
    <w:p w14:paraId="42D4E55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（2）用水量</w:t>
      </w:r>
    </w:p>
    <w:p w14:paraId="4D4AA41F">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矿山用水环节包括生产用水、生活用水、锅炉房补水、绿化用水、未预见水量、消防用水（不与生产、生活用水叠加）等。</w:t>
      </w:r>
    </w:p>
    <w:p w14:paraId="13DB2449">
      <w:pPr>
        <w:pStyle w:val="18"/>
        <w:spacing w:line="480" w:lineRule="exact"/>
        <w:ind w:firstLine="480"/>
        <w:rPr>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①</w:t>
      </w:r>
      <w:r>
        <w:rPr>
          <w:rFonts w:hint="eastAsia"/>
          <w:color w:val="000000" w:themeColor="text1"/>
          <w:sz w:val="24"/>
          <w:lang w:bidi="ar"/>
          <w14:textFill>
            <w14:solidFill>
              <w14:schemeClr w14:val="tx1"/>
            </w14:solidFill>
          </w14:textFill>
        </w:rPr>
        <w:t>生产用水</w:t>
      </w:r>
    </w:p>
    <w:p w14:paraId="1C132952">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根据本项目开发利用方案，井下生产用水量</w:t>
      </w:r>
      <w:r>
        <w:rPr>
          <w:color w:val="000000" w:themeColor="text1"/>
          <w:sz w:val="24"/>
          <w:lang w:bidi="ar"/>
          <w14:textFill>
            <w14:solidFill>
              <w14:schemeClr w14:val="tx1"/>
            </w14:solidFill>
          </w14:textFill>
        </w:rPr>
        <w:t>960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color w:val="000000" w:themeColor="text1"/>
          <w:sz w:val="24"/>
          <w:lang w:bidi="ar"/>
          <w14:textFill>
            <w14:solidFill>
              <w14:schemeClr w14:val="tx1"/>
            </w14:solidFill>
          </w14:textFill>
        </w:rPr>
        <w:t>240</w:t>
      </w:r>
      <w:r>
        <w:rPr>
          <w:rFonts w:hint="eastAsia"/>
          <w:color w:val="000000" w:themeColor="text1"/>
          <w:sz w:val="24"/>
          <w:lang w:bidi="ar"/>
          <w14:textFill>
            <w14:solidFill>
              <w14:schemeClr w14:val="tx1"/>
            </w14:solidFill>
          </w14:textFill>
        </w:rPr>
        <w:t>000</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/a</w:t>
      </w:r>
      <w:r>
        <w:rPr>
          <w:rFonts w:hint="eastAsia"/>
          <w:color w:val="000000" w:themeColor="text1"/>
          <w:sz w:val="24"/>
          <w:lang w:bidi="ar"/>
          <w14:textFill>
            <w14:solidFill>
              <w14:schemeClr w14:val="tx1"/>
            </w14:solidFill>
          </w14:textFill>
        </w:rPr>
        <w:t>）</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用于湿式凿岩、喷雾洒水</w:t>
      </w:r>
      <w:r>
        <w:rPr>
          <w:rFonts w:hint="eastAsia"/>
          <w:color w:val="000000" w:themeColor="text1"/>
          <w:sz w:val="24"/>
          <w:lang w:bidi="ar"/>
          <w14:textFill>
            <w14:solidFill>
              <w14:schemeClr w14:val="tx1"/>
            </w14:solidFill>
          </w14:textFill>
        </w:rPr>
        <w:t>。井下用水部分由地表高位水池供到井下各中段生产作业点，供水压力为0.4～0.</w:t>
      </w:r>
      <w:r>
        <w:rPr>
          <w:color w:val="000000" w:themeColor="text1"/>
          <w:sz w:val="24"/>
          <w:lang w:bidi="ar"/>
          <w14:textFill>
            <w14:solidFill>
              <w14:schemeClr w14:val="tx1"/>
            </w14:solidFill>
          </w14:textFill>
        </w:rPr>
        <w:t>6</w:t>
      </w:r>
      <w:r>
        <w:rPr>
          <w:rFonts w:hint="eastAsia"/>
          <w:color w:val="000000" w:themeColor="text1"/>
          <w:sz w:val="24"/>
          <w:lang w:bidi="ar"/>
          <w14:textFill>
            <w14:solidFill>
              <w14:schemeClr w14:val="tx1"/>
            </w14:solidFill>
          </w14:textFill>
        </w:rPr>
        <w:t>MPa。井下用水通过无缝钢管送到井下各中段，在各中段通过减压阀减压后，再通过无缝钢管送到中段生产作业点。</w:t>
      </w:r>
    </w:p>
    <w:p w14:paraId="24985604">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②生活用水</w:t>
      </w:r>
    </w:p>
    <w:p w14:paraId="5BB9DA64">
      <w:pPr>
        <w:pStyle w:val="18"/>
        <w:spacing w:line="480" w:lineRule="exact"/>
        <w:ind w:firstLine="480"/>
        <w:rPr>
          <w:rFonts w:hint="eastAsia"/>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采矿劳动定员</w:t>
      </w:r>
      <w:r>
        <w:rPr>
          <w:rFonts w:hint="eastAsia"/>
          <w:color w:val="000000" w:themeColor="text1"/>
          <w:sz w:val="24"/>
          <w:lang w:val="en-US" w:eastAsia="zh-CN" w:bidi="ar"/>
          <w14:textFill>
            <w14:solidFill>
              <w14:schemeClr w14:val="tx1"/>
            </w14:solidFill>
          </w14:textFill>
        </w:rPr>
        <w:t>80</w:t>
      </w:r>
      <w:r>
        <w:rPr>
          <w:rFonts w:hint="eastAsia"/>
          <w:color w:val="000000" w:themeColor="text1"/>
          <w:sz w:val="24"/>
          <w:lang w:bidi="ar"/>
          <w14:textFill>
            <w14:solidFill>
              <w14:schemeClr w14:val="tx1"/>
            </w14:solidFill>
          </w14:textFill>
        </w:rPr>
        <w:t>人，</w:t>
      </w:r>
      <w:r>
        <w:rPr>
          <w:color w:val="000000" w:themeColor="text1"/>
          <w:sz w:val="24"/>
          <w:lang w:bidi="ar"/>
          <w14:textFill>
            <w14:solidFill>
              <w14:schemeClr w14:val="tx1"/>
            </w14:solidFill>
          </w14:textFill>
        </w:rPr>
        <w:t>办公生活用水按</w:t>
      </w:r>
      <w:r>
        <w:rPr>
          <w:rFonts w:hint="eastAsia"/>
          <w:color w:val="000000" w:themeColor="text1"/>
          <w:sz w:val="24"/>
          <w:lang w:bidi="ar"/>
          <w14:textFill>
            <w14:solidFill>
              <w14:schemeClr w14:val="tx1"/>
            </w14:solidFill>
          </w14:textFill>
        </w:rPr>
        <w:t>100</w:t>
      </w:r>
      <w:r>
        <w:rPr>
          <w:color w:val="000000" w:themeColor="text1"/>
          <w:sz w:val="24"/>
          <w:lang w:bidi="ar"/>
          <w14:textFill>
            <w14:solidFill>
              <w14:schemeClr w14:val="tx1"/>
            </w14:solidFill>
          </w14:textFill>
        </w:rPr>
        <w:t>L/人·d计，</w:t>
      </w:r>
      <w:r>
        <w:rPr>
          <w:rFonts w:hint="eastAsia"/>
          <w:color w:val="000000" w:themeColor="text1"/>
          <w:sz w:val="24"/>
          <w:lang w:bidi="ar"/>
          <w14:textFill>
            <w14:solidFill>
              <w14:schemeClr w14:val="tx1"/>
            </w14:solidFill>
          </w14:textFill>
        </w:rPr>
        <w:t>则</w:t>
      </w:r>
      <w:r>
        <w:rPr>
          <w:rFonts w:hint="eastAsia"/>
          <w:color w:val="000000" w:themeColor="text1"/>
          <w:sz w:val="24"/>
          <w:lang w:val="en-US" w:eastAsia="zh-CN" w:bidi="ar"/>
          <w14:textFill>
            <w14:solidFill>
              <w14:schemeClr w14:val="tx1"/>
            </w14:solidFill>
          </w14:textFill>
        </w:rPr>
        <w:t>生产期</w:t>
      </w:r>
      <w:r>
        <w:rPr>
          <w:rFonts w:hint="eastAsia"/>
          <w:color w:val="000000" w:themeColor="text1"/>
          <w:sz w:val="24"/>
          <w:lang w:bidi="ar"/>
          <w14:textFill>
            <w14:solidFill>
              <w14:schemeClr w14:val="tx1"/>
            </w14:solidFill>
          </w14:textFill>
        </w:rPr>
        <w:t>采矿职工生活用水量为</w:t>
      </w:r>
      <w:r>
        <w:rPr>
          <w:rFonts w:hint="eastAsia"/>
          <w:color w:val="000000" w:themeColor="text1"/>
          <w:sz w:val="24"/>
          <w:lang w:val="en-US" w:eastAsia="zh-CN" w:bidi="ar"/>
          <w14:textFill>
            <w14:solidFill>
              <w14:schemeClr w14:val="tx1"/>
            </w14:solidFill>
          </w14:textFill>
        </w:rPr>
        <w:t>8.0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2200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p>
    <w:p w14:paraId="75BD14DA">
      <w:pPr>
        <w:pStyle w:val="18"/>
        <w:spacing w:line="480" w:lineRule="exact"/>
        <w:ind w:firstLine="480"/>
        <w:rPr>
          <w:rFonts w:hint="eastAsia" w:ascii="Times New Roman" w:hAnsi="Times New Roman" w:eastAsia="宋体" w:cs="Times New Roman"/>
          <w:color w:val="000000" w:themeColor="text1"/>
          <w:sz w:val="24"/>
          <w:lang w:val="en-US" w:eastAsia="zh-CN" w:bidi="ar"/>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冬季停产期，</w:t>
      </w:r>
      <w:r>
        <w:rPr>
          <w:rFonts w:hint="eastAsia" w:eastAsia="宋体"/>
          <w:color w:val="000000" w:themeColor="text1"/>
          <w:sz w:val="24"/>
          <w:lang w:val="en-US" w:eastAsia="zh-CN" w:bidi="ar"/>
          <w14:textFill>
            <w14:solidFill>
              <w14:schemeClr w14:val="tx1"/>
            </w14:solidFill>
          </w14:textFill>
        </w:rPr>
        <w:t>矿山</w:t>
      </w:r>
      <w:r>
        <w:rPr>
          <w:rFonts w:hint="eastAsia"/>
          <w:color w:val="000000" w:themeColor="text1"/>
          <w:sz w:val="24"/>
          <w:lang w:val="en-US" w:eastAsia="zh-CN" w:bidi="ar"/>
          <w14:textFill>
            <w14:solidFill>
              <w14:schemeClr w14:val="tx1"/>
            </w14:solidFill>
          </w14:textFill>
        </w:rPr>
        <w:t>仅10人值守，</w:t>
      </w:r>
      <w:r>
        <w:rPr>
          <w:rFonts w:hint="eastAsia"/>
          <w:color w:val="000000" w:themeColor="text1"/>
          <w:sz w:val="24"/>
          <w:lang w:bidi="ar"/>
          <w14:textFill>
            <w14:solidFill>
              <w14:schemeClr w14:val="tx1"/>
            </w14:solidFill>
          </w14:textFill>
        </w:rPr>
        <w:t>生活用水量为</w:t>
      </w:r>
      <w:r>
        <w:rPr>
          <w:rFonts w:hint="eastAsia"/>
          <w:color w:val="000000" w:themeColor="text1"/>
          <w:sz w:val="24"/>
          <w:lang w:val="en-US" w:eastAsia="zh-CN" w:bidi="ar"/>
          <w14:textFill>
            <w14:solidFill>
              <w14:schemeClr w14:val="tx1"/>
            </w14:solidFill>
          </w14:textFill>
        </w:rPr>
        <w:t>1.0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90m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p>
    <w:p w14:paraId="550A1734">
      <w:pPr>
        <w:pStyle w:val="18"/>
        <w:spacing w:line="480" w:lineRule="exact"/>
        <w:ind w:firstLine="480"/>
        <w:rPr>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③</w:t>
      </w:r>
      <w:r>
        <w:rPr>
          <w:rFonts w:hint="eastAsia"/>
          <w:color w:val="000000" w:themeColor="text1"/>
          <w:sz w:val="24"/>
          <w:lang w:bidi="ar"/>
          <w14:textFill>
            <w14:solidFill>
              <w14:schemeClr w14:val="tx1"/>
            </w14:solidFill>
          </w14:textFill>
        </w:rPr>
        <w:t>锅炉房补水</w:t>
      </w:r>
    </w:p>
    <w:p w14:paraId="37014EAB">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本项目采用电锅炉供热，锅炉补水量约</w:t>
      </w:r>
      <w:r>
        <w:rPr>
          <w:color w:val="000000" w:themeColor="text1"/>
          <w:sz w:val="24"/>
          <w:lang w:bidi="ar"/>
          <w14:textFill>
            <w14:solidFill>
              <w14:schemeClr w14:val="tx1"/>
            </w14:solidFill>
          </w14:textFill>
        </w:rPr>
        <w:t>4.8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snapToGrid w:val="0"/>
          <w:color w:val="000000" w:themeColor="text1"/>
          <w:sz w:val="24"/>
          <w14:textFill>
            <w14:solidFill>
              <w14:schemeClr w14:val="tx1"/>
            </w14:solidFill>
          </w14:textFill>
        </w:rPr>
        <w:t>1200m</w:t>
      </w:r>
      <w:r>
        <w:rPr>
          <w:snapToGrid w:val="0"/>
          <w:color w:val="000000" w:themeColor="text1"/>
          <w:sz w:val="24"/>
          <w:vertAlign w:val="superscript"/>
          <w14:textFill>
            <w14:solidFill>
              <w14:schemeClr w14:val="tx1"/>
            </w14:solidFill>
          </w14:textFill>
        </w:rPr>
        <w:t>3</w:t>
      </w:r>
      <w:r>
        <w:rPr>
          <w:snapToGrid w:val="0"/>
          <w:color w:val="000000" w:themeColor="text1"/>
          <w:sz w:val="24"/>
          <w14:textFill>
            <w14:solidFill>
              <w14:schemeClr w14:val="tx1"/>
            </w14:solidFill>
          </w14:textFill>
        </w:rPr>
        <w:t>/a</w:t>
      </w:r>
      <w:r>
        <w:rPr>
          <w:rFonts w:hint="eastAsia"/>
          <w:color w:val="000000" w:themeColor="text1"/>
          <w:sz w:val="24"/>
          <w:lang w:bidi="ar"/>
          <w14:textFill>
            <w14:solidFill>
              <w14:schemeClr w14:val="tx1"/>
            </w14:solidFill>
          </w14:textFill>
        </w:rPr>
        <w:t>），锅炉补水采用新鲜水。</w:t>
      </w:r>
    </w:p>
    <w:p w14:paraId="31223393">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④绿化用水</w:t>
      </w:r>
    </w:p>
    <w:p w14:paraId="052F5A35">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本项目建成后，矿山绿化面积约</w:t>
      </w:r>
      <w:r>
        <w:rPr>
          <w:color w:val="000000" w:themeColor="text1"/>
          <w:sz w:val="24"/>
          <w:lang w:bidi="ar"/>
          <w14:textFill>
            <w14:solidFill>
              <w14:schemeClr w14:val="tx1"/>
            </w14:solidFill>
          </w14:textFill>
        </w:rPr>
        <w:t>0.6</w:t>
      </w:r>
      <w:r>
        <w:rPr>
          <w:rFonts w:hint="eastAsia"/>
          <w:color w:val="000000" w:themeColor="text1"/>
          <w:sz w:val="24"/>
          <w:lang w:bidi="ar"/>
          <w14:textFill>
            <w14:solidFill>
              <w14:schemeClr w14:val="tx1"/>
            </w14:solidFill>
          </w14:textFill>
        </w:rPr>
        <w:t>hm</w:t>
      </w:r>
      <w:r>
        <w:rPr>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。根据本项目开发利用方案，本项目绿化用水</w:t>
      </w:r>
      <w:r>
        <w:rPr>
          <w:rFonts w:hint="eastAsia"/>
          <w:color w:val="000000" w:themeColor="text1"/>
          <w:sz w:val="24"/>
          <w:szCs w:val="28"/>
          <w14:textFill>
            <w14:solidFill>
              <w14:schemeClr w14:val="tx1"/>
            </w14:solidFill>
          </w14:textFill>
        </w:rPr>
        <w:t>量为</w:t>
      </w:r>
      <w:r>
        <w:rPr>
          <w:color w:val="000000" w:themeColor="text1"/>
          <w:sz w:val="24"/>
          <w:szCs w:val="28"/>
          <w14:textFill>
            <w14:solidFill>
              <w14:schemeClr w14:val="tx1"/>
            </w14:solidFill>
          </w14:textFill>
        </w:rPr>
        <w:t>20</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w:t>
      </w:r>
      <w:r>
        <w:rPr>
          <w:color w:val="000000" w:themeColor="text1"/>
          <w:sz w:val="24"/>
          <w:szCs w:val="28"/>
          <w14:textFill>
            <w14:solidFill>
              <w14:schemeClr w14:val="tx1"/>
            </w14:solidFill>
          </w14:textFill>
        </w:rPr>
        <w:t>3000</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/a，仅灌溉期1</w:t>
      </w:r>
      <w:r>
        <w:rPr>
          <w:color w:val="000000" w:themeColor="text1"/>
          <w:sz w:val="24"/>
          <w:szCs w:val="28"/>
          <w14:textFill>
            <w14:solidFill>
              <w14:schemeClr w14:val="tx1"/>
            </w14:solidFill>
          </w14:textFill>
        </w:rPr>
        <w:t>50</w:t>
      </w:r>
      <w:r>
        <w:rPr>
          <w:rFonts w:hint="eastAsia"/>
          <w:color w:val="000000" w:themeColor="text1"/>
          <w:sz w:val="24"/>
          <w:szCs w:val="28"/>
          <w14:textFill>
            <w14:solidFill>
              <w14:schemeClr w14:val="tx1"/>
            </w14:solidFill>
          </w14:textFill>
        </w:rPr>
        <w:t>d，回水水质）。</w:t>
      </w:r>
    </w:p>
    <w:p w14:paraId="646E2EF8">
      <w:pPr>
        <w:pStyle w:val="18"/>
        <w:spacing w:line="480" w:lineRule="exact"/>
        <w:ind w:firstLine="480"/>
        <w:rPr>
          <w:rFonts w:hint="default" w:eastAsia="宋体"/>
          <w:color w:val="000000" w:themeColor="text1"/>
          <w:sz w:val="24"/>
          <w:lang w:val="en-US" w:eastAsia="zh-CN" w:bidi="ar"/>
          <w14:textFill>
            <w14:solidFill>
              <w14:schemeClr w14:val="tx1"/>
            </w14:solidFill>
          </w14:textFill>
        </w:rPr>
      </w:pPr>
      <w:r>
        <w:rPr>
          <w:rFonts w:hint="eastAsia"/>
          <w:color w:val="000000" w:themeColor="text1"/>
          <w:sz w:val="24"/>
          <w:lang w:bidi="ar"/>
          <w14:textFill>
            <w14:solidFill>
              <w14:schemeClr w14:val="tx1"/>
            </w14:solidFill>
          </w14:textFill>
        </w:rPr>
        <w:t>⑤废石堆场及道路洒水降尘</w:t>
      </w:r>
    </w:p>
    <w:p w14:paraId="64095199">
      <w:pPr>
        <w:pStyle w:val="18"/>
        <w:spacing w:line="480" w:lineRule="exact"/>
        <w:ind w:firstLine="480"/>
        <w:rPr>
          <w:rFonts w:hint="eastAsia" w:eastAsia="宋体"/>
          <w:color w:val="000000" w:themeColor="text1"/>
          <w:sz w:val="24"/>
          <w:lang w:val="en-US" w:eastAsia="zh-CN" w:bidi="ar"/>
          <w14:textFill>
            <w14:solidFill>
              <w14:schemeClr w14:val="tx1"/>
            </w14:solidFill>
          </w14:textFill>
        </w:rPr>
      </w:pPr>
      <w:r>
        <w:rPr>
          <w:rFonts w:hint="eastAsia"/>
          <w:color w:val="000000" w:themeColor="text1"/>
          <w:sz w:val="24"/>
          <w:lang w:bidi="ar"/>
          <w14:textFill>
            <w14:solidFill>
              <w14:schemeClr w14:val="tx1"/>
            </w14:solidFill>
          </w14:textFill>
        </w:rPr>
        <w:t>本项目废石堆场及道路降尘洒水定额按1.0～1.5L/m</w:t>
      </w:r>
      <w:r>
        <w:rPr>
          <w:rFonts w:hint="eastAsia"/>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·次计，每天两次，</w:t>
      </w:r>
      <w:r>
        <w:rPr>
          <w:rFonts w:hint="eastAsia"/>
          <w:color w:val="000000" w:themeColor="text1"/>
          <w:sz w:val="24"/>
          <w:lang w:val="en-US" w:eastAsia="zh-CN" w:bidi="ar"/>
          <w14:textFill>
            <w14:solidFill>
              <w14:schemeClr w14:val="tx1"/>
            </w14:solidFill>
          </w14:textFill>
        </w:rPr>
        <w:t>1号</w:t>
      </w:r>
      <w:r>
        <w:rPr>
          <w:rFonts w:hint="eastAsia"/>
          <w:color w:val="000000" w:themeColor="text1"/>
          <w:sz w:val="24"/>
          <w:lang w:bidi="ar"/>
          <w14:textFill>
            <w14:solidFill>
              <w14:schemeClr w14:val="tx1"/>
            </w14:solidFill>
          </w14:textFill>
        </w:rPr>
        <w:t>废石堆场面积为</w:t>
      </w:r>
      <w:r>
        <w:rPr>
          <w:rFonts w:hint="eastAsia"/>
          <w:color w:val="000000" w:themeColor="text1"/>
          <w:sz w:val="24"/>
          <w:lang w:val="en-US" w:eastAsia="zh-CN" w:bidi="ar"/>
          <w14:textFill>
            <w14:solidFill>
              <w14:schemeClr w14:val="tx1"/>
            </w14:solidFill>
          </w14:textFill>
        </w:rPr>
        <w:t>3.12</w:t>
      </w:r>
      <w:r>
        <w:rPr>
          <w:rFonts w:hint="eastAsia"/>
          <w:color w:val="000000" w:themeColor="text1"/>
          <w:sz w:val="24"/>
          <w:lang w:bidi="ar"/>
          <w14:textFill>
            <w14:solidFill>
              <w14:schemeClr w14:val="tx1"/>
            </w14:solidFill>
          </w14:textFill>
        </w:rPr>
        <w:t>hm</w:t>
      </w:r>
      <w:r>
        <w:rPr>
          <w:rFonts w:hint="eastAsia"/>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，抑尘用水量为</w:t>
      </w:r>
      <w:r>
        <w:rPr>
          <w:rFonts w:hint="eastAsia"/>
          <w:color w:val="000000" w:themeColor="text1"/>
          <w:sz w:val="24"/>
          <w:lang w:val="en-US" w:eastAsia="zh-CN" w:bidi="ar"/>
          <w14:textFill>
            <w14:solidFill>
              <w14:schemeClr w14:val="tx1"/>
            </w14:solidFill>
          </w14:textFill>
        </w:rPr>
        <w:t>62.4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15600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val="en-US" w:eastAsia="zh-CN" w:bidi="ar"/>
          <w14:textFill>
            <w14:solidFill>
              <w14:schemeClr w14:val="tx1"/>
            </w14:solidFill>
          </w14:textFill>
        </w:rPr>
        <w:t>2号</w:t>
      </w:r>
      <w:r>
        <w:rPr>
          <w:rFonts w:hint="eastAsia"/>
          <w:color w:val="000000" w:themeColor="text1"/>
          <w:sz w:val="24"/>
          <w:lang w:bidi="ar"/>
          <w14:textFill>
            <w14:solidFill>
              <w14:schemeClr w14:val="tx1"/>
            </w14:solidFill>
          </w14:textFill>
        </w:rPr>
        <w:t>废石堆场面积为</w:t>
      </w:r>
      <w:r>
        <w:rPr>
          <w:rFonts w:hint="eastAsia"/>
          <w:color w:val="000000" w:themeColor="text1"/>
          <w:sz w:val="24"/>
          <w:lang w:val="en-US" w:eastAsia="zh-CN" w:bidi="ar"/>
          <w14:textFill>
            <w14:solidFill>
              <w14:schemeClr w14:val="tx1"/>
            </w14:solidFill>
          </w14:textFill>
        </w:rPr>
        <w:t>2.24</w:t>
      </w:r>
      <w:r>
        <w:rPr>
          <w:rFonts w:hint="eastAsia"/>
          <w:color w:val="000000" w:themeColor="text1"/>
          <w:sz w:val="24"/>
          <w:lang w:bidi="ar"/>
          <w14:textFill>
            <w14:solidFill>
              <w14:schemeClr w14:val="tx1"/>
            </w14:solidFill>
          </w14:textFill>
        </w:rPr>
        <w:t>hm</w:t>
      </w:r>
      <w:r>
        <w:rPr>
          <w:rFonts w:hint="eastAsia"/>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，抑尘用水量为</w:t>
      </w:r>
      <w:r>
        <w:rPr>
          <w:rFonts w:hint="eastAsia"/>
          <w:color w:val="000000" w:themeColor="text1"/>
          <w:sz w:val="24"/>
          <w:lang w:val="en-US" w:eastAsia="zh-CN" w:bidi="ar"/>
          <w14:textFill>
            <w14:solidFill>
              <w14:schemeClr w14:val="tx1"/>
            </w14:solidFill>
          </w14:textFill>
        </w:rPr>
        <w:t>44.8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11200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bidi="ar"/>
          <w14:textFill>
            <w14:solidFill>
              <w14:schemeClr w14:val="tx1"/>
            </w14:solidFill>
          </w14:textFill>
        </w:rPr>
        <w:t>矿区道路面积约2</w:t>
      </w:r>
      <w:r>
        <w:rPr>
          <w:color w:val="000000" w:themeColor="text1"/>
          <w:sz w:val="24"/>
          <w:lang w:bidi="ar"/>
          <w14:textFill>
            <w14:solidFill>
              <w14:schemeClr w14:val="tx1"/>
            </w14:solidFill>
          </w14:textFill>
        </w:rPr>
        <w:t>.02</w:t>
      </w:r>
      <w:r>
        <w:rPr>
          <w:rFonts w:hint="eastAsia"/>
          <w:color w:val="000000" w:themeColor="text1"/>
          <w:sz w:val="24"/>
          <w:lang w:bidi="ar"/>
          <w14:textFill>
            <w14:solidFill>
              <w14:schemeClr w14:val="tx1"/>
            </w14:solidFill>
          </w14:textFill>
        </w:rPr>
        <w:t>hm</w:t>
      </w:r>
      <w:r>
        <w:rPr>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w:t>
      </w:r>
      <w:r>
        <w:rPr>
          <w:rFonts w:hint="eastAsia"/>
          <w:color w:val="000000" w:themeColor="text1"/>
          <w:sz w:val="24"/>
          <w:lang w:eastAsia="zh-CN" w:bidi="ar"/>
          <w14:textFill>
            <w14:solidFill>
              <w14:schemeClr w14:val="tx1"/>
            </w14:solidFill>
          </w14:textFill>
        </w:rPr>
        <w:t>年洒水降尘</w:t>
      </w:r>
      <w:r>
        <w:rPr>
          <w:rFonts w:hint="eastAsia"/>
          <w:color w:val="000000" w:themeColor="text1"/>
          <w:sz w:val="24"/>
          <w:lang w:val="en-US" w:eastAsia="zh-CN" w:bidi="ar"/>
          <w14:textFill>
            <w14:solidFill>
              <w14:schemeClr w14:val="tx1"/>
            </w14:solidFill>
          </w14:textFill>
        </w:rPr>
        <w:t>180d，</w:t>
      </w:r>
      <w:r>
        <w:rPr>
          <w:rFonts w:hint="eastAsia"/>
          <w:color w:val="000000" w:themeColor="text1"/>
          <w:sz w:val="24"/>
          <w:lang w:bidi="ar"/>
          <w14:textFill>
            <w14:solidFill>
              <w14:schemeClr w14:val="tx1"/>
            </w14:solidFill>
          </w14:textFill>
        </w:rPr>
        <w:t>则道路抑尘用水量为</w:t>
      </w:r>
      <w:r>
        <w:rPr>
          <w:color w:val="000000" w:themeColor="text1"/>
          <w:sz w:val="24"/>
          <w:lang w:bidi="ar"/>
          <w14:textFill>
            <w14:solidFill>
              <w14:schemeClr w14:val="tx1"/>
            </w14:solidFill>
          </w14:textFill>
        </w:rPr>
        <w:t>40.4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color w:val="000000" w:themeColor="text1"/>
          <w:sz w:val="24"/>
          <w:lang w:bidi="ar"/>
          <w14:textFill>
            <w14:solidFill>
              <w14:schemeClr w14:val="tx1"/>
            </w14:solidFill>
          </w14:textFill>
        </w:rPr>
        <w:t>7272</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开采期第1年至第8年9个月，</w:t>
      </w:r>
      <w:r>
        <w:rPr>
          <w:rFonts w:hint="eastAsia"/>
          <w:color w:val="000000" w:themeColor="text1"/>
          <w:sz w:val="24"/>
          <w:lang w:bidi="ar"/>
          <w14:textFill>
            <w14:solidFill>
              <w14:schemeClr w14:val="tx1"/>
            </w14:solidFill>
          </w14:textFill>
        </w:rPr>
        <w:t>废石堆场及道路洒水降尘合计</w:t>
      </w:r>
      <w:r>
        <w:rPr>
          <w:rFonts w:hint="eastAsia"/>
          <w:color w:val="000000" w:themeColor="text1"/>
          <w:sz w:val="24"/>
          <w:lang w:val="en-US" w:eastAsia="zh-CN" w:bidi="ar"/>
          <w14:textFill>
            <w14:solidFill>
              <w14:schemeClr w14:val="tx1"/>
            </w14:solidFill>
          </w14:textFill>
        </w:rPr>
        <w:t>用水量102.8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22872</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开采期第8年10个月至开采期结束，</w:t>
      </w:r>
      <w:r>
        <w:rPr>
          <w:rFonts w:hint="eastAsia"/>
          <w:color w:val="000000" w:themeColor="text1"/>
          <w:sz w:val="24"/>
          <w:lang w:bidi="ar"/>
          <w14:textFill>
            <w14:solidFill>
              <w14:schemeClr w14:val="tx1"/>
            </w14:solidFill>
          </w14:textFill>
        </w:rPr>
        <w:t>废石堆场及道路洒水降尘合计</w:t>
      </w:r>
      <w:r>
        <w:rPr>
          <w:rFonts w:hint="eastAsia"/>
          <w:color w:val="000000" w:themeColor="text1"/>
          <w:sz w:val="24"/>
          <w:lang w:val="en-US" w:eastAsia="zh-CN" w:bidi="ar"/>
          <w14:textFill>
            <w14:solidFill>
              <w14:schemeClr w14:val="tx1"/>
            </w14:solidFill>
          </w14:textFill>
        </w:rPr>
        <w:t>用水量85.2</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18472</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p>
    <w:p w14:paraId="6DA4CC57">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此外，消防用水储藏于生产、消防高位水池中，储水容积200m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。生产、消防给水管道设室外地下式消火栓，消防时由生产、消防高位水池供水，可以满足消防用水量和水压要求。</w:t>
      </w:r>
    </w:p>
    <w:p w14:paraId="3F7996E9">
      <w:pPr>
        <w:pStyle w:val="18"/>
        <w:spacing w:line="480" w:lineRule="exact"/>
        <w:ind w:firstLine="480"/>
        <w:rPr>
          <w:rFonts w:hint="eastAsia"/>
          <w:color w:val="000000" w:themeColor="text1"/>
          <w:sz w:val="24"/>
          <w:lang w:bidi="ar"/>
          <w14:textFill>
            <w14:solidFill>
              <w14:schemeClr w14:val="tx1"/>
            </w14:solidFill>
          </w14:textFill>
        </w:rPr>
      </w:pPr>
      <w:r>
        <w:rPr>
          <w:rFonts w:hint="eastAsia"/>
          <w:color w:val="000000" w:themeColor="text1"/>
          <w:sz w:val="24"/>
          <w:lang w:eastAsia="zh-CN" w:bidi="ar"/>
          <w14:textFill>
            <w14:solidFill>
              <w14:schemeClr w14:val="tx1"/>
            </w14:solidFill>
          </w14:textFill>
        </w:rPr>
        <w:t>综上，</w:t>
      </w:r>
      <w:r>
        <w:rPr>
          <w:rFonts w:hint="eastAsia"/>
          <w:color w:val="000000" w:themeColor="text1"/>
          <w:sz w:val="24"/>
          <w:lang w:bidi="ar"/>
          <w14:textFill>
            <w14:solidFill>
              <w14:schemeClr w14:val="tx1"/>
            </w14:solidFill>
          </w14:textFill>
        </w:rPr>
        <w:t>本项目</w:t>
      </w:r>
      <w:r>
        <w:rPr>
          <w:rFonts w:hint="eastAsia"/>
          <w:color w:val="000000" w:themeColor="text1"/>
          <w:sz w:val="24"/>
          <w:lang w:val="en-US" w:eastAsia="zh-CN" w:bidi="ar"/>
          <w14:textFill>
            <w14:solidFill>
              <w14:schemeClr w14:val="tx1"/>
            </w14:solidFill>
          </w14:textFill>
        </w:rPr>
        <w:t>开采期第1年至第8年9个月</w:t>
      </w:r>
      <w:r>
        <w:rPr>
          <w:rFonts w:hint="eastAsia"/>
          <w:color w:val="000000" w:themeColor="text1"/>
          <w:sz w:val="24"/>
          <w:szCs w:val="28"/>
          <w14:textFill>
            <w14:solidFill>
              <w14:schemeClr w14:val="tx1"/>
            </w14:solidFill>
          </w14:textFill>
        </w:rPr>
        <w:t>总用水量为</w:t>
      </w:r>
      <w:r>
        <w:rPr>
          <w:color w:val="000000" w:themeColor="text1"/>
          <w:sz w:val="24"/>
          <w:szCs w:val="28"/>
          <w14:textFill>
            <w14:solidFill>
              <w14:schemeClr w14:val="tx1"/>
            </w14:solidFill>
          </w14:textFill>
        </w:rPr>
        <w:t>10</w:t>
      </w:r>
      <w:r>
        <w:rPr>
          <w:rFonts w:hint="eastAsia"/>
          <w:color w:val="000000" w:themeColor="text1"/>
          <w:sz w:val="24"/>
          <w:szCs w:val="28"/>
          <w:lang w:val="en-US" w:eastAsia="zh-CN"/>
          <w14:textFill>
            <w14:solidFill>
              <w14:schemeClr w14:val="tx1"/>
            </w14:solidFill>
          </w14:textFill>
        </w:rPr>
        <w:t>95.6</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开采期第8年10个月至开采期结束</w:t>
      </w:r>
      <w:r>
        <w:rPr>
          <w:rFonts w:hint="eastAsia"/>
          <w:color w:val="000000" w:themeColor="text1"/>
          <w:sz w:val="24"/>
          <w:szCs w:val="28"/>
          <w14:textFill>
            <w14:solidFill>
              <w14:schemeClr w14:val="tx1"/>
            </w14:solidFill>
          </w14:textFill>
        </w:rPr>
        <w:t>总用水量为</w:t>
      </w:r>
      <w:r>
        <w:rPr>
          <w:rFonts w:hint="eastAsia"/>
          <w:color w:val="000000" w:themeColor="text1"/>
          <w:sz w:val="24"/>
          <w:szCs w:val="28"/>
          <w:lang w:val="en-US" w:eastAsia="zh-CN"/>
          <w14:textFill>
            <w14:solidFill>
              <w14:schemeClr w14:val="tx1"/>
            </w14:solidFill>
          </w14:textFill>
        </w:rPr>
        <w:t>1078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p>
    <w:p w14:paraId="7A86AB58">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.5.3排水</w:t>
      </w:r>
    </w:p>
    <w:p w14:paraId="6E974BFA">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本项目废水主要为生产废水及少量生活污水。</w:t>
      </w:r>
    </w:p>
    <w:p w14:paraId="2F94F318">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w:t>
      </w:r>
      <w:r>
        <w:rPr>
          <w:rFonts w:hint="eastAsia"/>
          <w:color w:val="000000" w:themeColor="text1"/>
          <w:sz w:val="24"/>
          <w:szCs w:val="28"/>
          <w14:textFill>
            <w14:solidFill>
              <w14:schemeClr w14:val="tx1"/>
            </w14:solidFill>
          </w14:textFill>
        </w:rPr>
        <w:t>）</w:t>
      </w:r>
      <w:r>
        <w:rPr>
          <w:color w:val="000000" w:themeColor="text1"/>
          <w:sz w:val="24"/>
          <w:lang w:bidi="ar"/>
          <w14:textFill>
            <w14:solidFill>
              <w14:schemeClr w14:val="tx1"/>
            </w14:solidFill>
          </w14:textFill>
        </w:rPr>
        <w:t>生活污水</w:t>
      </w:r>
    </w:p>
    <w:p w14:paraId="67EA28D3">
      <w:pPr>
        <w:pStyle w:val="18"/>
        <w:spacing w:line="480" w:lineRule="exact"/>
        <w:ind w:firstLine="480"/>
        <w:rPr>
          <w:rFonts w:hint="eastAsia"/>
          <w:color w:val="000000" w:themeColor="text1"/>
          <w:sz w:val="24"/>
          <w:szCs w:val="28"/>
          <w14:textFill>
            <w14:solidFill>
              <w14:schemeClr w14:val="tx1"/>
            </w14:solidFill>
          </w14:textFill>
        </w:rPr>
      </w:pPr>
      <w:r>
        <w:rPr>
          <w:color w:val="000000" w:themeColor="text1"/>
          <w:sz w:val="24"/>
          <w:lang w:bidi="ar"/>
          <w14:textFill>
            <w14:solidFill>
              <w14:schemeClr w14:val="tx1"/>
            </w14:solidFill>
          </w14:textFill>
        </w:rPr>
        <w:t>生活污水产生量</w:t>
      </w:r>
      <w:r>
        <w:rPr>
          <w:rFonts w:hint="eastAsia"/>
          <w:color w:val="000000" w:themeColor="text1"/>
          <w:sz w:val="24"/>
          <w:lang w:bidi="ar"/>
          <w14:textFill>
            <w14:solidFill>
              <w14:schemeClr w14:val="tx1"/>
            </w14:solidFill>
          </w14:textFill>
        </w:rPr>
        <w:t>按</w:t>
      </w:r>
      <w:r>
        <w:rPr>
          <w:color w:val="000000" w:themeColor="text1"/>
          <w:sz w:val="24"/>
          <w:lang w:bidi="ar"/>
          <w14:textFill>
            <w14:solidFill>
              <w14:schemeClr w14:val="tx1"/>
            </w14:solidFill>
          </w14:textFill>
        </w:rPr>
        <w:t>用水量的80%</w:t>
      </w:r>
      <w:r>
        <w:rPr>
          <w:rFonts w:hint="eastAsia"/>
          <w:color w:val="000000" w:themeColor="text1"/>
          <w:sz w:val="24"/>
          <w:lang w:bidi="ar"/>
          <w14:textFill>
            <w14:solidFill>
              <w14:schemeClr w14:val="tx1"/>
            </w14:solidFill>
          </w14:textFill>
        </w:rPr>
        <w:t>计</w:t>
      </w:r>
      <w:r>
        <w:rPr>
          <w:color w:val="000000" w:themeColor="text1"/>
          <w:sz w:val="24"/>
          <w:lang w:bidi="ar"/>
          <w14:textFill>
            <w14:solidFill>
              <w14:schemeClr w14:val="tx1"/>
            </w14:solidFill>
          </w14:textFill>
        </w:rPr>
        <w:t>，</w:t>
      </w:r>
      <w:r>
        <w:rPr>
          <w:rFonts w:hint="eastAsia"/>
          <w:color w:val="000000" w:themeColor="text1"/>
          <w:sz w:val="24"/>
          <w:lang w:bidi="ar"/>
          <w14:textFill>
            <w14:solidFill>
              <w14:schemeClr w14:val="tx1"/>
            </w14:solidFill>
          </w14:textFill>
        </w:rPr>
        <w:t>则</w:t>
      </w:r>
      <w:r>
        <w:rPr>
          <w:rFonts w:hint="eastAsia"/>
          <w:color w:val="000000" w:themeColor="text1"/>
          <w:sz w:val="24"/>
          <w:lang w:val="en-US" w:eastAsia="zh-CN" w:bidi="ar"/>
          <w14:textFill>
            <w14:solidFill>
              <w14:schemeClr w14:val="tx1"/>
            </w14:solidFill>
          </w14:textFill>
        </w:rPr>
        <w:t>生产期</w:t>
      </w:r>
      <w:r>
        <w:rPr>
          <w:rFonts w:hint="eastAsia"/>
          <w:color w:val="000000" w:themeColor="text1"/>
          <w:sz w:val="24"/>
          <w:lang w:bidi="ar"/>
          <w14:textFill>
            <w14:solidFill>
              <w14:schemeClr w14:val="tx1"/>
            </w14:solidFill>
          </w14:textFill>
        </w:rPr>
        <w:t>生活污水产生量为</w:t>
      </w:r>
      <w:r>
        <w:rPr>
          <w:rFonts w:hint="eastAsia"/>
          <w:color w:val="000000" w:themeColor="text1"/>
          <w:sz w:val="24"/>
          <w:lang w:val="en-US" w:eastAsia="zh-CN" w:bidi="ar"/>
          <w14:textFill>
            <w14:solidFill>
              <w14:schemeClr w14:val="tx1"/>
            </w14:solidFill>
          </w14:textFill>
        </w:rPr>
        <w:t>6.4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1760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生活污水</w:t>
      </w:r>
      <w:r>
        <w:rPr>
          <w:rFonts w:hint="eastAsia"/>
          <w:color w:val="000000" w:themeColor="text1"/>
          <w:sz w:val="24"/>
          <w:lang w:bidi="ar"/>
          <w14:textFill>
            <w14:solidFill>
              <w14:schemeClr w14:val="tx1"/>
            </w14:solidFill>
          </w14:textFill>
        </w:rPr>
        <w:t>经矿山现有地埋式一体化污水处理设施处理后，灌溉期用于矿山绿化，不外排。在非灌溉期，</w:t>
      </w:r>
      <w:r>
        <w:rPr>
          <w:rFonts w:hint="eastAsia"/>
          <w:color w:val="000000" w:themeColor="text1"/>
          <w:sz w:val="24"/>
          <w:szCs w:val="28"/>
          <w14:textFill>
            <w14:solidFill>
              <w14:schemeClr w14:val="tx1"/>
            </w14:solidFill>
          </w14:textFill>
        </w:rPr>
        <w:t>生活污水输送至西成矿业选矿厂用于选矿生产。因西成矿业选矿厂选矿工艺为粗磨磁选-再磨再磁选工艺，</w:t>
      </w:r>
      <w:r>
        <w:rPr>
          <w:rFonts w:hint="eastAsia"/>
          <w:color w:val="000000" w:themeColor="text1"/>
          <w:sz w:val="24"/>
          <w:szCs w:val="28"/>
          <w:lang w:val="en-US" w:eastAsia="zh-CN"/>
          <w14:textFill>
            <w14:solidFill>
              <w14:schemeClr w14:val="tx1"/>
            </w14:solidFill>
          </w14:textFill>
        </w:rPr>
        <w:t>对生产用水水质无要求</w:t>
      </w: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水质澄清即可，</w:t>
      </w:r>
      <w:r>
        <w:rPr>
          <w:rFonts w:hint="eastAsia"/>
          <w:color w:val="000000" w:themeColor="text1"/>
          <w:sz w:val="24"/>
          <w:szCs w:val="28"/>
          <w14:textFill>
            <w14:solidFill>
              <w14:schemeClr w14:val="tx1"/>
            </w14:solidFill>
          </w14:textFill>
        </w:rPr>
        <w:t>因此本项目非灌溉期生活污水输送至西成矿业选矿厂用于选矿生产具备可行性。</w:t>
      </w:r>
    </w:p>
    <w:p w14:paraId="0D24FDB7">
      <w:pPr>
        <w:pStyle w:val="18"/>
        <w:spacing w:line="480" w:lineRule="exact"/>
        <w:ind w:firstLine="480"/>
        <w:rPr>
          <w:rFonts w:hint="eastAsia" w:ascii="Times New Roman" w:hAnsi="Times New Roman" w:eastAsia="宋体" w:cs="Times New Roman"/>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冬季停产期，矿山值守人员为10人，生活污水水量仅0.8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72m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p>
    <w:p w14:paraId="3B2C53AA">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2</w:t>
      </w:r>
      <w:r>
        <w:rPr>
          <w:rFonts w:hint="eastAsia"/>
          <w:color w:val="000000" w:themeColor="text1"/>
          <w:sz w:val="24"/>
          <w:szCs w:val="28"/>
          <w14:textFill>
            <w14:solidFill>
              <w14:schemeClr w14:val="tx1"/>
            </w14:solidFill>
          </w14:textFill>
        </w:rPr>
        <w:t>）生产废水</w:t>
      </w:r>
    </w:p>
    <w:p w14:paraId="2FAD0271">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本项目生产废水为矿井涌水。根据矿山水文地质资料，矿区900m标高正常涌水量1500m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/d，最大涌水量1600m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/d。设计在900m水泵硐室布置三台D80-50/84×8型水泵。单台水泵的排水量Q=80m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/h，水泵扬程H=400m，配带电动机功率N=165kW。一台工作，一台检修，一台备用。设计采用2台6565×6型潜水泵，将罐笼井筒淋水由井底水窝排到900m中段的水仓内，</w:t>
      </w:r>
      <w:r>
        <w:rPr>
          <w:rFonts w:hint="eastAsia"/>
          <w:color w:val="000000" w:themeColor="text1"/>
          <w:sz w:val="24"/>
          <w:szCs w:val="28"/>
          <w:lang w:val="en-US" w:eastAsia="zh-CN"/>
          <w14:textFill>
            <w14:solidFill>
              <w14:schemeClr w14:val="tx1"/>
            </w14:solidFill>
          </w14:textFill>
        </w:rPr>
        <w:t>设2个容积均为90m</w:t>
      </w:r>
      <w:r>
        <w:rPr>
          <w:rFonts w:hint="eastAsia"/>
          <w:color w:val="000000" w:themeColor="text1"/>
          <w:sz w:val="24"/>
          <w:szCs w:val="28"/>
          <w:vertAlign w:val="superscript"/>
          <w:lang w:val="en-US" w:eastAsia="zh-CN"/>
          <w14:textFill>
            <w14:solidFill>
              <w14:schemeClr w14:val="tx1"/>
            </w14:solidFill>
          </w14:textFill>
        </w:rPr>
        <w:t>3</w:t>
      </w:r>
      <w:r>
        <w:rPr>
          <w:rFonts w:hint="eastAsia"/>
          <w:color w:val="000000" w:themeColor="text1"/>
          <w:sz w:val="24"/>
          <w:szCs w:val="28"/>
          <w:lang w:val="en-US" w:eastAsia="zh-CN"/>
          <w14:textFill>
            <w14:solidFill>
              <w14:schemeClr w14:val="tx1"/>
            </w14:solidFill>
          </w14:textFill>
        </w:rPr>
        <w:t>的水仓，</w:t>
      </w:r>
      <w:r>
        <w:rPr>
          <w:rFonts w:hint="eastAsia"/>
          <w:color w:val="000000" w:themeColor="text1"/>
          <w:sz w:val="24"/>
          <w:szCs w:val="28"/>
          <w14:textFill>
            <w14:solidFill>
              <w14:schemeClr w14:val="tx1"/>
            </w14:solidFill>
          </w14:textFill>
        </w:rPr>
        <w:t>最大排水高度340m。矿井涌水抽排至地表</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，在</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w:t>
      </w:r>
    </w:p>
    <w:p w14:paraId="2A6963B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开采期第1年至第8年9个月，</w:t>
      </w:r>
      <w:r>
        <w:rPr>
          <w:rFonts w:hint="eastAsia"/>
          <w:color w:val="000000" w:themeColor="text1"/>
          <w:sz w:val="24"/>
          <w:szCs w:val="28"/>
          <w14:textFill>
            <w14:solidFill>
              <w14:schemeClr w14:val="tx1"/>
            </w14:solidFill>
          </w14:textFill>
        </w:rPr>
        <w:t>灌溉期矿井涌水</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池沉淀及净化处理后，约9</w:t>
      </w:r>
      <w:r>
        <w:rPr>
          <w:color w:val="000000" w:themeColor="text1"/>
          <w:sz w:val="24"/>
          <w:szCs w:val="28"/>
          <w14:textFill>
            <w14:solidFill>
              <w14:schemeClr w14:val="tx1"/>
            </w14:solidFill>
          </w14:textFill>
        </w:rPr>
        <w:t>60</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回用于井下作为湿式凿岩、喷雾洒水及消防等生产用水，约</w:t>
      </w:r>
      <w:r>
        <w:rPr>
          <w:rFonts w:hint="eastAsia"/>
          <w:color w:val="000000" w:themeColor="text1"/>
          <w:sz w:val="24"/>
          <w:szCs w:val="28"/>
          <w:lang w:val="en-US" w:eastAsia="zh-CN"/>
          <w14:textFill>
            <w14:solidFill>
              <w14:schemeClr w14:val="tx1"/>
            </w14:solidFill>
          </w14:textFill>
        </w:rPr>
        <w:t>122.8</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/d用作绿化、洒水降尘，</w:t>
      </w:r>
      <w:r>
        <w:rPr>
          <w:rFonts w:hint="eastAsia"/>
          <w:color w:val="000000" w:themeColor="text1"/>
          <w:sz w:val="24"/>
          <w:szCs w:val="28"/>
          <w:lang w:val="en-US" w:eastAsia="zh-CN"/>
          <w14:textFill>
            <w14:solidFill>
              <w14:schemeClr w14:val="tx1"/>
            </w14:solidFill>
          </w14:textFill>
        </w:rPr>
        <w:t>其余517.2</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/d矿井涌水经混凝沉淀处理后通过管道输送至西成矿业选矿厂供选矿生产使用。</w:t>
      </w:r>
      <w:r>
        <w:rPr>
          <w:rFonts w:hint="eastAsia"/>
          <w:color w:val="000000" w:themeColor="text1"/>
          <w:sz w:val="24"/>
          <w:szCs w:val="28"/>
          <w:lang w:val="en-US" w:eastAsia="zh-CN"/>
          <w14:textFill>
            <w14:solidFill>
              <w14:schemeClr w14:val="tx1"/>
            </w14:solidFill>
          </w14:textFill>
        </w:rPr>
        <w:t>开采期第8年10个月至开采期结束，</w:t>
      </w:r>
      <w:r>
        <w:rPr>
          <w:rFonts w:hint="eastAsia"/>
          <w:color w:val="000000" w:themeColor="text1"/>
          <w:sz w:val="24"/>
          <w:szCs w:val="28"/>
          <w14:textFill>
            <w14:solidFill>
              <w14:schemeClr w14:val="tx1"/>
            </w14:solidFill>
          </w14:textFill>
        </w:rPr>
        <w:t>灌溉期矿井涌水</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池沉淀及净化处理后，约9</w:t>
      </w:r>
      <w:r>
        <w:rPr>
          <w:color w:val="000000" w:themeColor="text1"/>
          <w:sz w:val="24"/>
          <w:szCs w:val="28"/>
          <w14:textFill>
            <w14:solidFill>
              <w14:schemeClr w14:val="tx1"/>
            </w14:solidFill>
          </w14:textFill>
        </w:rPr>
        <w:t>60</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回用于井下作为湿式凿岩、喷雾洒水及消防等生产用水，约</w:t>
      </w:r>
      <w:r>
        <w:rPr>
          <w:rFonts w:hint="eastAsia"/>
          <w:color w:val="000000" w:themeColor="text1"/>
          <w:sz w:val="24"/>
          <w:szCs w:val="28"/>
          <w:lang w:val="en-US" w:eastAsia="zh-CN"/>
          <w14:textFill>
            <w14:solidFill>
              <w14:schemeClr w14:val="tx1"/>
            </w14:solidFill>
          </w14:textFill>
        </w:rPr>
        <w:t>105.2</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/d用作绿化、洒水降尘，</w:t>
      </w:r>
      <w:r>
        <w:rPr>
          <w:rFonts w:hint="eastAsia"/>
          <w:color w:val="000000" w:themeColor="text1"/>
          <w:sz w:val="24"/>
          <w:szCs w:val="28"/>
          <w:lang w:val="en-US" w:eastAsia="zh-CN"/>
          <w14:textFill>
            <w14:solidFill>
              <w14:schemeClr w14:val="tx1"/>
            </w14:solidFill>
          </w14:textFill>
        </w:rPr>
        <w:t>其余534.8</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/d矿井涌水经混凝沉淀处理后通过管道输送至西成矿业选矿厂供选矿生产使用。</w:t>
      </w:r>
    </w:p>
    <w:p w14:paraId="3794F4F2">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开采期第1年至第8年9个月，非</w:t>
      </w:r>
      <w:r>
        <w:rPr>
          <w:rFonts w:hint="eastAsia"/>
          <w:color w:val="000000" w:themeColor="text1"/>
          <w:sz w:val="24"/>
          <w:szCs w:val="28"/>
          <w14:textFill>
            <w14:solidFill>
              <w14:schemeClr w14:val="tx1"/>
            </w14:solidFill>
          </w14:textFill>
        </w:rPr>
        <w:t>灌溉期矿井涌水</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池沉淀及净化处理后，约9</w:t>
      </w:r>
      <w:r>
        <w:rPr>
          <w:color w:val="000000" w:themeColor="text1"/>
          <w:sz w:val="24"/>
          <w:szCs w:val="28"/>
          <w14:textFill>
            <w14:solidFill>
              <w14:schemeClr w14:val="tx1"/>
            </w14:solidFill>
          </w14:textFill>
        </w:rPr>
        <w:t>60</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回用于井下作为湿式凿岩、喷雾洒水及消防等生产用水，约</w:t>
      </w:r>
      <w:r>
        <w:rPr>
          <w:rFonts w:hint="eastAsia"/>
          <w:color w:val="000000" w:themeColor="text1"/>
          <w:sz w:val="24"/>
          <w:szCs w:val="28"/>
          <w:lang w:val="en-US" w:eastAsia="zh-CN"/>
          <w14:textFill>
            <w14:solidFill>
              <w14:schemeClr w14:val="tx1"/>
            </w14:solidFill>
          </w14:textFill>
        </w:rPr>
        <w:t>44.8</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lang w:val="en-US" w:eastAsia="zh-CN"/>
          <w14:textFill>
            <w14:solidFill>
              <w14:schemeClr w14:val="tx1"/>
            </w14:solidFill>
          </w14:textFill>
        </w:rPr>
        <w:t>用于废石堆场降尘，其余577.6</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w:t>
      </w:r>
      <w:r>
        <w:rPr>
          <w:rFonts w:hint="eastAsia"/>
          <w:color w:val="000000" w:themeColor="text1"/>
          <w:sz w:val="24"/>
          <w:szCs w:val="28"/>
          <w:lang w:val="en-US" w:eastAsia="zh-CN"/>
          <w14:textFill>
            <w14:solidFill>
              <w14:schemeClr w14:val="tx1"/>
            </w14:solidFill>
          </w14:textFill>
        </w:rPr>
        <w:t>矿井涌水与</w:t>
      </w:r>
      <w:r>
        <w:rPr>
          <w:rFonts w:hint="eastAsia"/>
          <w:color w:val="000000" w:themeColor="text1"/>
          <w:sz w:val="24"/>
          <w:lang w:val="en-US" w:eastAsia="zh-CN" w:bidi="ar"/>
          <w14:textFill>
            <w14:solidFill>
              <w14:schemeClr w14:val="tx1"/>
            </w14:solidFill>
          </w14:textFill>
        </w:rPr>
        <w:t>6.4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处理后的生活污水通过</w:t>
      </w:r>
      <w:r>
        <w:rPr>
          <w:rFonts w:hint="eastAsia"/>
          <w:color w:val="000000" w:themeColor="text1"/>
          <w:sz w:val="24"/>
          <w:szCs w:val="28"/>
          <w14:textFill>
            <w14:solidFill>
              <w14:schemeClr w14:val="tx1"/>
            </w14:solidFill>
          </w14:textFill>
        </w:rPr>
        <w:t>管道输送至西成矿业选矿厂供选矿生产使用。</w:t>
      </w:r>
      <w:r>
        <w:rPr>
          <w:rFonts w:hint="eastAsia"/>
          <w:color w:val="000000" w:themeColor="text1"/>
          <w:sz w:val="24"/>
          <w:szCs w:val="28"/>
          <w:lang w:val="en-US" w:eastAsia="zh-CN"/>
          <w14:textFill>
            <w14:solidFill>
              <w14:schemeClr w14:val="tx1"/>
            </w14:solidFill>
          </w14:textFill>
        </w:rPr>
        <w:t>开采期第8年10个月至开采期结束，非</w:t>
      </w:r>
      <w:r>
        <w:rPr>
          <w:rFonts w:hint="eastAsia"/>
          <w:color w:val="000000" w:themeColor="text1"/>
          <w:sz w:val="24"/>
          <w:szCs w:val="28"/>
          <w14:textFill>
            <w14:solidFill>
              <w14:schemeClr w14:val="tx1"/>
            </w14:solidFill>
          </w14:textFill>
        </w:rPr>
        <w:t>灌溉期矿井涌水</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池沉淀及净化处理后，约9</w:t>
      </w:r>
      <w:r>
        <w:rPr>
          <w:color w:val="000000" w:themeColor="text1"/>
          <w:sz w:val="24"/>
          <w:szCs w:val="28"/>
          <w14:textFill>
            <w14:solidFill>
              <w14:schemeClr w14:val="tx1"/>
            </w14:solidFill>
          </w14:textFill>
        </w:rPr>
        <w:t>60</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回用于井下作为湿式凿岩、喷雾洒水及消防等生产用水，约</w:t>
      </w:r>
      <w:r>
        <w:rPr>
          <w:rFonts w:hint="eastAsia"/>
          <w:color w:val="000000" w:themeColor="text1"/>
          <w:sz w:val="24"/>
          <w:szCs w:val="28"/>
          <w:lang w:val="en-US" w:eastAsia="zh-CN"/>
          <w14:textFill>
            <w14:solidFill>
              <w14:schemeClr w14:val="tx1"/>
            </w14:solidFill>
          </w14:textFill>
        </w:rPr>
        <w:t>595.2</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w:t>
      </w:r>
      <w:r>
        <w:rPr>
          <w:rFonts w:hint="eastAsia"/>
          <w:color w:val="000000" w:themeColor="text1"/>
          <w:sz w:val="24"/>
          <w:szCs w:val="28"/>
          <w:lang w:val="en-US" w:eastAsia="zh-CN"/>
          <w14:textFill>
            <w14:solidFill>
              <w14:schemeClr w14:val="tx1"/>
            </w14:solidFill>
          </w14:textFill>
        </w:rPr>
        <w:t>矿井涌水与</w:t>
      </w:r>
      <w:r>
        <w:rPr>
          <w:rFonts w:hint="eastAsia"/>
          <w:color w:val="000000" w:themeColor="text1"/>
          <w:sz w:val="24"/>
          <w:lang w:val="en-US" w:eastAsia="zh-CN" w:bidi="ar"/>
          <w14:textFill>
            <w14:solidFill>
              <w14:schemeClr w14:val="tx1"/>
            </w14:solidFill>
          </w14:textFill>
        </w:rPr>
        <w:t>处理后的生活污水通过</w:t>
      </w:r>
      <w:r>
        <w:rPr>
          <w:rFonts w:hint="eastAsia"/>
          <w:color w:val="000000" w:themeColor="text1"/>
          <w:sz w:val="24"/>
          <w:szCs w:val="28"/>
          <w14:textFill>
            <w14:solidFill>
              <w14:schemeClr w14:val="tx1"/>
            </w14:solidFill>
          </w14:textFill>
        </w:rPr>
        <w:t>管道输送至西成矿业选矿厂供选矿生产使用。</w:t>
      </w:r>
    </w:p>
    <w:p w14:paraId="66E60C5C">
      <w:pPr>
        <w:pStyle w:val="18"/>
        <w:spacing w:line="480" w:lineRule="exact"/>
        <w:ind w:firstLine="480"/>
        <w:rPr>
          <w:rFonts w:hint="default" w:eastAsia="宋体"/>
          <w:color w:val="000000" w:themeColor="text1"/>
          <w:sz w:val="24"/>
          <w:szCs w:val="28"/>
          <w:lang w:val="en-US" w:eastAsia="zh-CN"/>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冬季停产期（每年12月-次年2月）90天，矿井涌水经收集后，临时贮存于蓄水池中，待来年生产期用于绿化灌溉、选矿生产、废石堆场及道路洒水抑尘。</w:t>
      </w:r>
    </w:p>
    <w:p w14:paraId="20D2C575">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本项目水平衡</w:t>
      </w:r>
      <w:r>
        <w:rPr>
          <w:rFonts w:hint="eastAsia"/>
          <w:color w:val="000000" w:themeColor="text1"/>
          <w:sz w:val="24"/>
          <w:lang w:bidi="ar"/>
          <w14:textFill>
            <w14:solidFill>
              <w14:schemeClr w14:val="tx1"/>
            </w14:solidFill>
          </w14:textFill>
        </w:rPr>
        <w:t>情况见图3.</w:t>
      </w:r>
      <w:r>
        <w:rPr>
          <w:color w:val="000000" w:themeColor="text1"/>
          <w:sz w:val="24"/>
          <w:lang w:bidi="ar"/>
          <w14:textFill>
            <w14:solidFill>
              <w14:schemeClr w14:val="tx1"/>
            </w14:solidFill>
          </w14:textFill>
        </w:rPr>
        <w:t>2</w:t>
      </w:r>
      <w:r>
        <w:rPr>
          <w:rFonts w:hint="eastAsia"/>
          <w:color w:val="000000" w:themeColor="text1"/>
          <w:sz w:val="24"/>
          <w:lang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5~</w:t>
      </w:r>
      <w:r>
        <w:rPr>
          <w:rFonts w:hint="eastAsia"/>
          <w:color w:val="000000" w:themeColor="text1"/>
          <w:sz w:val="24"/>
          <w:lang w:bidi="ar"/>
          <w14:textFill>
            <w14:solidFill>
              <w14:schemeClr w14:val="tx1"/>
            </w14:solidFill>
          </w14:textFill>
        </w:rPr>
        <w:t>3</w:t>
      </w:r>
      <w:r>
        <w:rPr>
          <w:color w:val="000000" w:themeColor="text1"/>
          <w:sz w:val="24"/>
          <w:lang w:bidi="ar"/>
          <w14:textFill>
            <w14:solidFill>
              <w14:schemeClr w14:val="tx1"/>
            </w14:solidFill>
          </w14:textFill>
        </w:rPr>
        <w:t>.2-</w:t>
      </w:r>
      <w:r>
        <w:rPr>
          <w:rFonts w:hint="eastAsia"/>
          <w:color w:val="000000" w:themeColor="text1"/>
          <w:sz w:val="24"/>
          <w:lang w:val="en-US" w:eastAsia="zh-CN" w:bidi="ar"/>
          <w14:textFill>
            <w14:solidFill>
              <w14:schemeClr w14:val="tx1"/>
            </w14:solidFill>
          </w14:textFill>
        </w:rPr>
        <w:t>9</w:t>
      </w:r>
      <w:r>
        <w:rPr>
          <w:rFonts w:hint="eastAsia"/>
          <w:color w:val="000000" w:themeColor="text1"/>
          <w:sz w:val="24"/>
          <w:lang w:bidi="ar"/>
          <w14:textFill>
            <w14:solidFill>
              <w14:schemeClr w14:val="tx1"/>
            </w14:solidFill>
          </w14:textFill>
        </w:rPr>
        <w:t>。</w:t>
      </w:r>
    </w:p>
    <w:p w14:paraId="07BCDCC7">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6736A0D2">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3DA534E7">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1F1E4DF7">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6116116F">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18159F23">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77A1CC11">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491001C3">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0AB53CB8">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5551558B">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729E013B">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0134B054">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453CF934">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7AAA716D">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73AA78C7">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64E4C618">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259C25EC">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3A73DBFF">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p>
    <w:p w14:paraId="0E31D937">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b/>
          <w:color w:val="000000" w:themeColor="text1"/>
          <w:kern w:val="0"/>
          <w:sz w:val="24"/>
          <w:szCs w:val="24"/>
          <w:highlight w:val="none"/>
          <w14:textFill>
            <w14:solidFill>
              <w14:schemeClr w14:val="tx1"/>
            </w14:solidFill>
          </w14:textFill>
        </w:rPr>
      </w:pPr>
      <w:r>
        <w:rPr>
          <w:rFonts w:hint="eastAsia"/>
          <w:b/>
          <w:color w:val="000000" w:themeColor="text1"/>
          <w:kern w:val="0"/>
          <w:sz w:val="24"/>
          <w:szCs w:val="24"/>
          <w:highlight w:val="none"/>
          <w14:textFill>
            <w14:solidFill>
              <w14:schemeClr w14:val="tx1"/>
            </w14:solidFill>
          </w14:textFill>
        </w:rPr>
        <w:t>图3</w:t>
      </w:r>
      <w:r>
        <w:rPr>
          <w:b/>
          <w:color w:val="000000" w:themeColor="text1"/>
          <w:kern w:val="0"/>
          <w:sz w:val="24"/>
          <w:szCs w:val="24"/>
          <w:highlight w:val="none"/>
          <w14:textFill>
            <w14:solidFill>
              <w14:schemeClr w14:val="tx1"/>
            </w14:solidFill>
          </w14:textFill>
        </w:rPr>
        <w:t>.2-</w:t>
      </w:r>
      <w:r>
        <w:rPr>
          <w:rFonts w:hint="eastAsia"/>
          <w:b/>
          <w:color w:val="000000" w:themeColor="text1"/>
          <w:kern w:val="0"/>
          <w:sz w:val="24"/>
          <w:szCs w:val="24"/>
          <w:highlight w:val="none"/>
          <w:lang w:val="en-US" w:eastAsia="zh-CN"/>
          <w14:textFill>
            <w14:solidFill>
              <w14:schemeClr w14:val="tx1"/>
            </w14:solidFill>
          </w14:textFill>
        </w:rPr>
        <w:t>5</w:t>
      </w:r>
      <w:r>
        <w:rPr>
          <w:b/>
          <w:color w:val="000000" w:themeColor="text1"/>
          <w:kern w:val="0"/>
          <w:sz w:val="24"/>
          <w:szCs w:val="24"/>
          <w:highlight w:val="none"/>
          <w14:textFill>
            <w14:solidFill>
              <w14:schemeClr w14:val="tx1"/>
            </w14:solidFill>
          </w14:textFill>
        </w:rPr>
        <w:t xml:space="preserve">    </w:t>
      </w:r>
      <w:r>
        <w:rPr>
          <w:rFonts w:hint="eastAsia"/>
          <w:b/>
          <w:color w:val="000000" w:themeColor="text1"/>
          <w:kern w:val="0"/>
          <w:sz w:val="24"/>
          <w:szCs w:val="24"/>
          <w:highlight w:val="none"/>
          <w:lang w:val="en-US" w:eastAsia="zh-CN"/>
          <w14:textFill>
            <w14:solidFill>
              <w14:schemeClr w14:val="tx1"/>
            </w14:solidFill>
          </w14:textFill>
        </w:rPr>
        <w:t>开采期第1年至第8年9个月</w:t>
      </w:r>
      <w:r>
        <w:rPr>
          <w:rFonts w:hint="eastAsia"/>
          <w:b/>
          <w:color w:val="000000" w:themeColor="text1"/>
          <w:kern w:val="0"/>
          <w:sz w:val="24"/>
          <w:szCs w:val="24"/>
          <w:highlight w:val="none"/>
          <w14:textFill>
            <w14:solidFill>
              <w14:schemeClr w14:val="tx1"/>
            </w14:solidFill>
          </w14:textFill>
        </w:rPr>
        <w:t>灌溉期水</w:t>
      </w:r>
      <w:r>
        <w:rPr>
          <w:b/>
          <w:color w:val="000000" w:themeColor="text1"/>
          <w:kern w:val="0"/>
          <w:sz w:val="24"/>
          <w:szCs w:val="24"/>
          <w:highlight w:val="none"/>
          <w14:textFill>
            <w14:solidFill>
              <w14:schemeClr w14:val="tx1"/>
            </w14:solidFill>
          </w14:textFill>
        </w:rPr>
        <w:t>平衡</w:t>
      </w:r>
      <w:r>
        <w:rPr>
          <w:rFonts w:hint="eastAsia"/>
          <w:b/>
          <w:color w:val="000000" w:themeColor="text1"/>
          <w:kern w:val="0"/>
          <w:sz w:val="24"/>
          <w:szCs w:val="24"/>
          <w:highlight w:val="none"/>
          <w14:textFill>
            <w14:solidFill>
              <w14:schemeClr w14:val="tx1"/>
            </w14:solidFill>
          </w14:textFill>
        </w:rPr>
        <w:t>图（单位：m</w:t>
      </w:r>
      <w:r>
        <w:rPr>
          <w:rFonts w:hint="eastAsia"/>
          <w:b/>
          <w:color w:val="000000" w:themeColor="text1"/>
          <w:kern w:val="0"/>
          <w:sz w:val="24"/>
          <w:szCs w:val="24"/>
          <w:highlight w:val="none"/>
          <w:vertAlign w:val="superscript"/>
          <w14:textFill>
            <w14:solidFill>
              <w14:schemeClr w14:val="tx1"/>
            </w14:solidFill>
          </w14:textFill>
        </w:rPr>
        <w:t>3</w:t>
      </w:r>
      <w:r>
        <w:rPr>
          <w:rFonts w:hint="eastAsia"/>
          <w:b/>
          <w:color w:val="000000" w:themeColor="text1"/>
          <w:kern w:val="0"/>
          <w:sz w:val="24"/>
          <w:szCs w:val="24"/>
          <w:highlight w:val="none"/>
          <w14:textFill>
            <w14:solidFill>
              <w14:schemeClr w14:val="tx1"/>
            </w14:solidFill>
          </w14:textFill>
        </w:rPr>
        <w:t>/d）</w:t>
      </w:r>
    </w:p>
    <w:p w14:paraId="48F553C5">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eastAsia="宋体"/>
          <w:color w:val="000000" w:themeColor="text1"/>
          <w:sz w:val="24"/>
          <w:lang w:eastAsia="zh-CN" w:bidi="ar"/>
          <w14:textFill>
            <w14:solidFill>
              <w14:schemeClr w14:val="tx1"/>
            </w14:solidFill>
          </w14:textFill>
        </w:rPr>
      </w:pPr>
    </w:p>
    <w:p w14:paraId="213FF21E">
      <w:pPr>
        <w:rPr>
          <w:rFonts w:hint="eastAsia" w:eastAsia="宋体"/>
          <w:color w:val="000000" w:themeColor="text1"/>
          <w:sz w:val="24"/>
          <w:lang w:eastAsia="zh-CN" w:bidi="ar"/>
          <w14:textFill>
            <w14:solidFill>
              <w14:schemeClr w14:val="tx1"/>
            </w14:solidFill>
          </w14:textFill>
        </w:rPr>
      </w:pPr>
    </w:p>
    <w:p w14:paraId="030BBB22">
      <w:pPr>
        <w:rPr>
          <w:rFonts w:hint="eastAsia" w:eastAsia="宋体"/>
          <w:color w:val="000000" w:themeColor="text1"/>
          <w:sz w:val="24"/>
          <w:lang w:eastAsia="zh-CN" w:bidi="ar"/>
          <w14:textFill>
            <w14:solidFill>
              <w14:schemeClr w14:val="tx1"/>
            </w14:solidFill>
          </w14:textFill>
        </w:rPr>
      </w:pPr>
    </w:p>
    <w:p w14:paraId="7DE75924">
      <w:pPr>
        <w:rPr>
          <w:rFonts w:hint="eastAsia" w:eastAsia="宋体"/>
          <w:color w:val="000000" w:themeColor="text1"/>
          <w:sz w:val="24"/>
          <w:lang w:eastAsia="zh-CN" w:bidi="ar"/>
          <w14:textFill>
            <w14:solidFill>
              <w14:schemeClr w14:val="tx1"/>
            </w14:solidFill>
          </w14:textFill>
        </w:rPr>
      </w:pPr>
    </w:p>
    <w:p w14:paraId="6E5F59E5">
      <w:pPr>
        <w:rPr>
          <w:rFonts w:hint="eastAsia" w:eastAsia="宋体"/>
          <w:color w:val="000000" w:themeColor="text1"/>
          <w:sz w:val="24"/>
          <w:lang w:eastAsia="zh-CN" w:bidi="ar"/>
          <w14:textFill>
            <w14:solidFill>
              <w14:schemeClr w14:val="tx1"/>
            </w14:solidFill>
          </w14:textFill>
        </w:rPr>
      </w:pPr>
    </w:p>
    <w:p w14:paraId="2FF8FB3D">
      <w:pPr>
        <w:rPr>
          <w:rFonts w:hint="eastAsia" w:eastAsia="宋体"/>
          <w:color w:val="000000" w:themeColor="text1"/>
          <w:sz w:val="24"/>
          <w:lang w:eastAsia="zh-CN" w:bidi="ar"/>
          <w14:textFill>
            <w14:solidFill>
              <w14:schemeClr w14:val="tx1"/>
            </w14:solidFill>
          </w14:textFill>
        </w:rPr>
      </w:pPr>
    </w:p>
    <w:p w14:paraId="691DCF06">
      <w:pPr>
        <w:rPr>
          <w:rFonts w:hint="eastAsia" w:eastAsia="宋体"/>
          <w:color w:val="000000" w:themeColor="text1"/>
          <w:sz w:val="24"/>
          <w:lang w:eastAsia="zh-CN" w:bidi="ar"/>
          <w14:textFill>
            <w14:solidFill>
              <w14:schemeClr w14:val="tx1"/>
            </w14:solidFill>
          </w14:textFill>
        </w:rPr>
      </w:pPr>
    </w:p>
    <w:p w14:paraId="7377E9F1">
      <w:pPr>
        <w:rPr>
          <w:rFonts w:hint="eastAsia" w:eastAsia="宋体"/>
          <w:color w:val="000000" w:themeColor="text1"/>
          <w:sz w:val="24"/>
          <w:lang w:eastAsia="zh-CN" w:bidi="ar"/>
          <w14:textFill>
            <w14:solidFill>
              <w14:schemeClr w14:val="tx1"/>
            </w14:solidFill>
          </w14:textFill>
        </w:rPr>
      </w:pPr>
    </w:p>
    <w:p w14:paraId="4181665F">
      <w:pPr>
        <w:rPr>
          <w:rFonts w:hint="eastAsia" w:eastAsia="宋体"/>
          <w:color w:val="000000" w:themeColor="text1"/>
          <w:sz w:val="24"/>
          <w:lang w:eastAsia="zh-CN" w:bidi="ar"/>
          <w14:textFill>
            <w14:solidFill>
              <w14:schemeClr w14:val="tx1"/>
            </w14:solidFill>
          </w14:textFill>
        </w:rPr>
      </w:pPr>
    </w:p>
    <w:p w14:paraId="30EEE2CC">
      <w:pPr>
        <w:rPr>
          <w:rFonts w:hint="eastAsia" w:eastAsia="宋体"/>
          <w:color w:val="000000" w:themeColor="text1"/>
          <w:sz w:val="24"/>
          <w:lang w:eastAsia="zh-CN" w:bidi="ar"/>
          <w14:textFill>
            <w14:solidFill>
              <w14:schemeClr w14:val="tx1"/>
            </w14:solidFill>
          </w14:textFill>
        </w:rPr>
      </w:pPr>
    </w:p>
    <w:p w14:paraId="148CA198">
      <w:pPr>
        <w:rPr>
          <w:rFonts w:hint="eastAsia" w:eastAsia="宋体"/>
          <w:color w:val="000000" w:themeColor="text1"/>
          <w:sz w:val="24"/>
          <w:lang w:eastAsia="zh-CN" w:bidi="ar"/>
          <w14:textFill>
            <w14:solidFill>
              <w14:schemeClr w14:val="tx1"/>
            </w14:solidFill>
          </w14:textFill>
        </w:rPr>
      </w:pPr>
    </w:p>
    <w:p w14:paraId="0AFE1DE4">
      <w:pPr>
        <w:rPr>
          <w:rFonts w:hint="eastAsia" w:eastAsia="宋体"/>
          <w:color w:val="000000" w:themeColor="text1"/>
          <w:sz w:val="24"/>
          <w:lang w:eastAsia="zh-CN" w:bidi="ar"/>
          <w14:textFill>
            <w14:solidFill>
              <w14:schemeClr w14:val="tx1"/>
            </w14:solidFill>
          </w14:textFill>
        </w:rPr>
      </w:pPr>
    </w:p>
    <w:p w14:paraId="6951082F">
      <w:pPr>
        <w:rPr>
          <w:rFonts w:hint="eastAsia" w:eastAsia="宋体"/>
          <w:color w:val="000000" w:themeColor="text1"/>
          <w:sz w:val="24"/>
          <w:lang w:eastAsia="zh-CN" w:bidi="ar"/>
          <w14:textFill>
            <w14:solidFill>
              <w14:schemeClr w14:val="tx1"/>
            </w14:solidFill>
          </w14:textFill>
        </w:rPr>
      </w:pPr>
    </w:p>
    <w:p w14:paraId="0B703EB1">
      <w:pPr>
        <w:rPr>
          <w:rFonts w:hint="eastAsia" w:eastAsia="宋体"/>
          <w:color w:val="000000" w:themeColor="text1"/>
          <w:sz w:val="24"/>
          <w:lang w:eastAsia="zh-CN" w:bidi="ar"/>
          <w14:textFill>
            <w14:solidFill>
              <w14:schemeClr w14:val="tx1"/>
            </w14:solidFill>
          </w14:textFill>
        </w:rPr>
      </w:pPr>
    </w:p>
    <w:p w14:paraId="5496B757">
      <w:pPr>
        <w:rPr>
          <w:rFonts w:hint="eastAsia" w:eastAsia="宋体"/>
          <w:color w:val="000000" w:themeColor="text1"/>
          <w:sz w:val="24"/>
          <w:lang w:eastAsia="zh-CN" w:bidi="ar"/>
          <w14:textFill>
            <w14:solidFill>
              <w14:schemeClr w14:val="tx1"/>
            </w14:solidFill>
          </w14:textFill>
        </w:rPr>
      </w:pPr>
    </w:p>
    <w:p w14:paraId="5D08427D">
      <w:pPr>
        <w:rPr>
          <w:rFonts w:hint="eastAsia" w:eastAsia="宋体"/>
          <w:color w:val="000000" w:themeColor="text1"/>
          <w:sz w:val="24"/>
          <w:lang w:eastAsia="zh-CN" w:bidi="ar"/>
          <w14:textFill>
            <w14:solidFill>
              <w14:schemeClr w14:val="tx1"/>
            </w14:solidFill>
          </w14:textFill>
        </w:rPr>
      </w:pPr>
    </w:p>
    <w:p w14:paraId="718CB9DB">
      <w:pPr>
        <w:rPr>
          <w:rFonts w:hint="eastAsia" w:eastAsia="宋体"/>
          <w:color w:val="000000" w:themeColor="text1"/>
          <w:sz w:val="24"/>
          <w:lang w:eastAsia="zh-CN" w:bidi="ar"/>
          <w14:textFill>
            <w14:solidFill>
              <w14:schemeClr w14:val="tx1"/>
            </w14:solidFill>
          </w14:textFill>
        </w:rPr>
      </w:pPr>
    </w:p>
    <w:p w14:paraId="6C0FC577">
      <w:pPr>
        <w:rPr>
          <w:rFonts w:hint="eastAsia" w:eastAsia="宋体"/>
          <w:color w:val="000000" w:themeColor="text1"/>
          <w:sz w:val="24"/>
          <w:lang w:eastAsia="zh-CN" w:bidi="ar"/>
          <w14:textFill>
            <w14:solidFill>
              <w14:schemeClr w14:val="tx1"/>
            </w14:solidFill>
          </w14:textFill>
        </w:rPr>
      </w:pPr>
    </w:p>
    <w:p w14:paraId="73F291B2">
      <w:pPr>
        <w:rPr>
          <w:rFonts w:hint="eastAsia" w:eastAsia="宋体"/>
          <w:color w:val="000000" w:themeColor="text1"/>
          <w:sz w:val="24"/>
          <w:lang w:eastAsia="zh-CN" w:bidi="ar"/>
          <w14:textFill>
            <w14:solidFill>
              <w14:schemeClr w14:val="tx1"/>
            </w14:solidFill>
          </w14:textFill>
        </w:rPr>
      </w:pPr>
    </w:p>
    <w:p w14:paraId="7CE60ED8">
      <w:pPr>
        <w:pStyle w:val="18"/>
        <w:spacing w:line="480" w:lineRule="exact"/>
        <w:ind w:firstLine="0" w:firstLineChars="0"/>
        <w:jc w:val="center"/>
        <w:rPr>
          <w:rFonts w:hint="eastAsia"/>
          <w:b/>
          <w:bCs/>
          <w:color w:val="000000" w:themeColor="text1"/>
          <w:sz w:val="24"/>
          <w:highlight w:val="none"/>
          <w:lang w:bidi="ar"/>
          <w14:textFill>
            <w14:solidFill>
              <w14:schemeClr w14:val="tx1"/>
            </w14:solidFill>
          </w14:textFill>
        </w:rPr>
      </w:pPr>
      <w:r>
        <w:rPr>
          <w:b/>
          <w:bCs/>
          <w:color w:val="000000" w:themeColor="text1"/>
          <w:sz w:val="24"/>
          <w:highlight w:val="none"/>
          <w:lang w:bidi="ar"/>
          <w14:textFill>
            <w14:solidFill>
              <w14:schemeClr w14:val="tx1"/>
            </w14:solidFill>
          </w14:textFill>
        </w:rPr>
        <w:t>图3.2-</w:t>
      </w:r>
      <w:r>
        <w:rPr>
          <w:rFonts w:hint="eastAsia"/>
          <w:b/>
          <w:bCs/>
          <w:color w:val="000000" w:themeColor="text1"/>
          <w:sz w:val="24"/>
          <w:highlight w:val="none"/>
          <w:lang w:val="en-US" w:eastAsia="zh-CN" w:bidi="ar"/>
          <w14:textFill>
            <w14:solidFill>
              <w14:schemeClr w14:val="tx1"/>
            </w14:solidFill>
          </w14:textFill>
        </w:rPr>
        <w:t>6</w:t>
      </w:r>
      <w:r>
        <w:rPr>
          <w:b/>
          <w:bCs/>
          <w:color w:val="000000" w:themeColor="text1"/>
          <w:sz w:val="24"/>
          <w:highlight w:val="none"/>
          <w:lang w:bidi="ar"/>
          <w14:textFill>
            <w14:solidFill>
              <w14:schemeClr w14:val="tx1"/>
            </w14:solidFill>
          </w14:textFill>
        </w:rPr>
        <w:t xml:space="preserve">    </w:t>
      </w:r>
      <w:r>
        <w:rPr>
          <w:rFonts w:hint="eastAsia"/>
          <w:b/>
          <w:color w:val="000000" w:themeColor="text1"/>
          <w:kern w:val="0"/>
          <w:sz w:val="24"/>
          <w:szCs w:val="24"/>
          <w:highlight w:val="none"/>
          <w:lang w:val="en-US" w:eastAsia="zh-CN"/>
          <w14:textFill>
            <w14:solidFill>
              <w14:schemeClr w14:val="tx1"/>
            </w14:solidFill>
          </w14:textFill>
        </w:rPr>
        <w:t>开采期第1年至第8年9个月</w:t>
      </w:r>
      <w:r>
        <w:rPr>
          <w:rFonts w:hint="eastAsia"/>
          <w:b/>
          <w:bCs/>
          <w:color w:val="000000" w:themeColor="text1"/>
          <w:sz w:val="24"/>
          <w:highlight w:val="none"/>
          <w:lang w:bidi="ar"/>
          <w14:textFill>
            <w14:solidFill>
              <w14:schemeClr w14:val="tx1"/>
            </w14:solidFill>
          </w14:textFill>
        </w:rPr>
        <w:t>非灌溉期</w:t>
      </w:r>
      <w:r>
        <w:rPr>
          <w:rFonts w:hint="eastAsia"/>
          <w:b/>
          <w:bCs/>
          <w:color w:val="000000" w:themeColor="text1"/>
          <w:sz w:val="24"/>
          <w:highlight w:val="none"/>
          <w:lang w:eastAsia="zh-CN" w:bidi="ar"/>
          <w14:textFill>
            <w14:solidFill>
              <w14:schemeClr w14:val="tx1"/>
            </w14:solidFill>
          </w14:textFill>
        </w:rPr>
        <w:t>（</w:t>
      </w:r>
      <w:r>
        <w:rPr>
          <w:rFonts w:hint="eastAsia"/>
          <w:b/>
          <w:bCs/>
          <w:color w:val="000000" w:themeColor="text1"/>
          <w:sz w:val="24"/>
          <w:highlight w:val="none"/>
          <w:lang w:val="en-US" w:eastAsia="zh-CN" w:bidi="ar"/>
          <w14:textFill>
            <w14:solidFill>
              <w14:schemeClr w14:val="tx1"/>
            </w14:solidFill>
          </w14:textFill>
        </w:rPr>
        <w:t>生产期</w:t>
      </w:r>
      <w:r>
        <w:rPr>
          <w:rFonts w:hint="eastAsia"/>
          <w:b/>
          <w:bCs/>
          <w:color w:val="000000" w:themeColor="text1"/>
          <w:sz w:val="24"/>
          <w:highlight w:val="none"/>
          <w:lang w:eastAsia="zh-CN" w:bidi="ar"/>
          <w14:textFill>
            <w14:solidFill>
              <w14:schemeClr w14:val="tx1"/>
            </w14:solidFill>
          </w14:textFill>
        </w:rPr>
        <w:t>）</w:t>
      </w:r>
      <w:r>
        <w:rPr>
          <w:b/>
          <w:bCs/>
          <w:color w:val="000000" w:themeColor="text1"/>
          <w:sz w:val="24"/>
          <w:highlight w:val="none"/>
          <w:lang w:bidi="ar"/>
          <w14:textFill>
            <w14:solidFill>
              <w14:schemeClr w14:val="tx1"/>
            </w14:solidFill>
          </w14:textFill>
        </w:rPr>
        <w:t>水平衡图</w:t>
      </w:r>
      <w:r>
        <w:rPr>
          <w:rFonts w:hint="eastAsia"/>
          <w:b/>
          <w:bCs/>
          <w:color w:val="000000" w:themeColor="text1"/>
          <w:sz w:val="24"/>
          <w:highlight w:val="none"/>
          <w:lang w:bidi="ar"/>
          <w14:textFill>
            <w14:solidFill>
              <w14:schemeClr w14:val="tx1"/>
            </w14:solidFill>
          </w14:textFill>
        </w:rPr>
        <w:t>（单位：m</w:t>
      </w:r>
      <w:r>
        <w:rPr>
          <w:rFonts w:hint="eastAsia"/>
          <w:b/>
          <w:bCs/>
          <w:color w:val="000000" w:themeColor="text1"/>
          <w:sz w:val="24"/>
          <w:highlight w:val="none"/>
          <w:vertAlign w:val="superscript"/>
          <w:lang w:bidi="ar"/>
          <w14:textFill>
            <w14:solidFill>
              <w14:schemeClr w14:val="tx1"/>
            </w14:solidFill>
          </w14:textFill>
        </w:rPr>
        <w:t>3</w:t>
      </w:r>
      <w:r>
        <w:rPr>
          <w:rFonts w:hint="eastAsia"/>
          <w:b/>
          <w:bCs/>
          <w:color w:val="000000" w:themeColor="text1"/>
          <w:sz w:val="24"/>
          <w:highlight w:val="none"/>
          <w:lang w:bidi="ar"/>
          <w14:textFill>
            <w14:solidFill>
              <w14:schemeClr w14:val="tx1"/>
            </w14:solidFill>
          </w14:textFill>
        </w:rPr>
        <w:t>/d）</w:t>
      </w:r>
    </w:p>
    <w:p w14:paraId="5DB7F2C0">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color w:val="000000" w:themeColor="text1"/>
          <w:sz w:val="24"/>
          <w:szCs w:val="28"/>
          <w14:textFill>
            <w14:solidFill>
              <w14:schemeClr w14:val="tx1"/>
            </w14:solidFill>
          </w14:textFill>
        </w:rPr>
      </w:pPr>
    </w:p>
    <w:p w14:paraId="5C39B797">
      <w:pPr>
        <w:rPr>
          <w:color w:val="000000" w:themeColor="text1"/>
          <w:sz w:val="24"/>
          <w:szCs w:val="28"/>
          <w14:textFill>
            <w14:solidFill>
              <w14:schemeClr w14:val="tx1"/>
            </w14:solidFill>
          </w14:textFill>
        </w:rPr>
      </w:pPr>
    </w:p>
    <w:p w14:paraId="579F5888">
      <w:pPr>
        <w:rPr>
          <w:color w:val="000000" w:themeColor="text1"/>
          <w:sz w:val="24"/>
          <w:szCs w:val="28"/>
          <w14:textFill>
            <w14:solidFill>
              <w14:schemeClr w14:val="tx1"/>
            </w14:solidFill>
          </w14:textFill>
        </w:rPr>
      </w:pPr>
    </w:p>
    <w:p w14:paraId="69E12422">
      <w:pPr>
        <w:rPr>
          <w:color w:val="000000" w:themeColor="text1"/>
          <w:sz w:val="24"/>
          <w:szCs w:val="28"/>
          <w14:textFill>
            <w14:solidFill>
              <w14:schemeClr w14:val="tx1"/>
            </w14:solidFill>
          </w14:textFill>
        </w:rPr>
      </w:pPr>
    </w:p>
    <w:p w14:paraId="6EBAC13A">
      <w:pPr>
        <w:rPr>
          <w:color w:val="000000" w:themeColor="text1"/>
          <w:sz w:val="24"/>
          <w:szCs w:val="28"/>
          <w14:textFill>
            <w14:solidFill>
              <w14:schemeClr w14:val="tx1"/>
            </w14:solidFill>
          </w14:textFill>
        </w:rPr>
      </w:pPr>
    </w:p>
    <w:p w14:paraId="1B1D825C">
      <w:pPr>
        <w:rPr>
          <w:color w:val="000000" w:themeColor="text1"/>
          <w:sz w:val="24"/>
          <w:szCs w:val="28"/>
          <w14:textFill>
            <w14:solidFill>
              <w14:schemeClr w14:val="tx1"/>
            </w14:solidFill>
          </w14:textFill>
        </w:rPr>
      </w:pPr>
    </w:p>
    <w:p w14:paraId="28A51497">
      <w:pPr>
        <w:rPr>
          <w:color w:val="000000" w:themeColor="text1"/>
          <w:sz w:val="24"/>
          <w:szCs w:val="28"/>
          <w14:textFill>
            <w14:solidFill>
              <w14:schemeClr w14:val="tx1"/>
            </w14:solidFill>
          </w14:textFill>
        </w:rPr>
      </w:pPr>
    </w:p>
    <w:p w14:paraId="571BCCBA">
      <w:pPr>
        <w:rPr>
          <w:color w:val="000000" w:themeColor="text1"/>
          <w:sz w:val="24"/>
          <w:szCs w:val="28"/>
          <w14:textFill>
            <w14:solidFill>
              <w14:schemeClr w14:val="tx1"/>
            </w14:solidFill>
          </w14:textFill>
        </w:rPr>
      </w:pPr>
    </w:p>
    <w:p w14:paraId="288AAEF5">
      <w:pPr>
        <w:rPr>
          <w:color w:val="000000" w:themeColor="text1"/>
          <w:sz w:val="24"/>
          <w:szCs w:val="28"/>
          <w14:textFill>
            <w14:solidFill>
              <w14:schemeClr w14:val="tx1"/>
            </w14:solidFill>
          </w14:textFill>
        </w:rPr>
      </w:pPr>
    </w:p>
    <w:p w14:paraId="06389A43">
      <w:pPr>
        <w:rPr>
          <w:color w:val="000000" w:themeColor="text1"/>
          <w:sz w:val="24"/>
          <w:szCs w:val="28"/>
          <w14:textFill>
            <w14:solidFill>
              <w14:schemeClr w14:val="tx1"/>
            </w14:solidFill>
          </w14:textFill>
        </w:rPr>
      </w:pPr>
    </w:p>
    <w:p w14:paraId="0812606A">
      <w:pPr>
        <w:rPr>
          <w:color w:val="000000" w:themeColor="text1"/>
          <w:sz w:val="24"/>
          <w:szCs w:val="28"/>
          <w14:textFill>
            <w14:solidFill>
              <w14:schemeClr w14:val="tx1"/>
            </w14:solidFill>
          </w14:textFill>
        </w:rPr>
      </w:pPr>
    </w:p>
    <w:p w14:paraId="165E8138">
      <w:pPr>
        <w:rPr>
          <w:color w:val="000000" w:themeColor="text1"/>
          <w:sz w:val="24"/>
          <w:szCs w:val="28"/>
          <w14:textFill>
            <w14:solidFill>
              <w14:schemeClr w14:val="tx1"/>
            </w14:solidFill>
          </w14:textFill>
        </w:rPr>
      </w:pPr>
    </w:p>
    <w:p w14:paraId="5F6FA411">
      <w:pPr>
        <w:rPr>
          <w:color w:val="000000" w:themeColor="text1"/>
          <w:sz w:val="24"/>
          <w:szCs w:val="28"/>
          <w14:textFill>
            <w14:solidFill>
              <w14:schemeClr w14:val="tx1"/>
            </w14:solidFill>
          </w14:textFill>
        </w:rPr>
      </w:pPr>
    </w:p>
    <w:p w14:paraId="74FEED86">
      <w:pPr>
        <w:rPr>
          <w:color w:val="000000" w:themeColor="text1"/>
          <w:sz w:val="24"/>
          <w:szCs w:val="28"/>
          <w14:textFill>
            <w14:solidFill>
              <w14:schemeClr w14:val="tx1"/>
            </w14:solidFill>
          </w14:textFill>
        </w:rPr>
      </w:pPr>
    </w:p>
    <w:p w14:paraId="7B032732">
      <w:pPr>
        <w:rPr>
          <w:color w:val="000000" w:themeColor="text1"/>
          <w:sz w:val="24"/>
          <w:szCs w:val="28"/>
          <w14:textFill>
            <w14:solidFill>
              <w14:schemeClr w14:val="tx1"/>
            </w14:solidFill>
          </w14:textFill>
        </w:rPr>
      </w:pPr>
    </w:p>
    <w:p w14:paraId="1FBA7F7F">
      <w:pPr>
        <w:rPr>
          <w:color w:val="000000" w:themeColor="text1"/>
          <w:sz w:val="24"/>
          <w:szCs w:val="28"/>
          <w14:textFill>
            <w14:solidFill>
              <w14:schemeClr w14:val="tx1"/>
            </w14:solidFill>
          </w14:textFill>
        </w:rPr>
      </w:pPr>
    </w:p>
    <w:p w14:paraId="4C0AB9FA">
      <w:pPr>
        <w:rPr>
          <w:color w:val="000000" w:themeColor="text1"/>
          <w:sz w:val="24"/>
          <w:szCs w:val="28"/>
          <w14:textFill>
            <w14:solidFill>
              <w14:schemeClr w14:val="tx1"/>
            </w14:solidFill>
          </w14:textFill>
        </w:rPr>
      </w:pPr>
    </w:p>
    <w:p w14:paraId="3A664671">
      <w:pPr>
        <w:rPr>
          <w:color w:val="000000" w:themeColor="text1"/>
          <w:sz w:val="24"/>
          <w:szCs w:val="28"/>
          <w14:textFill>
            <w14:solidFill>
              <w14:schemeClr w14:val="tx1"/>
            </w14:solidFill>
          </w14:textFill>
        </w:rPr>
      </w:pPr>
    </w:p>
    <w:p w14:paraId="193C03AF">
      <w:pPr>
        <w:rPr>
          <w:color w:val="000000" w:themeColor="text1"/>
          <w:sz w:val="24"/>
          <w:szCs w:val="28"/>
          <w14:textFill>
            <w14:solidFill>
              <w14:schemeClr w14:val="tx1"/>
            </w14:solidFill>
          </w14:textFill>
        </w:rPr>
      </w:pPr>
    </w:p>
    <w:p w14:paraId="79FCB12F">
      <w:pPr>
        <w:rPr>
          <w:color w:val="000000" w:themeColor="text1"/>
          <w:sz w:val="24"/>
          <w:szCs w:val="28"/>
          <w14:textFill>
            <w14:solidFill>
              <w14:schemeClr w14:val="tx1"/>
            </w14:solidFill>
          </w14:textFill>
        </w:rPr>
      </w:pPr>
    </w:p>
    <w:p w14:paraId="6EB4565F">
      <w:pPr>
        <w:rPr>
          <w:color w:val="000000" w:themeColor="text1"/>
          <w:sz w:val="24"/>
          <w:szCs w:val="28"/>
          <w14:textFill>
            <w14:solidFill>
              <w14:schemeClr w14:val="tx1"/>
            </w14:solidFill>
          </w14:textFill>
        </w:rPr>
      </w:pPr>
    </w:p>
    <w:p w14:paraId="33F3B5F7">
      <w:pPr>
        <w:spacing w:line="480" w:lineRule="exact"/>
        <w:jc w:val="center"/>
        <w:rPr>
          <w:rFonts w:hint="eastAsia"/>
          <w:b/>
          <w:color w:val="000000" w:themeColor="text1"/>
          <w:kern w:val="0"/>
          <w:sz w:val="24"/>
          <w:szCs w:val="24"/>
          <w:highlight w:val="none"/>
          <w14:textFill>
            <w14:solidFill>
              <w14:schemeClr w14:val="tx1"/>
            </w14:solidFill>
          </w14:textFill>
        </w:rPr>
      </w:pPr>
      <w:r>
        <w:rPr>
          <w:rFonts w:hint="eastAsia"/>
          <w:b/>
          <w:color w:val="000000" w:themeColor="text1"/>
          <w:kern w:val="0"/>
          <w:sz w:val="24"/>
          <w:szCs w:val="24"/>
          <w:highlight w:val="none"/>
          <w14:textFill>
            <w14:solidFill>
              <w14:schemeClr w14:val="tx1"/>
            </w14:solidFill>
          </w14:textFill>
        </w:rPr>
        <w:t>图3</w:t>
      </w:r>
      <w:r>
        <w:rPr>
          <w:b/>
          <w:color w:val="000000" w:themeColor="text1"/>
          <w:kern w:val="0"/>
          <w:sz w:val="24"/>
          <w:szCs w:val="24"/>
          <w:highlight w:val="none"/>
          <w14:textFill>
            <w14:solidFill>
              <w14:schemeClr w14:val="tx1"/>
            </w14:solidFill>
          </w14:textFill>
        </w:rPr>
        <w:t>.2-</w:t>
      </w:r>
      <w:r>
        <w:rPr>
          <w:rFonts w:hint="eastAsia"/>
          <w:b/>
          <w:color w:val="000000" w:themeColor="text1"/>
          <w:kern w:val="0"/>
          <w:sz w:val="24"/>
          <w:szCs w:val="24"/>
          <w:highlight w:val="none"/>
          <w:lang w:val="en-US" w:eastAsia="zh-CN"/>
          <w14:textFill>
            <w14:solidFill>
              <w14:schemeClr w14:val="tx1"/>
            </w14:solidFill>
          </w14:textFill>
        </w:rPr>
        <w:t>7</w:t>
      </w:r>
      <w:r>
        <w:rPr>
          <w:b/>
          <w:color w:val="000000" w:themeColor="text1"/>
          <w:kern w:val="0"/>
          <w:sz w:val="24"/>
          <w:szCs w:val="24"/>
          <w:highlight w:val="none"/>
          <w14:textFill>
            <w14:solidFill>
              <w14:schemeClr w14:val="tx1"/>
            </w14:solidFill>
          </w14:textFill>
        </w:rPr>
        <w:t xml:space="preserve">    </w:t>
      </w:r>
      <w:r>
        <w:rPr>
          <w:rFonts w:hint="eastAsia"/>
          <w:b/>
          <w:color w:val="000000" w:themeColor="text1"/>
          <w:kern w:val="0"/>
          <w:sz w:val="24"/>
          <w:szCs w:val="24"/>
          <w:highlight w:val="none"/>
          <w:lang w:val="en-US" w:eastAsia="zh-CN"/>
          <w14:textFill>
            <w14:solidFill>
              <w14:schemeClr w14:val="tx1"/>
            </w14:solidFill>
          </w14:textFill>
        </w:rPr>
        <w:t>开采期</w:t>
      </w:r>
      <w:r>
        <w:rPr>
          <w:rFonts w:hint="eastAsia"/>
          <w:b/>
          <w:color w:val="000000" w:themeColor="text1"/>
          <w:kern w:val="0"/>
          <w:sz w:val="24"/>
          <w:szCs w:val="24"/>
          <w:highlight w:val="none"/>
          <w14:textFill>
            <w14:solidFill>
              <w14:schemeClr w14:val="tx1"/>
            </w14:solidFill>
          </w14:textFill>
        </w:rPr>
        <w:t>第8年10个月至开采期结束灌溉期水</w:t>
      </w:r>
      <w:r>
        <w:rPr>
          <w:b/>
          <w:color w:val="000000" w:themeColor="text1"/>
          <w:kern w:val="0"/>
          <w:sz w:val="24"/>
          <w:szCs w:val="24"/>
          <w:highlight w:val="none"/>
          <w14:textFill>
            <w14:solidFill>
              <w14:schemeClr w14:val="tx1"/>
            </w14:solidFill>
          </w14:textFill>
        </w:rPr>
        <w:t>平衡</w:t>
      </w:r>
      <w:r>
        <w:rPr>
          <w:rFonts w:hint="eastAsia"/>
          <w:b/>
          <w:color w:val="000000" w:themeColor="text1"/>
          <w:kern w:val="0"/>
          <w:sz w:val="24"/>
          <w:szCs w:val="24"/>
          <w:highlight w:val="none"/>
          <w14:textFill>
            <w14:solidFill>
              <w14:schemeClr w14:val="tx1"/>
            </w14:solidFill>
          </w14:textFill>
        </w:rPr>
        <w:t>图（单位：m</w:t>
      </w:r>
      <w:r>
        <w:rPr>
          <w:rFonts w:hint="eastAsia"/>
          <w:b/>
          <w:color w:val="000000" w:themeColor="text1"/>
          <w:kern w:val="0"/>
          <w:sz w:val="24"/>
          <w:szCs w:val="24"/>
          <w:highlight w:val="none"/>
          <w:vertAlign w:val="superscript"/>
          <w14:textFill>
            <w14:solidFill>
              <w14:schemeClr w14:val="tx1"/>
            </w14:solidFill>
          </w14:textFill>
        </w:rPr>
        <w:t>3</w:t>
      </w:r>
      <w:r>
        <w:rPr>
          <w:rFonts w:hint="eastAsia"/>
          <w:b/>
          <w:color w:val="000000" w:themeColor="text1"/>
          <w:kern w:val="0"/>
          <w:sz w:val="24"/>
          <w:szCs w:val="24"/>
          <w:highlight w:val="none"/>
          <w14:textFill>
            <w14:solidFill>
              <w14:schemeClr w14:val="tx1"/>
            </w14:solidFill>
          </w14:textFill>
        </w:rPr>
        <w:t>/d）</w:t>
      </w:r>
    </w:p>
    <w:p w14:paraId="6A86385D">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eastAsia="宋体"/>
          <w:color w:val="000000" w:themeColor="text1"/>
          <w:sz w:val="24"/>
          <w:lang w:eastAsia="zh-CN" w:bidi="ar"/>
          <w14:textFill>
            <w14:solidFill>
              <w14:schemeClr w14:val="tx1"/>
            </w14:solidFill>
          </w14:textFill>
        </w:rPr>
      </w:pPr>
    </w:p>
    <w:p w14:paraId="2148F936">
      <w:pPr>
        <w:rPr>
          <w:rFonts w:hint="eastAsia" w:eastAsia="宋体"/>
          <w:color w:val="000000" w:themeColor="text1"/>
          <w:sz w:val="24"/>
          <w:lang w:eastAsia="zh-CN" w:bidi="ar"/>
          <w14:textFill>
            <w14:solidFill>
              <w14:schemeClr w14:val="tx1"/>
            </w14:solidFill>
          </w14:textFill>
        </w:rPr>
      </w:pPr>
    </w:p>
    <w:p w14:paraId="24B2AB8D">
      <w:pPr>
        <w:rPr>
          <w:rFonts w:hint="eastAsia" w:eastAsia="宋体"/>
          <w:color w:val="000000" w:themeColor="text1"/>
          <w:sz w:val="24"/>
          <w:lang w:eastAsia="zh-CN" w:bidi="ar"/>
          <w14:textFill>
            <w14:solidFill>
              <w14:schemeClr w14:val="tx1"/>
            </w14:solidFill>
          </w14:textFill>
        </w:rPr>
      </w:pPr>
    </w:p>
    <w:p w14:paraId="0ABEDFA9">
      <w:pPr>
        <w:rPr>
          <w:rFonts w:hint="eastAsia" w:eastAsia="宋体"/>
          <w:color w:val="000000" w:themeColor="text1"/>
          <w:sz w:val="24"/>
          <w:lang w:eastAsia="zh-CN" w:bidi="ar"/>
          <w14:textFill>
            <w14:solidFill>
              <w14:schemeClr w14:val="tx1"/>
            </w14:solidFill>
          </w14:textFill>
        </w:rPr>
      </w:pPr>
    </w:p>
    <w:p w14:paraId="68580BFF">
      <w:pPr>
        <w:rPr>
          <w:rFonts w:hint="eastAsia" w:eastAsia="宋体"/>
          <w:color w:val="000000" w:themeColor="text1"/>
          <w:sz w:val="24"/>
          <w:lang w:eastAsia="zh-CN" w:bidi="ar"/>
          <w14:textFill>
            <w14:solidFill>
              <w14:schemeClr w14:val="tx1"/>
            </w14:solidFill>
          </w14:textFill>
        </w:rPr>
      </w:pPr>
    </w:p>
    <w:p w14:paraId="4F782055">
      <w:pPr>
        <w:rPr>
          <w:rFonts w:hint="eastAsia" w:eastAsia="宋体"/>
          <w:color w:val="000000" w:themeColor="text1"/>
          <w:sz w:val="24"/>
          <w:lang w:eastAsia="zh-CN" w:bidi="ar"/>
          <w14:textFill>
            <w14:solidFill>
              <w14:schemeClr w14:val="tx1"/>
            </w14:solidFill>
          </w14:textFill>
        </w:rPr>
      </w:pPr>
    </w:p>
    <w:p w14:paraId="502D41B1">
      <w:pPr>
        <w:rPr>
          <w:rFonts w:hint="eastAsia" w:eastAsia="宋体"/>
          <w:color w:val="000000" w:themeColor="text1"/>
          <w:sz w:val="24"/>
          <w:lang w:eastAsia="zh-CN" w:bidi="ar"/>
          <w14:textFill>
            <w14:solidFill>
              <w14:schemeClr w14:val="tx1"/>
            </w14:solidFill>
          </w14:textFill>
        </w:rPr>
      </w:pPr>
    </w:p>
    <w:p w14:paraId="153EA11E">
      <w:pPr>
        <w:rPr>
          <w:rFonts w:hint="eastAsia" w:eastAsia="宋体"/>
          <w:color w:val="000000" w:themeColor="text1"/>
          <w:sz w:val="24"/>
          <w:lang w:eastAsia="zh-CN" w:bidi="ar"/>
          <w14:textFill>
            <w14:solidFill>
              <w14:schemeClr w14:val="tx1"/>
            </w14:solidFill>
          </w14:textFill>
        </w:rPr>
      </w:pPr>
    </w:p>
    <w:p w14:paraId="62614C1C">
      <w:pPr>
        <w:rPr>
          <w:rFonts w:hint="eastAsia" w:eastAsia="宋体"/>
          <w:color w:val="000000" w:themeColor="text1"/>
          <w:sz w:val="24"/>
          <w:lang w:eastAsia="zh-CN" w:bidi="ar"/>
          <w14:textFill>
            <w14:solidFill>
              <w14:schemeClr w14:val="tx1"/>
            </w14:solidFill>
          </w14:textFill>
        </w:rPr>
      </w:pPr>
    </w:p>
    <w:p w14:paraId="6B84C22D">
      <w:pPr>
        <w:rPr>
          <w:rFonts w:hint="eastAsia" w:eastAsia="宋体"/>
          <w:color w:val="000000" w:themeColor="text1"/>
          <w:sz w:val="24"/>
          <w:lang w:eastAsia="zh-CN" w:bidi="ar"/>
          <w14:textFill>
            <w14:solidFill>
              <w14:schemeClr w14:val="tx1"/>
            </w14:solidFill>
          </w14:textFill>
        </w:rPr>
      </w:pPr>
    </w:p>
    <w:p w14:paraId="37B046CE">
      <w:pPr>
        <w:rPr>
          <w:rFonts w:hint="eastAsia" w:eastAsia="宋体"/>
          <w:color w:val="000000" w:themeColor="text1"/>
          <w:sz w:val="24"/>
          <w:lang w:eastAsia="zh-CN" w:bidi="ar"/>
          <w14:textFill>
            <w14:solidFill>
              <w14:schemeClr w14:val="tx1"/>
            </w14:solidFill>
          </w14:textFill>
        </w:rPr>
      </w:pPr>
    </w:p>
    <w:p w14:paraId="2446C2DE">
      <w:pPr>
        <w:rPr>
          <w:rFonts w:hint="eastAsia" w:eastAsia="宋体"/>
          <w:color w:val="000000" w:themeColor="text1"/>
          <w:sz w:val="24"/>
          <w:lang w:eastAsia="zh-CN" w:bidi="ar"/>
          <w14:textFill>
            <w14:solidFill>
              <w14:schemeClr w14:val="tx1"/>
            </w14:solidFill>
          </w14:textFill>
        </w:rPr>
      </w:pPr>
    </w:p>
    <w:p w14:paraId="3EE0CF2C">
      <w:pPr>
        <w:rPr>
          <w:rFonts w:hint="eastAsia" w:eastAsia="宋体"/>
          <w:color w:val="000000" w:themeColor="text1"/>
          <w:sz w:val="24"/>
          <w:lang w:eastAsia="zh-CN" w:bidi="ar"/>
          <w14:textFill>
            <w14:solidFill>
              <w14:schemeClr w14:val="tx1"/>
            </w14:solidFill>
          </w14:textFill>
        </w:rPr>
      </w:pPr>
    </w:p>
    <w:p w14:paraId="002D413F">
      <w:pPr>
        <w:rPr>
          <w:rFonts w:hint="eastAsia" w:eastAsia="宋体"/>
          <w:color w:val="000000" w:themeColor="text1"/>
          <w:sz w:val="24"/>
          <w:lang w:eastAsia="zh-CN" w:bidi="ar"/>
          <w14:textFill>
            <w14:solidFill>
              <w14:schemeClr w14:val="tx1"/>
            </w14:solidFill>
          </w14:textFill>
        </w:rPr>
      </w:pPr>
    </w:p>
    <w:p w14:paraId="31A8AF0B">
      <w:pPr>
        <w:rPr>
          <w:rFonts w:hint="eastAsia" w:eastAsia="宋体"/>
          <w:color w:val="000000" w:themeColor="text1"/>
          <w:sz w:val="24"/>
          <w:lang w:eastAsia="zh-CN" w:bidi="ar"/>
          <w14:textFill>
            <w14:solidFill>
              <w14:schemeClr w14:val="tx1"/>
            </w14:solidFill>
          </w14:textFill>
        </w:rPr>
      </w:pPr>
    </w:p>
    <w:p w14:paraId="6CFA83EC">
      <w:pPr>
        <w:pStyle w:val="18"/>
        <w:spacing w:line="480" w:lineRule="exact"/>
        <w:ind w:firstLine="0" w:firstLineChars="0"/>
        <w:jc w:val="center"/>
        <w:rPr>
          <w:rFonts w:hint="eastAsia"/>
          <w:b/>
          <w:bCs/>
          <w:color w:val="000000" w:themeColor="text1"/>
          <w:sz w:val="24"/>
          <w:highlight w:val="none"/>
          <w:lang w:bidi="ar"/>
          <w14:textFill>
            <w14:solidFill>
              <w14:schemeClr w14:val="tx1"/>
            </w14:solidFill>
          </w14:textFill>
        </w:rPr>
      </w:pPr>
      <w:r>
        <w:rPr>
          <w:b/>
          <w:bCs/>
          <w:color w:val="000000" w:themeColor="text1"/>
          <w:sz w:val="24"/>
          <w:highlight w:val="none"/>
          <w:lang w:bidi="ar"/>
          <w14:textFill>
            <w14:solidFill>
              <w14:schemeClr w14:val="tx1"/>
            </w14:solidFill>
          </w14:textFill>
        </w:rPr>
        <w:t>图3.2-</w:t>
      </w:r>
      <w:r>
        <w:rPr>
          <w:rFonts w:hint="eastAsia"/>
          <w:b/>
          <w:bCs/>
          <w:color w:val="000000" w:themeColor="text1"/>
          <w:sz w:val="24"/>
          <w:highlight w:val="none"/>
          <w:lang w:val="en-US" w:eastAsia="zh-CN" w:bidi="ar"/>
          <w14:textFill>
            <w14:solidFill>
              <w14:schemeClr w14:val="tx1"/>
            </w14:solidFill>
          </w14:textFill>
        </w:rPr>
        <w:t>8</w:t>
      </w:r>
      <w:r>
        <w:rPr>
          <w:b/>
          <w:bCs/>
          <w:color w:val="000000" w:themeColor="text1"/>
          <w:sz w:val="24"/>
          <w:highlight w:val="none"/>
          <w:lang w:bidi="ar"/>
          <w14:textFill>
            <w14:solidFill>
              <w14:schemeClr w14:val="tx1"/>
            </w14:solidFill>
          </w14:textFill>
        </w:rPr>
        <w:t xml:space="preserve">    </w:t>
      </w:r>
      <w:r>
        <w:rPr>
          <w:rFonts w:hint="eastAsia"/>
          <w:b/>
          <w:color w:val="000000" w:themeColor="text1"/>
          <w:kern w:val="0"/>
          <w:sz w:val="24"/>
          <w:szCs w:val="24"/>
          <w:highlight w:val="none"/>
          <w:lang w:val="en-US" w:eastAsia="zh-CN"/>
          <w14:textFill>
            <w14:solidFill>
              <w14:schemeClr w14:val="tx1"/>
            </w14:solidFill>
          </w14:textFill>
        </w:rPr>
        <w:t>开采期</w:t>
      </w:r>
      <w:r>
        <w:rPr>
          <w:rFonts w:hint="eastAsia"/>
          <w:b/>
          <w:color w:val="000000" w:themeColor="text1"/>
          <w:kern w:val="0"/>
          <w:sz w:val="24"/>
          <w:szCs w:val="24"/>
          <w:highlight w:val="none"/>
          <w14:textFill>
            <w14:solidFill>
              <w14:schemeClr w14:val="tx1"/>
            </w14:solidFill>
          </w14:textFill>
        </w:rPr>
        <w:t>第8年10个月至开采期结束</w:t>
      </w:r>
      <w:r>
        <w:rPr>
          <w:rFonts w:hint="eastAsia"/>
          <w:b/>
          <w:bCs/>
          <w:color w:val="000000" w:themeColor="text1"/>
          <w:sz w:val="24"/>
          <w:highlight w:val="none"/>
          <w:lang w:bidi="ar"/>
          <w14:textFill>
            <w14:solidFill>
              <w14:schemeClr w14:val="tx1"/>
            </w14:solidFill>
          </w14:textFill>
        </w:rPr>
        <w:t>非灌溉期</w:t>
      </w:r>
      <w:r>
        <w:rPr>
          <w:b/>
          <w:bCs/>
          <w:color w:val="000000" w:themeColor="text1"/>
          <w:sz w:val="24"/>
          <w:highlight w:val="none"/>
          <w:lang w:bidi="ar"/>
          <w14:textFill>
            <w14:solidFill>
              <w14:schemeClr w14:val="tx1"/>
            </w14:solidFill>
          </w14:textFill>
        </w:rPr>
        <w:t>水平衡图</w:t>
      </w:r>
      <w:r>
        <w:rPr>
          <w:rFonts w:hint="eastAsia"/>
          <w:b/>
          <w:bCs/>
          <w:color w:val="000000" w:themeColor="text1"/>
          <w:sz w:val="24"/>
          <w:highlight w:val="none"/>
          <w:lang w:bidi="ar"/>
          <w14:textFill>
            <w14:solidFill>
              <w14:schemeClr w14:val="tx1"/>
            </w14:solidFill>
          </w14:textFill>
        </w:rPr>
        <w:t>（单位：m</w:t>
      </w:r>
      <w:r>
        <w:rPr>
          <w:rFonts w:hint="eastAsia"/>
          <w:b/>
          <w:bCs/>
          <w:color w:val="000000" w:themeColor="text1"/>
          <w:sz w:val="24"/>
          <w:highlight w:val="none"/>
          <w:vertAlign w:val="superscript"/>
          <w:lang w:bidi="ar"/>
          <w14:textFill>
            <w14:solidFill>
              <w14:schemeClr w14:val="tx1"/>
            </w14:solidFill>
          </w14:textFill>
        </w:rPr>
        <w:t>3</w:t>
      </w:r>
      <w:r>
        <w:rPr>
          <w:rFonts w:hint="eastAsia"/>
          <w:b/>
          <w:bCs/>
          <w:color w:val="000000" w:themeColor="text1"/>
          <w:sz w:val="24"/>
          <w:highlight w:val="none"/>
          <w:lang w:bidi="ar"/>
          <w14:textFill>
            <w14:solidFill>
              <w14:schemeClr w14:val="tx1"/>
            </w14:solidFill>
          </w14:textFill>
        </w:rPr>
        <w:t>/d）</w:t>
      </w:r>
    </w:p>
    <w:p w14:paraId="0983BA99">
      <w:pPr>
        <w:pStyle w:val="18"/>
        <w:keepNext w:val="0"/>
        <w:keepLines w:val="0"/>
        <w:pageBreakBefore w:val="0"/>
        <w:widowControl w:val="0"/>
        <w:kinsoku/>
        <w:wordWrap/>
        <w:overflowPunct/>
        <w:topLinePunct w:val="0"/>
        <w:autoSpaceDE/>
        <w:autoSpaceDN/>
        <w:bidi w:val="0"/>
        <w:adjustRightInd/>
        <w:snapToGrid/>
        <w:spacing w:line="240" w:lineRule="auto"/>
        <w:ind w:left="-210" w:leftChars="-100" w:right="-210" w:rightChars="-100" w:firstLine="0" w:firstLineChars="0"/>
        <w:jc w:val="center"/>
        <w:textAlignment w:val="auto"/>
        <w:rPr>
          <w:rFonts w:hint="eastAsia"/>
          <w:b/>
          <w:bCs/>
          <w:color w:val="000000" w:themeColor="text1"/>
          <w:sz w:val="24"/>
          <w:highlight w:val="none"/>
          <w:lang w:bidi="ar"/>
          <w14:textFill>
            <w14:solidFill>
              <w14:schemeClr w14:val="tx1"/>
            </w14:solidFill>
          </w14:textFill>
        </w:rPr>
      </w:pPr>
    </w:p>
    <w:p w14:paraId="64564251">
      <w:pPr>
        <w:rPr>
          <w:rFonts w:hint="eastAsia"/>
          <w:b/>
          <w:bCs/>
          <w:color w:val="000000" w:themeColor="text1"/>
          <w:sz w:val="24"/>
          <w:highlight w:val="none"/>
          <w:lang w:bidi="ar"/>
          <w14:textFill>
            <w14:solidFill>
              <w14:schemeClr w14:val="tx1"/>
            </w14:solidFill>
          </w14:textFill>
        </w:rPr>
      </w:pPr>
    </w:p>
    <w:p w14:paraId="1266B90F">
      <w:pPr>
        <w:rPr>
          <w:rFonts w:hint="eastAsia"/>
          <w:b/>
          <w:bCs/>
          <w:color w:val="000000" w:themeColor="text1"/>
          <w:sz w:val="24"/>
          <w:highlight w:val="none"/>
          <w:lang w:bidi="ar"/>
          <w14:textFill>
            <w14:solidFill>
              <w14:schemeClr w14:val="tx1"/>
            </w14:solidFill>
          </w14:textFill>
        </w:rPr>
      </w:pPr>
    </w:p>
    <w:p w14:paraId="137FB0D2">
      <w:pPr>
        <w:rPr>
          <w:rFonts w:hint="eastAsia"/>
          <w:b/>
          <w:bCs/>
          <w:color w:val="000000" w:themeColor="text1"/>
          <w:sz w:val="24"/>
          <w:highlight w:val="none"/>
          <w:lang w:bidi="ar"/>
          <w14:textFill>
            <w14:solidFill>
              <w14:schemeClr w14:val="tx1"/>
            </w14:solidFill>
          </w14:textFill>
        </w:rPr>
      </w:pPr>
    </w:p>
    <w:p w14:paraId="2B4F8B93">
      <w:pPr>
        <w:rPr>
          <w:rFonts w:hint="eastAsia"/>
          <w:b/>
          <w:bCs/>
          <w:color w:val="000000" w:themeColor="text1"/>
          <w:sz w:val="24"/>
          <w:highlight w:val="none"/>
          <w:lang w:bidi="ar"/>
          <w14:textFill>
            <w14:solidFill>
              <w14:schemeClr w14:val="tx1"/>
            </w14:solidFill>
          </w14:textFill>
        </w:rPr>
      </w:pPr>
    </w:p>
    <w:p w14:paraId="333AA1FB">
      <w:pPr>
        <w:rPr>
          <w:rFonts w:hint="eastAsia"/>
          <w:b/>
          <w:bCs/>
          <w:color w:val="000000" w:themeColor="text1"/>
          <w:sz w:val="24"/>
          <w:highlight w:val="none"/>
          <w:lang w:bidi="ar"/>
          <w14:textFill>
            <w14:solidFill>
              <w14:schemeClr w14:val="tx1"/>
            </w14:solidFill>
          </w14:textFill>
        </w:rPr>
      </w:pPr>
    </w:p>
    <w:p w14:paraId="3B550E88">
      <w:pPr>
        <w:rPr>
          <w:rFonts w:hint="eastAsia"/>
          <w:b/>
          <w:bCs/>
          <w:color w:val="000000" w:themeColor="text1"/>
          <w:sz w:val="24"/>
          <w:highlight w:val="none"/>
          <w:lang w:bidi="ar"/>
          <w14:textFill>
            <w14:solidFill>
              <w14:schemeClr w14:val="tx1"/>
            </w14:solidFill>
          </w14:textFill>
        </w:rPr>
      </w:pPr>
    </w:p>
    <w:p w14:paraId="2BFA6BC7">
      <w:pPr>
        <w:rPr>
          <w:rFonts w:hint="eastAsia"/>
          <w:b/>
          <w:bCs/>
          <w:color w:val="000000" w:themeColor="text1"/>
          <w:sz w:val="24"/>
          <w:highlight w:val="none"/>
          <w:lang w:bidi="ar"/>
          <w14:textFill>
            <w14:solidFill>
              <w14:schemeClr w14:val="tx1"/>
            </w14:solidFill>
          </w14:textFill>
        </w:rPr>
      </w:pPr>
    </w:p>
    <w:p w14:paraId="41566845">
      <w:pPr>
        <w:rPr>
          <w:rFonts w:hint="eastAsia"/>
          <w:b/>
          <w:bCs/>
          <w:color w:val="000000" w:themeColor="text1"/>
          <w:sz w:val="24"/>
          <w:highlight w:val="none"/>
          <w:lang w:bidi="ar"/>
          <w14:textFill>
            <w14:solidFill>
              <w14:schemeClr w14:val="tx1"/>
            </w14:solidFill>
          </w14:textFill>
        </w:rPr>
      </w:pPr>
    </w:p>
    <w:p w14:paraId="3C2BC632">
      <w:pPr>
        <w:rPr>
          <w:rFonts w:hint="eastAsia"/>
          <w:b/>
          <w:bCs/>
          <w:color w:val="000000" w:themeColor="text1"/>
          <w:sz w:val="24"/>
          <w:highlight w:val="none"/>
          <w:lang w:bidi="ar"/>
          <w14:textFill>
            <w14:solidFill>
              <w14:schemeClr w14:val="tx1"/>
            </w14:solidFill>
          </w14:textFill>
        </w:rPr>
      </w:pPr>
    </w:p>
    <w:p w14:paraId="48DB74B1">
      <w:pPr>
        <w:rPr>
          <w:rFonts w:hint="eastAsia"/>
          <w:b/>
          <w:bCs/>
          <w:color w:val="000000" w:themeColor="text1"/>
          <w:sz w:val="24"/>
          <w:highlight w:val="none"/>
          <w:lang w:bidi="ar"/>
          <w14:textFill>
            <w14:solidFill>
              <w14:schemeClr w14:val="tx1"/>
            </w14:solidFill>
          </w14:textFill>
        </w:rPr>
      </w:pPr>
    </w:p>
    <w:p w14:paraId="109FE1C3">
      <w:pPr>
        <w:rPr>
          <w:rFonts w:hint="eastAsia"/>
          <w:b/>
          <w:bCs/>
          <w:color w:val="000000" w:themeColor="text1"/>
          <w:sz w:val="24"/>
          <w:highlight w:val="none"/>
          <w:lang w:bidi="ar"/>
          <w14:textFill>
            <w14:solidFill>
              <w14:schemeClr w14:val="tx1"/>
            </w14:solidFill>
          </w14:textFill>
        </w:rPr>
      </w:pPr>
    </w:p>
    <w:p w14:paraId="1FBF822D">
      <w:pPr>
        <w:rPr>
          <w:rFonts w:hint="eastAsia"/>
          <w:b/>
          <w:bCs/>
          <w:color w:val="000000" w:themeColor="text1"/>
          <w:sz w:val="24"/>
          <w:highlight w:val="none"/>
          <w:lang w:bidi="ar"/>
          <w14:textFill>
            <w14:solidFill>
              <w14:schemeClr w14:val="tx1"/>
            </w14:solidFill>
          </w14:textFill>
        </w:rPr>
      </w:pPr>
    </w:p>
    <w:p w14:paraId="12810F83">
      <w:pPr>
        <w:rPr>
          <w:rFonts w:hint="eastAsia"/>
          <w:b/>
          <w:bCs/>
          <w:color w:val="000000" w:themeColor="text1"/>
          <w:sz w:val="24"/>
          <w:highlight w:val="none"/>
          <w:lang w:bidi="ar"/>
          <w14:textFill>
            <w14:solidFill>
              <w14:schemeClr w14:val="tx1"/>
            </w14:solidFill>
          </w14:textFill>
        </w:rPr>
      </w:pPr>
    </w:p>
    <w:p w14:paraId="450A95C2">
      <w:pPr>
        <w:rPr>
          <w:rFonts w:hint="eastAsia"/>
          <w:b/>
          <w:bCs/>
          <w:color w:val="000000" w:themeColor="text1"/>
          <w:sz w:val="24"/>
          <w:highlight w:val="none"/>
          <w:lang w:bidi="ar"/>
          <w14:textFill>
            <w14:solidFill>
              <w14:schemeClr w14:val="tx1"/>
            </w14:solidFill>
          </w14:textFill>
        </w:rPr>
      </w:pPr>
    </w:p>
    <w:p w14:paraId="60C86A84">
      <w:pPr>
        <w:rPr>
          <w:rFonts w:hint="eastAsia"/>
          <w:b/>
          <w:bCs/>
          <w:color w:val="000000" w:themeColor="text1"/>
          <w:sz w:val="24"/>
          <w:highlight w:val="none"/>
          <w:lang w:bidi="ar"/>
          <w14:textFill>
            <w14:solidFill>
              <w14:schemeClr w14:val="tx1"/>
            </w14:solidFill>
          </w14:textFill>
        </w:rPr>
      </w:pPr>
    </w:p>
    <w:p w14:paraId="6F2A3ACD">
      <w:pPr>
        <w:rPr>
          <w:rFonts w:hint="eastAsia"/>
          <w:b/>
          <w:bCs/>
          <w:color w:val="000000" w:themeColor="text1"/>
          <w:sz w:val="24"/>
          <w:highlight w:val="none"/>
          <w:lang w:bidi="ar"/>
          <w14:textFill>
            <w14:solidFill>
              <w14:schemeClr w14:val="tx1"/>
            </w14:solidFill>
          </w14:textFill>
        </w:rPr>
      </w:pPr>
    </w:p>
    <w:p w14:paraId="1EA52332">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bidi="ar"/>
          <w14:textFill>
            <w14:solidFill>
              <w14:schemeClr w14:val="tx1"/>
            </w14:solidFill>
          </w14:textFill>
        </w:rPr>
      </w:pPr>
      <w:r>
        <w:rPr>
          <w:b/>
          <w:bCs/>
          <w:color w:val="000000" w:themeColor="text1"/>
          <w:sz w:val="24"/>
          <w:highlight w:val="none"/>
          <w:lang w:bidi="ar"/>
          <w14:textFill>
            <w14:solidFill>
              <w14:schemeClr w14:val="tx1"/>
            </w14:solidFill>
          </w14:textFill>
        </w:rPr>
        <w:t>图3.2-</w:t>
      </w:r>
      <w:r>
        <w:rPr>
          <w:rFonts w:hint="eastAsia"/>
          <w:b/>
          <w:bCs/>
          <w:color w:val="000000" w:themeColor="text1"/>
          <w:sz w:val="24"/>
          <w:highlight w:val="none"/>
          <w:lang w:val="en-US" w:eastAsia="zh-CN" w:bidi="ar"/>
          <w14:textFill>
            <w14:solidFill>
              <w14:schemeClr w14:val="tx1"/>
            </w14:solidFill>
          </w14:textFill>
        </w:rPr>
        <w:t>9</w:t>
      </w:r>
      <w:r>
        <w:rPr>
          <w:b/>
          <w:bCs/>
          <w:color w:val="000000" w:themeColor="text1"/>
          <w:sz w:val="24"/>
          <w:highlight w:val="none"/>
          <w:lang w:bidi="ar"/>
          <w14:textFill>
            <w14:solidFill>
              <w14:schemeClr w14:val="tx1"/>
            </w14:solidFill>
          </w14:textFill>
        </w:rPr>
        <w:t xml:space="preserve">    </w:t>
      </w:r>
      <w:r>
        <w:rPr>
          <w:rFonts w:hint="eastAsia"/>
          <w:b/>
          <w:bCs/>
          <w:color w:val="000000" w:themeColor="text1"/>
          <w:sz w:val="24"/>
          <w:highlight w:val="none"/>
          <w:lang w:val="en-US" w:eastAsia="zh-CN" w:bidi="ar"/>
          <w14:textFill>
            <w14:solidFill>
              <w14:schemeClr w14:val="tx1"/>
            </w14:solidFill>
          </w14:textFill>
        </w:rPr>
        <w:t>冬季停产期</w:t>
      </w:r>
      <w:r>
        <w:rPr>
          <w:b/>
          <w:bCs/>
          <w:color w:val="000000" w:themeColor="text1"/>
          <w:sz w:val="24"/>
          <w:highlight w:val="none"/>
          <w:lang w:bidi="ar"/>
          <w14:textFill>
            <w14:solidFill>
              <w14:schemeClr w14:val="tx1"/>
            </w14:solidFill>
          </w14:textFill>
        </w:rPr>
        <w:t>水平衡图</w:t>
      </w:r>
      <w:r>
        <w:rPr>
          <w:rFonts w:hint="eastAsia"/>
          <w:b/>
          <w:bCs/>
          <w:color w:val="000000" w:themeColor="text1"/>
          <w:sz w:val="24"/>
          <w:highlight w:val="none"/>
          <w:lang w:bidi="ar"/>
          <w14:textFill>
            <w14:solidFill>
              <w14:schemeClr w14:val="tx1"/>
            </w14:solidFill>
          </w14:textFill>
        </w:rPr>
        <w:t>（单位：m</w:t>
      </w:r>
      <w:r>
        <w:rPr>
          <w:rFonts w:hint="eastAsia"/>
          <w:b/>
          <w:bCs/>
          <w:color w:val="000000" w:themeColor="text1"/>
          <w:sz w:val="24"/>
          <w:highlight w:val="none"/>
          <w:vertAlign w:val="superscript"/>
          <w:lang w:bidi="ar"/>
          <w14:textFill>
            <w14:solidFill>
              <w14:schemeClr w14:val="tx1"/>
            </w14:solidFill>
          </w14:textFill>
        </w:rPr>
        <w:t>3</w:t>
      </w:r>
      <w:r>
        <w:rPr>
          <w:rFonts w:hint="eastAsia"/>
          <w:b/>
          <w:bCs/>
          <w:color w:val="000000" w:themeColor="text1"/>
          <w:sz w:val="24"/>
          <w:highlight w:val="none"/>
          <w:lang w:bidi="ar"/>
          <w14:textFill>
            <w14:solidFill>
              <w14:schemeClr w14:val="tx1"/>
            </w14:solidFill>
          </w14:textFill>
        </w:rPr>
        <w:t>/d）</w:t>
      </w:r>
    </w:p>
    <w:p w14:paraId="2205F12C">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未利用井下涌水排放去向的合理性分析：</w:t>
      </w:r>
    </w:p>
    <w:p w14:paraId="5620B994">
      <w:pPr>
        <w:pStyle w:val="18"/>
        <w:overflowPunct w:val="0"/>
        <w:topLinePunct/>
        <w:spacing w:line="480" w:lineRule="exact"/>
        <w:ind w:firstLine="480"/>
        <w:rPr>
          <w:rFonts w:hint="eastAsia"/>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根据开发利用方案，西成铁矿选矿厂生产用水水量为14</w:t>
      </w:r>
      <w:r>
        <w:rPr>
          <w:color w:val="000000" w:themeColor="text1"/>
          <w:sz w:val="24"/>
          <w:lang w:bidi="ar"/>
          <w14:textFill>
            <w14:solidFill>
              <w14:schemeClr w14:val="tx1"/>
            </w14:solidFill>
          </w14:textFill>
        </w:rPr>
        <w:t>40</w:t>
      </w:r>
      <w:r>
        <w:rPr>
          <w:rFonts w:hint="eastAsia"/>
          <w:color w:val="000000" w:themeColor="text1"/>
          <w:sz w:val="24"/>
          <w:lang w:bidi="ar"/>
          <w14:textFill>
            <w14:solidFill>
              <w14:schemeClr w14:val="tx1"/>
            </w14:solidFill>
          </w14:textFill>
        </w:rPr>
        <w:t>m</w:t>
      </w:r>
      <w:r>
        <w:rPr>
          <w:color w:val="000000" w:themeColor="text1"/>
          <w:sz w:val="24"/>
          <w:vertAlign w:val="superscript"/>
          <w:lang w:bidi="ar"/>
          <w14:textFill>
            <w14:solidFill>
              <w14:schemeClr w14:val="tx1"/>
            </w14:solidFill>
          </w14:textFill>
        </w:rPr>
        <w:t>3</w:t>
      </w:r>
      <w:r>
        <w:rPr>
          <w:color w:val="000000" w:themeColor="text1"/>
          <w:sz w:val="24"/>
          <w:lang w:bidi="ar"/>
          <w14:textFill>
            <w14:solidFill>
              <w14:schemeClr w14:val="tx1"/>
            </w14:solidFill>
          </w14:textFill>
        </w:rPr>
        <w:t>/d</w:t>
      </w:r>
      <w:r>
        <w:rPr>
          <w:rFonts w:hint="eastAsia"/>
          <w:color w:val="000000" w:themeColor="text1"/>
          <w:sz w:val="24"/>
          <w:lang w:bidi="ar"/>
          <w14:textFill>
            <w14:solidFill>
              <w14:schemeClr w14:val="tx1"/>
            </w14:solidFill>
          </w14:textFill>
        </w:rPr>
        <w:t>（包含循环用水量）。矿山选矿厂已建设高位水池两座，容积均为1000m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。本项目建成后，</w:t>
      </w:r>
      <w:r>
        <w:rPr>
          <w:rFonts w:hint="eastAsia"/>
          <w:color w:val="000000" w:themeColor="text1"/>
          <w:sz w:val="24"/>
          <w:lang w:val="en-US" w:eastAsia="zh-CN" w:bidi="ar"/>
          <w14:textFill>
            <w14:solidFill>
              <w14:schemeClr w14:val="tx1"/>
            </w14:solidFill>
          </w14:textFill>
        </w:rPr>
        <w:t>生产期</w:t>
      </w:r>
      <w:r>
        <w:rPr>
          <w:rFonts w:hint="eastAsia"/>
          <w:color w:val="000000" w:themeColor="text1"/>
          <w:sz w:val="24"/>
          <w:lang w:bidi="ar"/>
          <w14:textFill>
            <w14:solidFill>
              <w14:schemeClr w14:val="tx1"/>
            </w14:solidFill>
          </w14:textFill>
        </w:rPr>
        <w:t>未利用矿井涌水仅5</w:t>
      </w:r>
      <w:r>
        <w:rPr>
          <w:rFonts w:hint="eastAsia"/>
          <w:color w:val="000000" w:themeColor="text1"/>
          <w:sz w:val="24"/>
          <w:lang w:val="en-US" w:eastAsia="zh-CN" w:bidi="ar"/>
          <w14:textFill>
            <w14:solidFill>
              <w14:schemeClr w14:val="tx1"/>
            </w14:solidFill>
          </w14:textFill>
        </w:rPr>
        <w:t>17.2</w:t>
      </w:r>
      <w:r>
        <w:rPr>
          <w:rFonts w:hint="eastAsia"/>
          <w:color w:val="000000" w:themeColor="text1"/>
          <w:sz w:val="24"/>
          <w:lang w:bidi="ar"/>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601.6</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，作为</w:t>
      </w:r>
      <w:r>
        <w:rPr>
          <w:rFonts w:hint="eastAsia"/>
          <w:color w:val="000000" w:themeColor="text1"/>
          <w:sz w:val="24"/>
          <w:szCs w:val="28"/>
          <w:lang w:val="en-US" w:eastAsia="zh-CN"/>
          <w14:textFill>
            <w14:solidFill>
              <w14:schemeClr w14:val="tx1"/>
            </w14:solidFill>
          </w14:textFill>
        </w:rPr>
        <w:t>选矿生产</w:t>
      </w:r>
      <w:r>
        <w:rPr>
          <w:rFonts w:hint="eastAsia"/>
          <w:color w:val="000000" w:themeColor="text1"/>
          <w:sz w:val="24"/>
          <w:szCs w:val="28"/>
          <w14:textFill>
            <w14:solidFill>
              <w14:schemeClr w14:val="tx1"/>
            </w14:solidFill>
          </w14:textFill>
        </w:rPr>
        <w:t>补充使用，选厂生产用水通过输水管道输送</w:t>
      </w:r>
      <w:r>
        <w:rPr>
          <w:rFonts w:hint="eastAsia"/>
          <w:color w:val="000000" w:themeColor="text1"/>
          <w:sz w:val="24"/>
          <w:szCs w:val="28"/>
          <w:lang w:val="en-US" w:eastAsia="zh-CN"/>
          <w14:textFill>
            <w14:solidFill>
              <w14:schemeClr w14:val="tx1"/>
            </w14:solidFill>
          </w14:textFill>
        </w:rPr>
        <w:t>至</w:t>
      </w:r>
      <w:r>
        <w:rPr>
          <w:rFonts w:hint="eastAsia"/>
          <w:color w:val="000000" w:themeColor="text1"/>
          <w:sz w:val="24"/>
          <w:szCs w:val="28"/>
          <w14:textFill>
            <w14:solidFill>
              <w14:schemeClr w14:val="tx1"/>
            </w14:solidFill>
          </w14:textFill>
        </w:rPr>
        <w:t>高位水池，然后通过自流输送至各用水点。</w:t>
      </w:r>
      <w:r>
        <w:rPr>
          <w:rFonts w:hint="eastAsia"/>
          <w:color w:val="000000" w:themeColor="text1"/>
          <w:sz w:val="24"/>
          <w:lang w:bidi="ar"/>
          <w14:textFill>
            <w14:solidFill>
              <w14:schemeClr w14:val="tx1"/>
            </w14:solidFill>
          </w14:textFill>
        </w:rPr>
        <w:t>对于</w:t>
      </w:r>
      <w:r>
        <w:rPr>
          <w:rFonts w:hint="eastAsia"/>
          <w:color w:val="000000" w:themeColor="text1"/>
          <w:sz w:val="24"/>
          <w:szCs w:val="28"/>
          <w14:textFill>
            <w14:solidFill>
              <w14:schemeClr w14:val="tx1"/>
            </w14:solidFill>
          </w14:textFill>
        </w:rPr>
        <w:t>选厂生产用水</w:t>
      </w:r>
      <w:r>
        <w:rPr>
          <w:rFonts w:hint="eastAsia"/>
          <w:color w:val="000000" w:themeColor="text1"/>
          <w:sz w:val="24"/>
          <w:lang w:bidi="ar"/>
          <w14:textFill>
            <w14:solidFill>
              <w14:schemeClr w14:val="tx1"/>
            </w14:solidFill>
          </w14:textFill>
        </w:rPr>
        <w:t>不足部分，西成矿业计划</w:t>
      </w:r>
      <w:r>
        <w:rPr>
          <w:rFonts w:hint="eastAsia"/>
          <w:color w:val="000000" w:themeColor="text1"/>
          <w:sz w:val="24"/>
          <w:lang w:val="en-US" w:eastAsia="zh-CN" w:bidi="ar"/>
          <w14:textFill>
            <w14:solidFill>
              <w14:schemeClr w14:val="tx1"/>
            </w14:solidFill>
          </w14:textFill>
        </w:rPr>
        <w:t>办理取水证，</w:t>
      </w:r>
      <w:r>
        <w:rPr>
          <w:rFonts w:hint="eastAsia"/>
          <w:color w:val="000000" w:themeColor="text1"/>
          <w:sz w:val="24"/>
          <w:lang w:bidi="ar"/>
          <w14:textFill>
            <w14:solidFill>
              <w14:schemeClr w14:val="tx1"/>
            </w14:solidFill>
          </w14:textFill>
        </w:rPr>
        <w:t>采用距矿山西北侧约1</w:t>
      </w:r>
      <w:r>
        <w:rPr>
          <w:color w:val="000000" w:themeColor="text1"/>
          <w:sz w:val="24"/>
          <w:lang w:bidi="ar"/>
          <w14:textFill>
            <w14:solidFill>
              <w14:schemeClr w14:val="tx1"/>
            </w14:solidFill>
          </w14:textFill>
        </w:rPr>
        <w:t>3</w:t>
      </w:r>
      <w:r>
        <w:rPr>
          <w:rFonts w:hint="eastAsia"/>
          <w:color w:val="000000" w:themeColor="text1"/>
          <w:sz w:val="24"/>
          <w:lang w:bidi="ar"/>
          <w14:textFill>
            <w14:solidFill>
              <w14:schemeClr w14:val="tx1"/>
            </w14:solidFill>
          </w14:textFill>
        </w:rPr>
        <w:t>km的6眼水源井供给，通过管道泵入清水池。</w:t>
      </w:r>
      <w:r>
        <w:rPr>
          <w:rFonts w:hint="eastAsia"/>
          <w:color w:val="000000" w:themeColor="text1"/>
          <w:sz w:val="24"/>
          <w:lang w:val="en-US" w:eastAsia="zh-CN" w:bidi="ar"/>
          <w14:textFill>
            <w14:solidFill>
              <w14:schemeClr w14:val="tx1"/>
            </w14:solidFill>
          </w14:textFill>
        </w:rPr>
        <w:t>冬季停产期90天，矿井涌水收集沉淀后临时贮存于容积为150000m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的蓄水池中，待来年用于采矿和选矿生产、绿化、洒水降尘等。</w:t>
      </w:r>
      <w:r>
        <w:rPr>
          <w:rFonts w:hint="eastAsia"/>
          <w:color w:val="000000" w:themeColor="text1"/>
          <w:sz w:val="24"/>
          <w:lang w:bidi="ar"/>
          <w14:textFill>
            <w14:solidFill>
              <w14:schemeClr w14:val="tx1"/>
            </w14:solidFill>
          </w14:textFill>
        </w:rPr>
        <w:t>因此，未利用井下涌水排放去向合理可行。</w:t>
      </w:r>
    </w:p>
    <w:p w14:paraId="47DD721A">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.5.4供热</w:t>
      </w:r>
    </w:p>
    <w:p w14:paraId="1D0021A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14:textFill>
            <w14:solidFill>
              <w14:schemeClr w14:val="tx1"/>
            </w14:solidFill>
          </w14:textFill>
        </w:rPr>
        <w:t>本项目运营期供暖采用电锅炉，矿区已建有锅炉房一座，配备两台1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MW电加热锅炉，最大供热负荷为2.8MW</w:t>
      </w:r>
      <w:r>
        <w:rPr>
          <w:rFonts w:hint="eastAsia"/>
          <w:color w:val="000000" w:themeColor="text1"/>
          <w:sz w:val="24"/>
          <w:szCs w:val="28"/>
          <w14:textFill>
            <w14:solidFill>
              <w14:schemeClr w14:val="tx1"/>
            </w14:solidFill>
          </w14:textFill>
        </w:rPr>
        <w:t>。锅炉房由主车间及辅助间组成，辅助间包括水处理、配电控制室及辅助用房。</w:t>
      </w:r>
    </w:p>
    <w:p w14:paraId="3CB4018D">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采用直接集中供热形式，管网采用直埋敷设为主，局部采用管沟敷设。供热管网的范围为矿区各车间和生活区的生活设施用房。直埋敷设管网主干管采用有补偿敷设，局部支管采用无补偿敷设。接用户的管网在管沟或检查井内设调节阀。在主要分段处设阀门检查井，干管给用户留有30kPa的压头。管网采用枝状敷设。采暖系统采用散热器采暖系统，散热器采用钢制散热器GXS600-B2型，设备承压1.0MPa，当△T=64.5℃时，每片散热量为128W。每个采暖分支系统设截止阀。</w:t>
      </w:r>
    </w:p>
    <w:p w14:paraId="1B1E89E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本项目矿山供热方案总体可行。</w:t>
      </w:r>
    </w:p>
    <w:p w14:paraId="41F05955">
      <w:pPr>
        <w:pStyle w:val="4"/>
        <w:spacing w:before="60" w:after="60" w:line="480" w:lineRule="exact"/>
        <w:rPr>
          <w:color w:val="000000" w:themeColor="text1"/>
          <w:kern w:val="2"/>
          <w14:textFill>
            <w14:solidFill>
              <w14:schemeClr w14:val="tx1"/>
            </w14:solidFill>
          </w14:textFill>
        </w:rPr>
      </w:pPr>
      <w:bookmarkStart w:id="296" w:name="_Toc9686"/>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.6依托工程</w:t>
      </w:r>
      <w:bookmarkEnd w:id="296"/>
    </w:p>
    <w:p w14:paraId="1DDEB17A">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本项目产品为原矿石，块度≤350mm，产品运至西成矿业选矿厂作为选矿原料。西成矿业选矿厂、尾矿库为本项目依托工程。</w:t>
      </w:r>
    </w:p>
    <w:p w14:paraId="69C62353">
      <w:pPr>
        <w:pStyle w:val="18"/>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2006年9月20日，</w:t>
      </w:r>
      <w:r>
        <w:rPr>
          <w:rFonts w:hint="eastAsia"/>
          <w:color w:val="000000" w:themeColor="text1"/>
          <w:sz w:val="24"/>
          <w:lang w:bidi="ar"/>
          <w14:textFill>
            <w14:solidFill>
              <w14:schemeClr w14:val="tx1"/>
            </w14:solidFill>
          </w14:textFill>
        </w:rPr>
        <w:t>西成矿业取得</w:t>
      </w:r>
      <w:r>
        <w:rPr>
          <w:rFonts w:hint="eastAsia"/>
          <w:color w:val="000000" w:themeColor="text1"/>
          <w:sz w:val="24"/>
          <w14:textFill>
            <w14:solidFill>
              <w14:schemeClr w14:val="tx1"/>
            </w14:solidFill>
          </w14:textFill>
        </w:rPr>
        <w:t>《关于哈密市西成矿业有限责任公司年产30万吨铁精粉建设项目环境影响报告表的批复》（哈地环审批字〔2006〕号）。生产规模为年处理原矿石90万吨（原矿石部分为采购外部企业原矿），年产铁精粉3</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万吨，建设内容包括选矿厂、尾矿库、公用工程以及辅助工程，由破碎工段、粉矿仓、磨矿选矿工段、脱水工段、尾矿输送管线、尾矿库等部分组成。哈密市西成矿业有限责任公司年产30万吨铁精粉建设项目于2</w:t>
      </w:r>
      <w:r>
        <w:rPr>
          <w:color w:val="000000" w:themeColor="text1"/>
          <w:sz w:val="24"/>
          <w14:textFill>
            <w14:solidFill>
              <w14:schemeClr w14:val="tx1"/>
            </w14:solidFill>
          </w14:textFill>
        </w:rPr>
        <w:t>002</w:t>
      </w:r>
      <w:r>
        <w:rPr>
          <w:rFonts w:hint="eastAsia"/>
          <w:color w:val="000000" w:themeColor="text1"/>
          <w:sz w:val="24"/>
          <w14:textFill>
            <w14:solidFill>
              <w14:schemeClr w14:val="tx1"/>
            </w14:solidFill>
          </w14:textFill>
        </w:rPr>
        <w:t>年开工建设，2</w:t>
      </w:r>
      <w:r>
        <w:rPr>
          <w:color w:val="000000" w:themeColor="text1"/>
          <w:sz w:val="24"/>
          <w14:textFill>
            <w14:solidFill>
              <w14:schemeClr w14:val="tx1"/>
            </w14:solidFill>
          </w14:textFill>
        </w:rPr>
        <w:t>006</w:t>
      </w:r>
      <w:r>
        <w:rPr>
          <w:rFonts w:hint="eastAsia"/>
          <w:color w:val="000000" w:themeColor="text1"/>
          <w:sz w:val="24"/>
          <w14:textFill>
            <w14:solidFill>
              <w14:schemeClr w14:val="tx1"/>
            </w14:solidFill>
          </w14:textFill>
        </w:rPr>
        <w:t>年建成</w:t>
      </w:r>
      <w:r>
        <w:rPr>
          <w:rFonts w:hint="eastAsia"/>
          <w:color w:val="000000" w:themeColor="text1"/>
          <w:sz w:val="24"/>
          <w:lang w:val="en-US" w:eastAsia="zh-CN"/>
          <w14:textFill>
            <w14:solidFill>
              <w14:schemeClr w14:val="tx1"/>
            </w14:solidFill>
          </w14:textFill>
        </w:rPr>
        <w:t>并试生产</w:t>
      </w:r>
      <w:r>
        <w:rPr>
          <w:rFonts w:hint="eastAsia"/>
          <w:color w:val="000000" w:themeColor="text1"/>
          <w:sz w:val="24"/>
          <w14:textFill>
            <w14:solidFill>
              <w14:schemeClr w14:val="tx1"/>
            </w14:solidFill>
          </w14:textFill>
        </w:rPr>
        <w:t>。</w:t>
      </w:r>
    </w:p>
    <w:p w14:paraId="72A9F8E8">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现有选矿厂位于矿区西北侧，总占地面积7.66hm</w:t>
      </w:r>
      <w:r>
        <w:rPr>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包括选厂办公室、原矿堆料场及原矿仓、破碎厂房、筛分厂房、磨矿磁选厂房、浓缩脱水厂房、带式输送机通廊、仓库、机修间、电修间、高位回水池、高位新水池、材料备品库、堆矿场等。其中：选厂办公室、主厂房及主要附属设施等建筑结构为混凝土结构，建筑高度3.5</w:t>
      </w:r>
      <w:r>
        <w:rPr>
          <w:rFonts w:hint="eastAsia"/>
          <w:color w:val="000000" w:themeColor="text1"/>
          <w:sz w:val="24"/>
          <w14:textFill>
            <w14:solidFill>
              <w14:schemeClr w14:val="tx1"/>
            </w14:solidFill>
          </w14:textFill>
        </w:rPr>
        <w:t>～</w:t>
      </w:r>
      <w:r>
        <w:rPr>
          <w:rFonts w:hint="eastAsia"/>
          <w:color w:val="000000" w:themeColor="text1"/>
          <w:sz w:val="24"/>
          <w:lang w:bidi="ar"/>
          <w14:textFill>
            <w14:solidFill>
              <w14:schemeClr w14:val="tx1"/>
            </w14:solidFill>
          </w14:textFill>
        </w:rPr>
        <w:t>18m；传送带通廊为彩钢结构；地面硬化区域主要为仓库、机修间、电修间、选厂办公室外围；堆矿场、材料备品库等其他附属设施区域，地面未进行硬化。建筑面积约5202m</w:t>
      </w:r>
      <w:r>
        <w:rPr>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w:t>
      </w:r>
    </w:p>
    <w:p w14:paraId="03B3A515">
      <w:pPr>
        <w:pStyle w:val="18"/>
        <w:spacing w:line="480" w:lineRule="exact"/>
        <w:ind w:firstLine="480"/>
        <w:rPr>
          <w:rFonts w:hint="eastAsia"/>
          <w:color w:val="000000" w:themeColor="text1"/>
          <w:sz w:val="24"/>
          <w:lang w:bidi="ar"/>
          <w14:textFill>
            <w14:solidFill>
              <w14:schemeClr w14:val="tx1"/>
            </w14:solidFill>
          </w14:textFill>
        </w:rPr>
      </w:pPr>
      <w:r>
        <w:rPr>
          <w:rStyle w:val="1001"/>
          <w:rFonts w:hint="eastAsia" w:ascii="Times New Roman" w:hAnsi="Times New Roman" w:eastAsia="宋体" w:cs="Times New Roman"/>
          <w:color w:val="000000" w:themeColor="text1"/>
          <w14:textFill>
            <w14:solidFill>
              <w14:schemeClr w14:val="tx1"/>
            </w14:solidFill>
          </w14:textFill>
        </w:rPr>
        <w:t>现有选矿厂设有两个尾矿库，位于选矿车间西侧，容积为8万m</w:t>
      </w:r>
      <w:r>
        <w:rPr>
          <w:rStyle w:val="1001"/>
          <w:rFonts w:hint="eastAsia" w:ascii="Times New Roman" w:hAnsi="Times New Roman" w:eastAsia="宋体" w:cs="Times New Roman"/>
          <w:color w:val="000000" w:themeColor="text1"/>
          <w:vertAlign w:val="superscript"/>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的1号尾矿库修建于2004年，容积为25万m</w:t>
      </w:r>
      <w:r>
        <w:rPr>
          <w:rStyle w:val="1001"/>
          <w:rFonts w:hint="eastAsia" w:ascii="Times New Roman" w:hAnsi="Times New Roman" w:eastAsia="宋体" w:cs="Times New Roman"/>
          <w:color w:val="000000" w:themeColor="text1"/>
          <w:vertAlign w:val="superscript"/>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的2号尾矿库修建于2005年，</w:t>
      </w:r>
      <w:r>
        <w:rPr>
          <w:rStyle w:val="1001"/>
          <w:rFonts w:hint="eastAsia" w:cs="Times New Roman"/>
          <w:color w:val="000000" w:themeColor="text1"/>
          <w:lang w:val="en-US"/>
          <w14:textFill>
            <w14:solidFill>
              <w14:schemeClr w14:val="tx1"/>
            </w14:solidFill>
          </w14:textFill>
        </w:rPr>
        <w:t>二者相邻。</w:t>
      </w:r>
      <w:r>
        <w:rPr>
          <w:rStyle w:val="1001"/>
          <w:rFonts w:hint="eastAsia" w:ascii="Times New Roman" w:hAnsi="Times New Roman" w:eastAsia="宋体" w:cs="Times New Roman"/>
          <w:color w:val="000000" w:themeColor="text1"/>
          <w14:textFill>
            <w14:solidFill>
              <w14:schemeClr w14:val="tx1"/>
            </w14:solidFill>
          </w14:textFill>
        </w:rPr>
        <w:t>由于尾矿库修建时间较早，相关设施较落后，不符合现有的尾矿库设计规范，且尾矿库容量不满足改建后正常生产产生的尾矿堆存量。建设单位拟将现有尾矿库进行生态恢复，并在选厂南侧新建尾矿库，尾矿库设计最终堆积标高1264.0m，为四等库，尾矿堆积坝总高度为30.0m，总库容527.54万m</w:t>
      </w:r>
      <w:r>
        <w:rPr>
          <w:rStyle w:val="1001"/>
          <w:rFonts w:hint="eastAsia" w:ascii="Times New Roman" w:hAnsi="Times New Roman" w:eastAsia="宋体" w:cs="Times New Roman"/>
          <w:color w:val="000000" w:themeColor="text1"/>
          <w:vertAlign w:val="superscript"/>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，总有效库容约为501.17万m</w:t>
      </w:r>
      <w:r>
        <w:rPr>
          <w:rStyle w:val="1001"/>
          <w:rFonts w:hint="eastAsia" w:ascii="Times New Roman" w:hAnsi="Times New Roman" w:eastAsia="宋体" w:cs="Times New Roman"/>
          <w:color w:val="000000" w:themeColor="text1"/>
          <w:vertAlign w:val="superscript"/>
          <w14:textFill>
            <w14:solidFill>
              <w14:schemeClr w14:val="tx1"/>
            </w14:solidFill>
          </w14:textFill>
        </w:rPr>
        <w:t>3</w:t>
      </w:r>
      <w:r>
        <w:rPr>
          <w:rStyle w:val="1001"/>
          <w:rFonts w:hint="eastAsia" w:ascii="Times New Roman" w:hAnsi="Times New Roman" w:eastAsia="宋体" w:cs="Times New Roman"/>
          <w:color w:val="000000" w:themeColor="text1"/>
          <w14:textFill>
            <w14:solidFill>
              <w14:schemeClr w14:val="tx1"/>
            </w14:solidFill>
          </w14:textFill>
        </w:rPr>
        <w:t>，可服务约19年。</w:t>
      </w:r>
    </w:p>
    <w:p w14:paraId="2C95A281">
      <w:pPr>
        <w:pStyle w:val="18"/>
        <w:spacing w:line="480" w:lineRule="exact"/>
        <w:ind w:firstLine="480"/>
        <w:rPr>
          <w:rFonts w:hint="eastAsia"/>
          <w:color w:val="000000" w:themeColor="text1"/>
          <w:sz w:val="24"/>
          <w:lang w:bidi="ar"/>
          <w14:textFill>
            <w14:solidFill>
              <w14:schemeClr w14:val="tx1"/>
            </w14:solidFill>
          </w14:textFill>
        </w:rPr>
      </w:pPr>
      <w:r>
        <w:rPr>
          <w:rFonts w:hint="eastAsia"/>
          <w:color w:val="000000" w:themeColor="text1"/>
          <w:sz w:val="24"/>
          <w14:textFill>
            <w14:solidFill>
              <w14:schemeClr w14:val="tx1"/>
            </w14:solidFill>
          </w14:textFill>
        </w:rPr>
        <w:t>2008～2012年，西成矿业选矿厂处于</w:t>
      </w:r>
      <w:r>
        <w:rPr>
          <w:rFonts w:hint="eastAsia"/>
          <w:color w:val="000000" w:themeColor="text1"/>
          <w:sz w:val="24"/>
          <w:lang w:val="en-US" w:eastAsia="zh-CN"/>
          <w14:textFill>
            <w14:solidFill>
              <w14:schemeClr w14:val="tx1"/>
            </w14:solidFill>
          </w14:textFill>
        </w:rPr>
        <w:t>停工状态</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13</w:t>
      </w:r>
      <w:r>
        <w:rPr>
          <w:rFonts w:hint="eastAsia"/>
          <w:color w:val="000000" w:themeColor="text1"/>
          <w:sz w:val="24"/>
          <w14:textFill>
            <w14:solidFill>
              <w14:schemeClr w14:val="tx1"/>
            </w14:solidFill>
          </w14:textFill>
        </w:rPr>
        <w:t>～2014年，西成矿业选矿厂</w:t>
      </w:r>
      <w:r>
        <w:rPr>
          <w:rFonts w:hint="eastAsia"/>
          <w:color w:val="000000" w:themeColor="text1"/>
          <w:sz w:val="24"/>
          <w:lang w:val="en-US" w:eastAsia="zh-CN"/>
          <w14:textFill>
            <w14:solidFill>
              <w14:schemeClr w14:val="tx1"/>
            </w14:solidFill>
          </w14:textFill>
        </w:rPr>
        <w:t>试生产</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年至今，西成矿业选矿厂停产。</w:t>
      </w:r>
      <w:r>
        <w:rPr>
          <w:rFonts w:hint="eastAsia"/>
          <w:color w:val="000000" w:themeColor="text1"/>
          <w:sz w:val="24"/>
          <w:lang w:bidi="ar"/>
          <w14:textFill>
            <w14:solidFill>
              <w14:schemeClr w14:val="tx1"/>
            </w14:solidFill>
          </w14:textFill>
        </w:rPr>
        <w:t>由于选矿设备老旧、无法匹配采矿生产规模扩大需求，西成矿业计划利用原有厂房进行技术改造，对原有厂房进行修缮并新建部分厂房，将选矿设备及安装全部重建，新增高压辊磨系统，选矿规模不变，仍为3</w:t>
      </w:r>
      <w:r>
        <w:rPr>
          <w:color w:val="000000" w:themeColor="text1"/>
          <w:sz w:val="24"/>
          <w:lang w:bidi="ar"/>
          <w14:textFill>
            <w14:solidFill>
              <w14:schemeClr w14:val="tx1"/>
            </w14:solidFill>
          </w14:textFill>
        </w:rPr>
        <w:t>0</w:t>
      </w:r>
      <w:r>
        <w:rPr>
          <w:rFonts w:hint="eastAsia"/>
          <w:color w:val="000000" w:themeColor="text1"/>
          <w:sz w:val="24"/>
          <w:lang w:bidi="ar"/>
          <w14:textFill>
            <w14:solidFill>
              <w14:schemeClr w14:val="tx1"/>
            </w14:solidFill>
          </w14:textFill>
        </w:rPr>
        <w:t>万吨铁精粉。目前，选矿技改项目的环境影响评价工作与本项目同步开展中。</w:t>
      </w:r>
    </w:p>
    <w:p w14:paraId="3549E3C9">
      <w:pPr>
        <w:pStyle w:val="18"/>
        <w:spacing w:line="480" w:lineRule="exact"/>
        <w:ind w:firstLine="480"/>
        <w:rPr>
          <w:color w:val="000000" w:themeColor="text1"/>
          <w:sz w:val="24"/>
          <w:lang w:bidi="ar"/>
          <w14:textFill>
            <w14:solidFill>
              <w14:schemeClr w14:val="tx1"/>
            </w14:solidFill>
          </w14:textFill>
        </w:rPr>
      </w:pPr>
      <w:r>
        <w:rPr>
          <w:rFonts w:hint="eastAsia"/>
          <w:color w:val="000000" w:themeColor="text1"/>
          <w:sz w:val="24"/>
          <w14:textFill>
            <w14:solidFill>
              <w14:schemeClr w14:val="tx1"/>
            </w14:solidFill>
          </w14:textFill>
        </w:rPr>
        <w:t>西成矿业</w:t>
      </w:r>
      <w:r>
        <w:rPr>
          <w:color w:val="000000" w:themeColor="text1"/>
          <w:sz w:val="24"/>
          <w14:textFill>
            <w14:solidFill>
              <w14:schemeClr w14:val="tx1"/>
            </w14:solidFill>
          </w14:textFill>
        </w:rPr>
        <w:t>自开发之日起至今</w:t>
      </w:r>
      <w:r>
        <w:rPr>
          <w:rFonts w:hint="eastAsia"/>
          <w:color w:val="000000" w:themeColor="text1"/>
          <w:sz w:val="24"/>
          <w14:textFill>
            <w14:solidFill>
              <w14:schemeClr w14:val="tx1"/>
            </w14:solidFill>
          </w14:textFill>
        </w:rPr>
        <w:t>未发生</w:t>
      </w:r>
      <w:r>
        <w:rPr>
          <w:color w:val="000000" w:themeColor="text1"/>
          <w:sz w:val="24"/>
          <w14:textFill>
            <w14:solidFill>
              <w14:schemeClr w14:val="tx1"/>
            </w14:solidFill>
          </w14:textFill>
        </w:rPr>
        <w:t>应急污染事件及环境信访投诉案件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未接收到公众的环保投诉问题。</w:t>
      </w:r>
    </w:p>
    <w:p w14:paraId="4CAF6795">
      <w:pPr>
        <w:pStyle w:val="18"/>
        <w:spacing w:line="480" w:lineRule="exact"/>
        <w:ind w:firstLine="480"/>
        <w:rPr>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本次评价要求：西成矿业尽快完成选矿技改项目的环境影响评价工作，并与本项目同时投产，</w:t>
      </w:r>
      <w:r>
        <w:rPr>
          <w:rFonts w:hint="eastAsia"/>
          <w:color w:val="000000" w:themeColor="text1"/>
          <w:sz w:val="24"/>
          <w14:textFill>
            <w14:solidFill>
              <w14:schemeClr w14:val="tx1"/>
            </w14:solidFill>
          </w14:textFill>
        </w:rPr>
        <w:t>确保本项目依托具有保障性。在此前提下，本项目依托西成矿业选矿厂进行选矿处理、尾矿库堆存具备依托可行性。</w:t>
      </w:r>
    </w:p>
    <w:p w14:paraId="2909334A">
      <w:pPr>
        <w:pStyle w:val="4"/>
        <w:spacing w:before="60" w:after="60" w:line="480" w:lineRule="exact"/>
        <w:rPr>
          <w:color w:val="000000" w:themeColor="text1"/>
          <w:kern w:val="2"/>
          <w14:textFill>
            <w14:solidFill>
              <w14:schemeClr w14:val="tx1"/>
            </w14:solidFill>
          </w14:textFill>
        </w:rPr>
      </w:pPr>
      <w:bookmarkStart w:id="297" w:name="_Toc7974"/>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.7总平面布置</w:t>
      </w:r>
      <w:bookmarkEnd w:id="297"/>
    </w:p>
    <w:p w14:paraId="64F3C69E">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.7.1已有布局基本情况</w:t>
      </w:r>
    </w:p>
    <w:p w14:paraId="3A34C7A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（1）办公生活区</w:t>
      </w:r>
    </w:p>
    <w:p w14:paraId="7C4E1045">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lang w:eastAsia="zh-CN"/>
          <w14:textFill>
            <w14:solidFill>
              <w14:schemeClr w14:val="tx1"/>
            </w14:solidFill>
          </w14:textFill>
        </w:rPr>
        <w:t>依托选厂现有办公生活区</w:t>
      </w:r>
      <w:r>
        <w:rPr>
          <w:rFonts w:hint="eastAsia"/>
          <w:color w:val="000000" w:themeColor="text1"/>
          <w:sz w:val="24"/>
          <w14:textFill>
            <w14:solidFill>
              <w14:schemeClr w14:val="tx1"/>
            </w14:solidFill>
          </w14:textFill>
        </w:rPr>
        <w:t>。</w:t>
      </w:r>
    </w:p>
    <w:p w14:paraId="0959D290">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（2）主竖井工业广场</w:t>
      </w:r>
    </w:p>
    <w:p w14:paraId="02EE47FE">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主竖井工业广场位于矿区东侧地形平坦处，总占地面积约0.75hm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。矿山主竖井为采矿工程主要出矿口，主竖井工业广场地形较为平缓，其中包括主竖井、空压机房、信号室、竖井值班室、卷扬机房、综合值班室、矿石堆放场。总建筑面积为1900m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，结构为钢结构及砖混结构，包含地面硬化场地。</w:t>
      </w:r>
    </w:p>
    <w:p w14:paraId="7A92E6AE">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（3）副竖井工业广场</w:t>
      </w:r>
    </w:p>
    <w:p w14:paraId="201C2035">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副竖井工业广场位于矿区东侧地形平坦处，总占地面积约0.62hm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。矿山副竖井为采矿工程次要出矿口，副竖井工业广场地形较为平缓，其中包括副竖井、空压机房、信号室、竖井值班室、卷扬机房、综合值班室、矿石堆放场、生活区至井口廊道。总建筑面积为1700m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，结构为钢结构及砖混结构，包含地面硬化场地。</w:t>
      </w:r>
    </w:p>
    <w:p w14:paraId="726BAF8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4</w:t>
      </w:r>
      <w:r>
        <w:rPr>
          <w:rFonts w:hint="eastAsia"/>
          <w:color w:val="000000" w:themeColor="text1"/>
          <w:sz w:val="24"/>
          <w:szCs w:val="28"/>
          <w14:textFill>
            <w14:solidFill>
              <w14:schemeClr w14:val="tx1"/>
            </w14:solidFill>
          </w14:textFill>
        </w:rPr>
        <w:t>）爆破器材库</w:t>
      </w:r>
    </w:p>
    <w:p w14:paraId="29D948B8">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爆破器材库位于矿区东南方向界外约500m处，包括雷管库和炸药库，为砖混结构单层建筑，占地面积为0.54hm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。其中，建筑面积200m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，高度3.5m。</w:t>
      </w:r>
    </w:p>
    <w:p w14:paraId="03A4D1B7">
      <w:pPr>
        <w:pStyle w:val="18"/>
        <w:spacing w:line="480" w:lineRule="exact"/>
        <w:ind w:firstLine="48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选址合理性分析：</w:t>
      </w:r>
    </w:p>
    <w:p w14:paraId="5791EC14">
      <w:pPr>
        <w:pStyle w:val="18"/>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爆破器材库的选址应选择在偏僻之处，远离城镇人口稠密区、风景名胜区、水利设施、交通要道、高压电线、通信线路、地下输油管道等区域。亦应避开不良地质、地貌环境，防止洪水、泥石流、危岩、落石等意外自然灾害的破坏。</w:t>
      </w:r>
    </w:p>
    <w:p w14:paraId="6332D2F7">
      <w:pPr>
        <w:pStyle w:val="18"/>
        <w:spacing w:line="480" w:lineRule="exact"/>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本项目爆破器材库</w:t>
      </w:r>
      <w:r>
        <w:rPr>
          <w:rFonts w:hint="eastAsia"/>
          <w:color w:val="000000" w:themeColor="text1"/>
          <w:sz w:val="24"/>
          <w:szCs w:val="28"/>
          <w14:textFill>
            <w14:solidFill>
              <w14:schemeClr w14:val="tx1"/>
            </w14:solidFill>
          </w14:textFill>
        </w:rPr>
        <w:t>位于矿区东南方向界外约500m处</w:t>
      </w:r>
      <w:r>
        <w:rPr>
          <w:rFonts w:hint="eastAsia"/>
          <w:color w:val="000000" w:themeColor="text1"/>
          <w:sz w:val="24"/>
          <w14:textFill>
            <w14:solidFill>
              <w14:schemeClr w14:val="tx1"/>
            </w14:solidFill>
          </w14:textFill>
        </w:rPr>
        <w:t>，距办公生活区约</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km，用地性质为未利用地，占地类型为裸岩石砾地。爆破器材库选址未占用永久基本农田、生态保护红线，且远离居民区、河流，爆破器材库选址与周边环境相容。</w:t>
      </w:r>
    </w:p>
    <w:p w14:paraId="74399779">
      <w:pPr>
        <w:pStyle w:val="18"/>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从环境保护角度考虑，爆破器材库选址较合理。</w:t>
      </w:r>
    </w:p>
    <w:p w14:paraId="58190535">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5</w:t>
      </w:r>
      <w:r>
        <w:rPr>
          <w:rFonts w:hint="eastAsia"/>
          <w:color w:val="000000" w:themeColor="text1"/>
          <w:sz w:val="24"/>
          <w:szCs w:val="28"/>
          <w14:textFill>
            <w14:solidFill>
              <w14:schemeClr w14:val="tx1"/>
            </w14:solidFill>
          </w14:textFill>
        </w:rPr>
        <w:t>）废石堆场</w:t>
      </w:r>
    </w:p>
    <w:p w14:paraId="21D3F638">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2处废石堆场，均位于主竖井、副竖井工业广场南侧，总占地面积1.19hm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，总堆放量约3.83万m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w:t>
      </w:r>
    </w:p>
    <w:p w14:paraId="78B38DA8">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废石堆场1占地面积0.78hm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，堆高约4m，废渣石压实堆放，边坡角约30°，堆放量约2.51万m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w:t>
      </w:r>
    </w:p>
    <w:p w14:paraId="1A69B88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废石堆场2占地面积0.41hm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，堆高约4m，废渣石压实堆放，边坡角约30°，堆放量约1.32万m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w:t>
      </w:r>
    </w:p>
    <w:p w14:paraId="3185F187">
      <w:pPr>
        <w:pStyle w:val="18"/>
        <w:spacing w:line="480" w:lineRule="exact"/>
        <w:ind w:firstLine="480"/>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color w:val="000000" w:themeColor="text1"/>
          <w:sz w:val="24"/>
          <w:szCs w:val="28"/>
          <w:lang w:val="en-US" w:eastAsia="zh-CN"/>
          <w14:textFill>
            <w14:solidFill>
              <w14:schemeClr w14:val="tx1"/>
            </w14:solidFill>
          </w14:textFill>
        </w:rPr>
        <w:t>经估算，</w:t>
      </w:r>
      <w:r>
        <w:rPr>
          <w:rFonts w:hint="eastAsia"/>
          <w:color w:val="000000" w:themeColor="text1"/>
          <w:sz w:val="24"/>
          <w:szCs w:val="28"/>
          <w14:textFill>
            <w14:solidFill>
              <w14:schemeClr w14:val="tx1"/>
            </w14:solidFill>
          </w14:textFill>
        </w:rPr>
        <w:t>废石堆场1</w:t>
      </w:r>
      <w:r>
        <w:rPr>
          <w:rFonts w:hint="eastAsia"/>
          <w:color w:val="000000" w:themeColor="text1"/>
          <w:sz w:val="24"/>
          <w:szCs w:val="28"/>
          <w:lang w:val="en-US" w:eastAsia="zh-CN"/>
          <w14:textFill>
            <w14:solidFill>
              <w14:schemeClr w14:val="tx1"/>
            </w14:solidFill>
          </w14:textFill>
        </w:rPr>
        <w:t>预计服务年限为7.75a（运营期第一年起，至第8年9个月止），</w:t>
      </w:r>
      <w:r>
        <w:rPr>
          <w:rFonts w:hint="eastAsia"/>
          <w:color w:val="000000" w:themeColor="text1"/>
          <w:sz w:val="24"/>
          <w:szCs w:val="28"/>
          <w14:textFill>
            <w14:solidFill>
              <w14:schemeClr w14:val="tx1"/>
            </w14:solidFill>
          </w14:textFill>
        </w:rPr>
        <w:t>废石堆场</w:t>
      </w:r>
      <w:r>
        <w:rPr>
          <w:rFonts w:hint="eastAsia"/>
          <w:color w:val="000000" w:themeColor="text1"/>
          <w:sz w:val="24"/>
          <w:szCs w:val="28"/>
          <w:lang w:val="en-US" w:eastAsia="zh-CN"/>
          <w14:textFill>
            <w14:solidFill>
              <w14:schemeClr w14:val="tx1"/>
            </w14:solidFill>
          </w14:textFill>
        </w:rPr>
        <w:t>2预计服务年限为5.56a（运营期第8年10个月起，至第14年4个月止）。</w:t>
      </w:r>
    </w:p>
    <w:p w14:paraId="73308169">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6</w:t>
      </w:r>
      <w:r>
        <w:rPr>
          <w:rFonts w:hint="eastAsia"/>
          <w:color w:val="000000" w:themeColor="text1"/>
          <w:sz w:val="24"/>
          <w:szCs w:val="28"/>
          <w14:textFill>
            <w14:solidFill>
              <w14:schemeClr w14:val="tx1"/>
            </w14:solidFill>
          </w14:textFill>
        </w:rPr>
        <w:t>）矿石堆场</w:t>
      </w:r>
    </w:p>
    <w:p w14:paraId="5581208A">
      <w:pPr>
        <w:pStyle w:val="18"/>
        <w:spacing w:line="480" w:lineRule="exact"/>
        <w:ind w:firstLine="480"/>
        <w:rPr>
          <w:rFonts w:hint="default" w:eastAsia="宋体"/>
          <w:color w:val="000000" w:themeColor="text1"/>
          <w:sz w:val="24"/>
          <w:szCs w:val="28"/>
          <w:lang w:val="en-US" w:eastAsia="zh-CN"/>
          <w14:textFill>
            <w14:solidFill>
              <w14:schemeClr w14:val="tx1"/>
            </w14:solidFill>
          </w14:textFill>
        </w:rPr>
      </w:pPr>
      <w:r>
        <w:rPr>
          <w:rFonts w:hint="eastAsia"/>
          <w:color w:val="000000" w:themeColor="text1"/>
          <w:sz w:val="24"/>
          <w:szCs w:val="28"/>
          <w14:textFill>
            <w14:solidFill>
              <w14:schemeClr w14:val="tx1"/>
            </w14:solidFill>
          </w14:textFill>
        </w:rPr>
        <w:t>现状主竖井工业广场南侧有2处矿石堆，总占地面积1.95hm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，矿石堆1占地面积0.92hm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，堆高约4m；现状矿石堆2占地面积1.03hm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，堆高约4m。</w:t>
      </w:r>
      <w:r>
        <w:rPr>
          <w:rFonts w:hint="eastAsia"/>
          <w:color w:val="000000" w:themeColor="text1"/>
          <w:sz w:val="24"/>
          <w:szCs w:val="28"/>
          <w:lang w:val="en-US" w:eastAsia="zh-CN"/>
          <w14:textFill>
            <w14:solidFill>
              <w14:schemeClr w14:val="tx1"/>
            </w14:solidFill>
          </w14:textFill>
        </w:rPr>
        <w:t>现有</w:t>
      </w:r>
      <w:r>
        <w:rPr>
          <w:rFonts w:hint="eastAsia"/>
          <w:color w:val="000000" w:themeColor="text1"/>
          <w:sz w:val="24"/>
          <w:szCs w:val="28"/>
          <w14:textFill>
            <w14:solidFill>
              <w14:schemeClr w14:val="tx1"/>
            </w14:solidFill>
          </w14:textFill>
        </w:rPr>
        <w:t>矿石堆场</w:t>
      </w:r>
      <w:r>
        <w:rPr>
          <w:rFonts w:hint="eastAsia"/>
          <w:color w:val="000000" w:themeColor="text1"/>
          <w:sz w:val="24"/>
          <w:szCs w:val="28"/>
          <w:lang w:val="en-US" w:eastAsia="zh-CN"/>
          <w14:textFill>
            <w14:solidFill>
              <w14:schemeClr w14:val="tx1"/>
            </w14:solidFill>
          </w14:textFill>
        </w:rPr>
        <w:t>计划封场。</w:t>
      </w:r>
    </w:p>
    <w:p w14:paraId="145FFDA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7</w:t>
      </w:r>
      <w:r>
        <w:rPr>
          <w:rFonts w:hint="eastAsia"/>
          <w:color w:val="000000" w:themeColor="text1"/>
          <w:sz w:val="24"/>
          <w:szCs w:val="28"/>
          <w14:textFill>
            <w14:solidFill>
              <w14:schemeClr w14:val="tx1"/>
            </w14:solidFill>
          </w14:textFill>
        </w:rPr>
        <w:t>）已建矿山道路</w:t>
      </w:r>
    </w:p>
    <w:p w14:paraId="0DA804EF">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已建矿山道路围绕矿山地面布局范围，连接各个地面设施，连通区域交通网络及各矿山布局。道路全长约3020m，路基宽6m，路面宽4m。</w:t>
      </w:r>
    </w:p>
    <w:p w14:paraId="4F5E914C">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.7.2总平面布置方案</w:t>
      </w:r>
    </w:p>
    <w:p w14:paraId="3C2EC124">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本项目各场地按功能区分，以矿区主要道路和管道为联系，形成功能明确、交通便捷、物流顺向、主次分明、互不干扰的总体布局，便于矿山生产、生活管理。本次矿区生活区利用</w:t>
      </w:r>
      <w:r>
        <w:rPr>
          <w:rFonts w:hint="eastAsia"/>
          <w:color w:val="000000" w:themeColor="text1"/>
          <w:sz w:val="24"/>
          <w:szCs w:val="28"/>
          <w:lang w:eastAsia="zh-CN"/>
          <w14:textFill>
            <w14:solidFill>
              <w14:schemeClr w14:val="tx1"/>
            </w14:solidFill>
          </w14:textFill>
        </w:rPr>
        <w:t>选厂</w:t>
      </w:r>
      <w:r>
        <w:rPr>
          <w:rFonts w:hint="eastAsia"/>
          <w:color w:val="000000" w:themeColor="text1"/>
          <w:sz w:val="24"/>
          <w:szCs w:val="28"/>
          <w14:textFill>
            <w14:solidFill>
              <w14:schemeClr w14:val="tx1"/>
            </w14:solidFill>
          </w14:textFill>
        </w:rPr>
        <w:t>现有生活区，矿山人员集中居住在办公生活区；主竖井工业广场、副竖井工业广场等均利用现有工程。新增规划布局包括西风井工业场地、废石堆场、矿山道路</w:t>
      </w:r>
      <w:r>
        <w:rPr>
          <w:rFonts w:hint="eastAsia"/>
          <w:color w:val="000000" w:themeColor="text1"/>
          <w:sz w:val="24"/>
          <w:szCs w:val="28"/>
          <w:lang w:eastAsia="zh-CN"/>
          <w14:textFill>
            <w14:solidFill>
              <w14:schemeClr w14:val="tx1"/>
            </w14:solidFill>
          </w14:textFill>
        </w:rPr>
        <w:t>、机修车间、油库等</w:t>
      </w:r>
      <w:r>
        <w:rPr>
          <w:rFonts w:hint="eastAsia"/>
          <w:color w:val="000000" w:themeColor="text1"/>
          <w:sz w:val="24"/>
          <w:szCs w:val="28"/>
          <w14:textFill>
            <w14:solidFill>
              <w14:schemeClr w14:val="tx1"/>
            </w14:solidFill>
          </w14:textFill>
        </w:rPr>
        <w:t>。</w:t>
      </w:r>
    </w:p>
    <w:p w14:paraId="27D0464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（1）西风井工业场地</w:t>
      </w:r>
    </w:p>
    <w:p w14:paraId="4A1CC7D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规划2处西风井工业场地，总占地面积0.08hm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，总建筑面积</w:t>
      </w:r>
      <w:r>
        <w:rPr>
          <w:rFonts w:hint="eastAsia"/>
          <w:color w:val="000000" w:themeColor="text1"/>
          <w:sz w:val="24"/>
          <w:szCs w:val="28"/>
          <w:lang w:val="en-US" w:eastAsia="zh-CN"/>
          <w14:textFill>
            <w14:solidFill>
              <w14:schemeClr w14:val="tx1"/>
            </w14:solidFill>
          </w14:textFill>
        </w:rPr>
        <w:t>240</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w:t>
      </w:r>
    </w:p>
    <w:p w14:paraId="412E322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西风井1工业场地，位于02号勘查线与03号勘查线之间北侧，采用机械通风系统，井口附近设置通风机房、配电室</w:t>
      </w:r>
      <w:r>
        <w:rPr>
          <w:rFonts w:hint="eastAsia"/>
          <w:color w:val="000000" w:themeColor="text1"/>
          <w:sz w:val="24"/>
          <w:szCs w:val="28"/>
          <w:lang w:eastAsia="zh-CN"/>
          <w14:textFill>
            <w14:solidFill>
              <w14:schemeClr w14:val="tx1"/>
            </w14:solidFill>
          </w14:textFill>
        </w:rPr>
        <w:t>、机修车间、油库等</w:t>
      </w:r>
      <w:r>
        <w:rPr>
          <w:rFonts w:hint="eastAsia"/>
          <w:color w:val="000000" w:themeColor="text1"/>
          <w:sz w:val="24"/>
          <w:szCs w:val="28"/>
          <w14:textFill>
            <w14:solidFill>
              <w14:schemeClr w14:val="tx1"/>
            </w14:solidFill>
          </w14:textFill>
        </w:rPr>
        <w:t>，建筑面积为</w:t>
      </w:r>
      <w:r>
        <w:rPr>
          <w:rFonts w:hint="eastAsia"/>
          <w:color w:val="000000" w:themeColor="text1"/>
          <w:sz w:val="24"/>
          <w:szCs w:val="28"/>
          <w:lang w:val="en-US" w:eastAsia="zh-CN"/>
          <w14:textFill>
            <w14:solidFill>
              <w14:schemeClr w14:val="tx1"/>
            </w14:solidFill>
          </w14:textFill>
        </w:rPr>
        <w:t>21</w:t>
      </w:r>
      <w:r>
        <w:rPr>
          <w:rFonts w:hint="eastAsia"/>
          <w:color w:val="000000" w:themeColor="text1"/>
          <w:sz w:val="24"/>
          <w:szCs w:val="28"/>
          <w14:textFill>
            <w14:solidFill>
              <w14:schemeClr w14:val="tx1"/>
            </w14:solidFill>
          </w14:textFill>
        </w:rPr>
        <w:t>0m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，建筑均为彩钢结构，包含地面硬化场地。</w:t>
      </w:r>
    </w:p>
    <w:p w14:paraId="76780A91">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西风井2工业场地，位于06号勘查线西侧116m处，采用机械通风系统，井口附近设置通风机房、配电室，建筑面积为30m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，建筑均为彩钢结构，包含地面硬化场地。</w:t>
      </w:r>
    </w:p>
    <w:p w14:paraId="493F89F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（2）废石堆场</w:t>
      </w:r>
    </w:p>
    <w:p w14:paraId="3F331E3F">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规划2处</w:t>
      </w:r>
      <w:r>
        <w:rPr>
          <w:rFonts w:hint="eastAsia"/>
          <w:color w:val="000000" w:themeColor="text1"/>
          <w:sz w:val="24"/>
          <w:szCs w:val="28"/>
          <w:lang w:eastAsia="zh-CN"/>
          <w14:textFill>
            <w14:solidFill>
              <w14:schemeClr w14:val="tx1"/>
            </w14:solidFill>
          </w14:textFill>
        </w:rPr>
        <w:t>废石堆场</w:t>
      </w:r>
      <w:r>
        <w:rPr>
          <w:rFonts w:hint="eastAsia"/>
          <w:color w:val="000000" w:themeColor="text1"/>
          <w:sz w:val="24"/>
          <w:szCs w:val="28"/>
          <w14:textFill>
            <w14:solidFill>
              <w14:schemeClr w14:val="tx1"/>
            </w14:solidFill>
          </w14:textFill>
        </w:rPr>
        <w:t>位于矿区中部道路两侧，总占地面积5.36hm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w:t>
      </w:r>
    </w:p>
    <w:p w14:paraId="12A5104A">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1号</w:t>
      </w:r>
      <w:r>
        <w:rPr>
          <w:rFonts w:hint="eastAsia"/>
          <w:color w:val="000000" w:themeColor="text1"/>
          <w:sz w:val="24"/>
          <w:szCs w:val="28"/>
          <w:lang w:eastAsia="zh-CN"/>
          <w14:textFill>
            <w14:solidFill>
              <w14:schemeClr w14:val="tx1"/>
            </w14:solidFill>
          </w14:textFill>
        </w:rPr>
        <w:t>废石堆场</w:t>
      </w:r>
      <w:r>
        <w:rPr>
          <w:rFonts w:hint="eastAsia"/>
          <w:color w:val="000000" w:themeColor="text1"/>
          <w:sz w:val="24"/>
          <w:szCs w:val="28"/>
          <w14:textFill>
            <w14:solidFill>
              <w14:schemeClr w14:val="tx1"/>
            </w14:solidFill>
          </w14:textFill>
        </w:rPr>
        <w:t>位于矿区中部道路南侧，总面积3.12hm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，地势较平坦，地形坡度3-5°，堆高8m，层高4m，安全平台2m，废渣石分层压实，边坡角约30°，堆放容积19.6万m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w:t>
      </w:r>
    </w:p>
    <w:p w14:paraId="277765B8">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2号</w:t>
      </w:r>
      <w:r>
        <w:rPr>
          <w:rFonts w:hint="eastAsia"/>
          <w:color w:val="000000" w:themeColor="text1"/>
          <w:sz w:val="24"/>
          <w:szCs w:val="28"/>
          <w:lang w:eastAsia="zh-CN"/>
          <w14:textFill>
            <w14:solidFill>
              <w14:schemeClr w14:val="tx1"/>
            </w14:solidFill>
          </w14:textFill>
        </w:rPr>
        <w:t>废石堆场</w:t>
      </w:r>
      <w:r>
        <w:rPr>
          <w:rFonts w:hint="eastAsia"/>
          <w:color w:val="000000" w:themeColor="text1"/>
          <w:sz w:val="24"/>
          <w:szCs w:val="28"/>
          <w14:textFill>
            <w14:solidFill>
              <w14:schemeClr w14:val="tx1"/>
            </w14:solidFill>
          </w14:textFill>
        </w:rPr>
        <w:t>位于矿区中部道路北侧，总面积2.24hm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，地势较平坦，地形坡度3-5°，堆高8m，层高4m，安全平台2m，废渣石分层压实，边坡角约30°，堆放容积14.2万m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w:t>
      </w:r>
    </w:p>
    <w:p w14:paraId="4CAF99C3">
      <w:pPr>
        <w:pStyle w:val="18"/>
        <w:spacing w:line="480" w:lineRule="exact"/>
        <w:ind w:firstLine="480"/>
        <w:rPr>
          <w:rFonts w:hint="eastAsia" w:ascii="Times New Roman" w:hAnsi="Times New Roman" w:eastAsia="宋体" w:cs="Times New Roman"/>
          <w:color w:val="000000" w:themeColor="text1"/>
          <w:sz w:val="24"/>
          <w:szCs w:val="28"/>
          <w:lang w:eastAsia="zh-CN"/>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废石堆放的先后顺序依次为1号</w:t>
      </w:r>
      <w:r>
        <w:rPr>
          <w:rFonts w:hint="eastAsia"/>
          <w:color w:val="000000" w:themeColor="text1"/>
          <w:sz w:val="24"/>
          <w:szCs w:val="28"/>
          <w14:textFill>
            <w14:solidFill>
              <w14:schemeClr w14:val="tx1"/>
            </w14:solidFill>
          </w14:textFill>
        </w:rPr>
        <w:t>废石堆场</w:t>
      </w:r>
      <w:r>
        <w:rPr>
          <w:rFonts w:hint="eastAsia" w:ascii="Times New Roman" w:hAnsi="Times New Roman" w:eastAsia="宋体" w:cs="Times New Roman"/>
          <w:color w:val="000000" w:themeColor="text1"/>
          <w:sz w:val="24"/>
          <w:szCs w:val="28"/>
          <w14:textFill>
            <w14:solidFill>
              <w14:schemeClr w14:val="tx1"/>
            </w14:solidFill>
          </w14:textFill>
        </w:rPr>
        <w:t>、2号</w:t>
      </w:r>
      <w:r>
        <w:rPr>
          <w:rFonts w:hint="eastAsia"/>
          <w:color w:val="000000" w:themeColor="text1"/>
          <w:sz w:val="24"/>
          <w:szCs w:val="28"/>
          <w14:textFill>
            <w14:solidFill>
              <w14:schemeClr w14:val="tx1"/>
            </w14:solidFill>
          </w14:textFill>
        </w:rPr>
        <w:t>废石堆场</w:t>
      </w:r>
      <w:r>
        <w:rPr>
          <w:rFonts w:hint="eastAsia" w:ascii="Times New Roman" w:hAnsi="Times New Roman" w:eastAsia="宋体" w:cs="Times New Roman"/>
          <w:color w:val="000000" w:themeColor="text1"/>
          <w:sz w:val="24"/>
          <w:szCs w:val="28"/>
          <w14:textFill>
            <w14:solidFill>
              <w14:schemeClr w14:val="tx1"/>
            </w14:solidFill>
          </w14:textFill>
        </w:rPr>
        <w:t>，同一个时间点废石只运往1个</w:t>
      </w:r>
      <w:r>
        <w:rPr>
          <w:rFonts w:hint="eastAsia"/>
          <w:color w:val="000000" w:themeColor="text1"/>
          <w:sz w:val="24"/>
          <w:szCs w:val="28"/>
          <w14:textFill>
            <w14:solidFill>
              <w14:schemeClr w14:val="tx1"/>
            </w14:solidFill>
          </w14:textFill>
        </w:rPr>
        <w:t>废石堆场</w:t>
      </w:r>
      <w:r>
        <w:rPr>
          <w:rFonts w:hint="eastAsia" w:ascii="Times New Roman" w:hAnsi="Times New Roman" w:eastAsia="宋体" w:cs="Times New Roman"/>
          <w:color w:val="000000" w:themeColor="text1"/>
          <w:sz w:val="24"/>
          <w:szCs w:val="28"/>
          <w14:textFill>
            <w14:solidFill>
              <w14:schemeClr w14:val="tx1"/>
            </w14:solidFill>
          </w14:textFill>
        </w:rPr>
        <w:t>，</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1号</w:t>
      </w:r>
      <w:r>
        <w:rPr>
          <w:rFonts w:hint="eastAsia"/>
          <w:color w:val="000000" w:themeColor="text1"/>
          <w:sz w:val="24"/>
          <w:szCs w:val="28"/>
          <w14:textFill>
            <w14:solidFill>
              <w14:schemeClr w14:val="tx1"/>
            </w14:solidFill>
          </w14:textFill>
        </w:rPr>
        <w:t>废石堆场</w:t>
      </w:r>
      <w:r>
        <w:rPr>
          <w:rFonts w:hint="eastAsia" w:ascii="Times New Roman" w:hAnsi="Times New Roman" w:eastAsia="宋体" w:cs="Times New Roman"/>
          <w:color w:val="000000" w:themeColor="text1"/>
          <w:sz w:val="24"/>
          <w:szCs w:val="28"/>
          <w14:textFill>
            <w14:solidFill>
              <w14:schemeClr w14:val="tx1"/>
            </w14:solidFill>
          </w14:textFill>
        </w:rPr>
        <w:t>堆满后再堆放</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至2号</w:t>
      </w:r>
      <w:r>
        <w:rPr>
          <w:rFonts w:hint="eastAsia"/>
          <w:color w:val="000000" w:themeColor="text1"/>
          <w:sz w:val="24"/>
          <w:szCs w:val="28"/>
          <w14:textFill>
            <w14:solidFill>
              <w14:schemeClr w14:val="tx1"/>
            </w14:solidFill>
          </w14:textFill>
        </w:rPr>
        <w:t>废石堆场</w:t>
      </w:r>
      <w:r>
        <w:rPr>
          <w:rFonts w:hint="eastAsia" w:ascii="Times New Roman" w:hAnsi="Times New Roman" w:eastAsia="宋体" w:cs="Times New Roman"/>
          <w:color w:val="000000" w:themeColor="text1"/>
          <w:sz w:val="24"/>
          <w:szCs w:val="28"/>
          <w:lang w:eastAsia="zh-CN"/>
          <w14:textFill>
            <w14:solidFill>
              <w14:schemeClr w14:val="tx1"/>
            </w14:solidFill>
          </w14:textFill>
        </w:rPr>
        <w:t>。</w:t>
      </w:r>
    </w:p>
    <w:p w14:paraId="16C34DEB">
      <w:pPr>
        <w:pStyle w:val="18"/>
        <w:spacing w:line="480" w:lineRule="exact"/>
        <w:ind w:firstLine="480"/>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color w:val="000000" w:themeColor="text1"/>
          <w:sz w:val="24"/>
          <w:szCs w:val="28"/>
          <w:lang w:val="en-US" w:eastAsia="zh-CN"/>
          <w14:textFill>
            <w14:solidFill>
              <w14:schemeClr w14:val="tx1"/>
            </w14:solidFill>
          </w14:textFill>
        </w:rPr>
        <w:t>1号</w:t>
      </w:r>
      <w:r>
        <w:rPr>
          <w:rFonts w:hint="eastAsia"/>
          <w:color w:val="000000" w:themeColor="text1"/>
          <w:sz w:val="24"/>
          <w:szCs w:val="28"/>
          <w14:textFill>
            <w14:solidFill>
              <w14:schemeClr w14:val="tx1"/>
            </w14:solidFill>
          </w14:textFill>
        </w:rPr>
        <w:t>废石堆场</w:t>
      </w:r>
      <w:r>
        <w:rPr>
          <w:rFonts w:hint="eastAsia"/>
          <w:color w:val="000000" w:themeColor="text1"/>
          <w:sz w:val="24"/>
          <w:szCs w:val="28"/>
          <w:lang w:eastAsia="zh-CN"/>
          <w14:textFill>
            <w14:solidFill>
              <w14:schemeClr w14:val="tx1"/>
            </w14:solidFill>
          </w14:textFill>
        </w:rPr>
        <w:t>、</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2号</w:t>
      </w:r>
      <w:r>
        <w:rPr>
          <w:rFonts w:hint="eastAsia"/>
          <w:color w:val="000000" w:themeColor="text1"/>
          <w:sz w:val="24"/>
          <w:szCs w:val="28"/>
          <w14:textFill>
            <w14:solidFill>
              <w14:schemeClr w14:val="tx1"/>
            </w14:solidFill>
          </w14:textFill>
        </w:rPr>
        <w:t>废石堆场</w:t>
      </w:r>
      <w:r>
        <w:rPr>
          <w:rFonts w:hint="eastAsia"/>
          <w:color w:val="000000" w:themeColor="text1"/>
          <w:sz w:val="24"/>
          <w:szCs w:val="28"/>
          <w:lang w:val="en-US" w:eastAsia="zh-CN"/>
          <w14:textFill>
            <w14:solidFill>
              <w14:schemeClr w14:val="tx1"/>
            </w14:solidFill>
          </w14:textFill>
        </w:rPr>
        <w:t>现状照片见下图。</w:t>
      </w:r>
    </w:p>
    <w:tbl>
      <w:tblPr>
        <w:tblStyle w:val="8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F401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02F0336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tc>
        <w:tc>
          <w:tcPr>
            <w:tcW w:w="4261" w:type="dxa"/>
            <w:vAlign w:val="center"/>
          </w:tcPr>
          <w:p w14:paraId="2633E596">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71E7180E">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542CEB6F">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51DBD131">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4FD66895">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1828BC15">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6190DC54">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7C98B913">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0BA5ED7D">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p w14:paraId="542C3B72">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p>
        </w:tc>
      </w:tr>
      <w:tr w14:paraId="4ADD6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534D3018">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8"/>
                <w:vertAlign w:val="baseline"/>
                <w:lang w:val="en-US" w:eastAsia="zh-CN"/>
                <w14:textFill>
                  <w14:solidFill>
                    <w14:schemeClr w14:val="tx1"/>
                  </w14:solidFill>
                </w14:textFill>
              </w:rPr>
              <w:t>1号废石堆场现状</w:t>
            </w:r>
          </w:p>
        </w:tc>
        <w:tc>
          <w:tcPr>
            <w:tcW w:w="4261" w:type="dxa"/>
            <w:vAlign w:val="center"/>
          </w:tcPr>
          <w:p w14:paraId="1268607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4"/>
                <w:szCs w:val="28"/>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4"/>
                <w:szCs w:val="28"/>
                <w:vertAlign w:val="baseline"/>
                <w:lang w:val="en-US" w:eastAsia="zh-CN"/>
                <w14:textFill>
                  <w14:solidFill>
                    <w14:schemeClr w14:val="tx1"/>
                  </w14:solidFill>
                </w14:textFill>
              </w:rPr>
              <w:t>2号废石堆场现状</w:t>
            </w:r>
          </w:p>
        </w:tc>
      </w:tr>
    </w:tbl>
    <w:p w14:paraId="54E77162">
      <w:pPr>
        <w:pStyle w:val="18"/>
        <w:spacing w:line="480" w:lineRule="exact"/>
        <w:ind w:firstLine="482"/>
        <w:rPr>
          <w:b/>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选址合理性分析：</w:t>
      </w:r>
    </w:p>
    <w:p w14:paraId="5E3B00A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本项目采矿产生的废石属于一般工业固体废物。规划2处废石堆场与《一般工业固体废物贮存和填埋污染控制标准》（GB18599-2020）的符合性分析见表3.2</w:t>
      </w:r>
      <w:r>
        <w:rPr>
          <w:color w:val="000000" w:themeColor="text1"/>
          <w:sz w:val="24"/>
          <w:szCs w:val="28"/>
          <w14:textFill>
            <w14:solidFill>
              <w14:schemeClr w14:val="tx1"/>
            </w14:solidFill>
          </w14:textFill>
        </w:rPr>
        <w:t>-6</w:t>
      </w:r>
      <w:r>
        <w:rPr>
          <w:rFonts w:hint="eastAsia"/>
          <w:color w:val="000000" w:themeColor="text1"/>
          <w:sz w:val="24"/>
          <w:szCs w:val="28"/>
          <w14:textFill>
            <w14:solidFill>
              <w14:schemeClr w14:val="tx1"/>
            </w14:solidFill>
          </w14:textFill>
        </w:rPr>
        <w:t>。</w:t>
      </w:r>
    </w:p>
    <w:p w14:paraId="1607764F">
      <w:pPr>
        <w:pStyle w:val="18"/>
        <w:spacing w:line="480" w:lineRule="exact"/>
        <w:ind w:firstLine="0" w:firstLineChars="0"/>
        <w:jc w:val="center"/>
        <w:rPr>
          <w:b/>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表3.2-</w:t>
      </w:r>
      <w:r>
        <w:rPr>
          <w:b/>
          <w:color w:val="000000" w:themeColor="text1"/>
          <w:sz w:val="24"/>
          <w:szCs w:val="28"/>
          <w14:textFill>
            <w14:solidFill>
              <w14:schemeClr w14:val="tx1"/>
            </w14:solidFill>
          </w14:textFill>
        </w:rPr>
        <w:t>6</w:t>
      </w:r>
      <w:r>
        <w:rPr>
          <w:rFonts w:hint="eastAsia"/>
          <w:b/>
          <w:color w:val="000000" w:themeColor="text1"/>
          <w:sz w:val="24"/>
          <w:szCs w:val="28"/>
          <w14:textFill>
            <w14:solidFill>
              <w14:schemeClr w14:val="tx1"/>
            </w14:solidFill>
          </w14:textFill>
        </w:rPr>
        <w:t xml:space="preserve">    新建</w:t>
      </w:r>
      <w:r>
        <w:rPr>
          <w:rFonts w:hint="eastAsia"/>
          <w:b/>
          <w:color w:val="000000" w:themeColor="text1"/>
          <w:sz w:val="24"/>
          <w:szCs w:val="28"/>
          <w:lang w:eastAsia="zh-CN"/>
          <w14:textFill>
            <w14:solidFill>
              <w14:schemeClr w14:val="tx1"/>
            </w14:solidFill>
          </w14:textFill>
        </w:rPr>
        <w:t>废石堆场</w:t>
      </w:r>
      <w:r>
        <w:rPr>
          <w:rFonts w:hint="eastAsia"/>
          <w:b/>
          <w:color w:val="000000" w:themeColor="text1"/>
          <w:sz w:val="24"/>
          <w:szCs w:val="28"/>
          <w14:textFill>
            <w14:solidFill>
              <w14:schemeClr w14:val="tx1"/>
            </w14:solidFill>
          </w14:textFill>
        </w:rPr>
        <w:t>最终选址的符合性分析一览表</w:t>
      </w:r>
    </w:p>
    <w:tbl>
      <w:tblPr>
        <w:tblStyle w:val="7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618"/>
        <w:gridCol w:w="4082"/>
        <w:gridCol w:w="816"/>
      </w:tblGrid>
      <w:tr w14:paraId="22EE4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618" w:type="dxa"/>
            <w:noWrap w:val="0"/>
            <w:vAlign w:val="center"/>
          </w:tcPr>
          <w:p w14:paraId="5275520E">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color w:val="000000" w:themeColor="text1"/>
                <w:sz w:val="21"/>
                <w14:textFill>
                  <w14:solidFill>
                    <w14:schemeClr w14:val="tx1"/>
                  </w14:solidFill>
                </w14:textFill>
              </w:rPr>
            </w:pPr>
            <w:r>
              <w:rPr>
                <w:rFonts w:hint="eastAsia" w:ascii="Times New Roman" w:hAnsi="Times New Roman" w:cs="Times New Roman"/>
                <w:b/>
                <w:bCs/>
                <w:color w:val="000000" w:themeColor="text1"/>
                <w:sz w:val="21"/>
                <w:szCs w:val="21"/>
                <w:lang w:eastAsia="zh-CN" w:bidi="ar-SA"/>
                <w14:textFill>
                  <w14:solidFill>
                    <w14:schemeClr w14:val="tx1"/>
                  </w14:solidFill>
                </w14:textFill>
              </w:rPr>
              <w:t>选址要求</w:t>
            </w:r>
          </w:p>
        </w:tc>
        <w:tc>
          <w:tcPr>
            <w:tcW w:w="4082" w:type="dxa"/>
            <w:noWrap w:val="0"/>
            <w:vAlign w:val="center"/>
          </w:tcPr>
          <w:p w14:paraId="774B6E20">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bCs/>
                <w:color w:val="000000" w:themeColor="text1"/>
                <w:sz w:val="21"/>
                <w14:textFill>
                  <w14:solidFill>
                    <w14:schemeClr w14:val="tx1"/>
                  </w14:solidFill>
                </w14:textFill>
              </w:rPr>
            </w:pPr>
            <w:r>
              <w:rPr>
                <w:rFonts w:hint="eastAsia" w:ascii="Times New Roman" w:hAnsi="Times New Roman" w:cs="Times New Roman"/>
                <w:b/>
                <w:bCs/>
                <w:color w:val="000000" w:themeColor="text1"/>
                <w:sz w:val="21"/>
                <w:szCs w:val="21"/>
                <w:lang w:eastAsia="zh-CN" w:bidi="ar-SA"/>
                <w14:textFill>
                  <w14:solidFill>
                    <w14:schemeClr w14:val="tx1"/>
                  </w14:solidFill>
                </w14:textFill>
              </w:rPr>
              <w:t>废石堆场情况</w:t>
            </w:r>
          </w:p>
        </w:tc>
        <w:tc>
          <w:tcPr>
            <w:tcW w:w="816" w:type="dxa"/>
            <w:noWrap w:val="0"/>
            <w:vAlign w:val="center"/>
          </w:tcPr>
          <w:p w14:paraId="7FA753A4">
            <w:pPr>
              <w:pStyle w:val="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cs="Times New Roman"/>
                <w:b/>
                <w:bCs/>
                <w:color w:val="000000" w:themeColor="text1"/>
                <w:sz w:val="21"/>
                <w14:textFill>
                  <w14:solidFill>
                    <w14:schemeClr w14:val="tx1"/>
                  </w14:solidFill>
                </w14:textFill>
              </w:rPr>
            </w:pPr>
            <w:r>
              <w:rPr>
                <w:rFonts w:hint="eastAsia" w:ascii="Times New Roman" w:hAnsi="Times New Roman" w:cs="Times New Roman"/>
                <w:b/>
                <w:bCs/>
                <w:color w:val="000000" w:themeColor="text1"/>
                <w:sz w:val="21"/>
                <w:szCs w:val="21"/>
                <w:lang w:eastAsia="zh-CN" w:bidi="ar-SA"/>
                <w14:textFill>
                  <w14:solidFill>
                    <w14:schemeClr w14:val="tx1"/>
                  </w14:solidFill>
                </w14:textFill>
              </w:rPr>
              <w:t>符合性</w:t>
            </w:r>
          </w:p>
        </w:tc>
      </w:tr>
      <w:tr w14:paraId="23423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8" w:type="dxa"/>
            <w:noWrap w:val="0"/>
            <w:vAlign w:val="center"/>
          </w:tcPr>
          <w:p w14:paraId="0D1F6D18">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bidi="ar-SA"/>
                <w14:textFill>
                  <w14:solidFill>
                    <w14:schemeClr w14:val="tx1"/>
                  </w14:solidFill>
                </w14:textFill>
              </w:rPr>
              <w:t>一般工业固体废物贮存场、填埋场的选址应符合环境保护法律法规及相关法定规划要求。</w:t>
            </w:r>
          </w:p>
        </w:tc>
        <w:tc>
          <w:tcPr>
            <w:tcW w:w="4082" w:type="dxa"/>
            <w:noWrap w:val="0"/>
            <w:vAlign w:val="center"/>
          </w:tcPr>
          <w:p w14:paraId="05E2A967">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本项目新建2处废石堆场的土地利用类型为裸岩石砾地，用地性质为未利用地，占地范围不涉及生态、水环境保护目标，符合相关法律法规要求。</w:t>
            </w:r>
          </w:p>
        </w:tc>
        <w:tc>
          <w:tcPr>
            <w:tcW w:w="816" w:type="dxa"/>
            <w:noWrap w:val="0"/>
            <w:vAlign w:val="center"/>
          </w:tcPr>
          <w:p w14:paraId="6E6CAAC3">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符合</w:t>
            </w:r>
          </w:p>
        </w:tc>
      </w:tr>
      <w:tr w14:paraId="299B9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8" w:type="dxa"/>
            <w:noWrap w:val="0"/>
            <w:vAlign w:val="center"/>
          </w:tcPr>
          <w:p w14:paraId="28526ECC">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bidi="ar-SA"/>
                <w14:textFill>
                  <w14:solidFill>
                    <w14:schemeClr w14:val="tx1"/>
                  </w14:solidFill>
                </w14:textFill>
              </w:rPr>
              <w:t>贮存场、填埋场的位置与周围居民区的距离应依据环境影响评价文件及审批意见确定。</w:t>
            </w:r>
          </w:p>
        </w:tc>
        <w:tc>
          <w:tcPr>
            <w:tcW w:w="4082" w:type="dxa"/>
            <w:noWrap w:val="0"/>
            <w:vAlign w:val="center"/>
          </w:tcPr>
          <w:p w14:paraId="4B07013B">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eastAsia" w:cs="Times New Roman"/>
                <w:color w:val="000000" w:themeColor="text1"/>
                <w:sz w:val="21"/>
                <w:szCs w:val="21"/>
                <w:lang w:eastAsia="zh-CN" w:bidi="ar-SA"/>
                <w14:textFill>
                  <w14:solidFill>
                    <w14:schemeClr w14:val="tx1"/>
                  </w14:solidFill>
                </w14:textFill>
              </w:rPr>
              <w:t>本项目</w:t>
            </w:r>
            <w:r>
              <w:rPr>
                <w:rFonts w:hint="eastAsia" w:ascii="Times New Roman" w:hAnsi="Times New Roman" w:cs="Times New Roman"/>
                <w:color w:val="000000" w:themeColor="text1"/>
                <w:sz w:val="21"/>
                <w:szCs w:val="21"/>
                <w:lang w:eastAsia="zh-CN" w:bidi="ar-SA"/>
                <w14:textFill>
                  <w14:solidFill>
                    <w14:schemeClr w14:val="tx1"/>
                  </w14:solidFill>
                </w14:textFill>
              </w:rPr>
              <w:t>周围10km范围内无居民区。</w:t>
            </w:r>
          </w:p>
        </w:tc>
        <w:tc>
          <w:tcPr>
            <w:tcW w:w="816" w:type="dxa"/>
            <w:noWrap w:val="0"/>
            <w:vAlign w:val="center"/>
          </w:tcPr>
          <w:p w14:paraId="283CDBB4">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符合</w:t>
            </w:r>
          </w:p>
        </w:tc>
      </w:tr>
      <w:tr w14:paraId="064D8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8" w:type="dxa"/>
            <w:noWrap w:val="0"/>
            <w:vAlign w:val="center"/>
          </w:tcPr>
          <w:p w14:paraId="1798F58A">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bidi="ar-SA"/>
                <w14:textFill>
                  <w14:solidFill>
                    <w14:schemeClr w14:val="tx1"/>
                  </w14:solidFill>
                </w14:textFill>
              </w:rPr>
              <w:t>贮存场、填埋场不得选在生态保护红线区域、永久基本农田集中区域和其他需要特别保护的区域内。</w:t>
            </w:r>
          </w:p>
        </w:tc>
        <w:tc>
          <w:tcPr>
            <w:tcW w:w="4082" w:type="dxa"/>
            <w:noWrap w:val="0"/>
            <w:vAlign w:val="center"/>
          </w:tcPr>
          <w:p w14:paraId="2016E755">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废石堆场用地不涉及生态保护红线区域，矿区西侧距库木塔格生物多样性维护、防风固沙生态保护红线区的最近距离约</w:t>
            </w:r>
            <w:r>
              <w:rPr>
                <w:rFonts w:hint="default" w:ascii="Times New Roman" w:hAnsi="Times New Roman" w:cs="Times New Roman"/>
                <w:color w:val="000000" w:themeColor="text1"/>
                <w:sz w:val="21"/>
                <w:szCs w:val="21"/>
                <w:lang w:eastAsia="zh-CN" w:bidi="ar-SA"/>
                <w14:textFill>
                  <w14:solidFill>
                    <w14:schemeClr w14:val="tx1"/>
                  </w14:solidFill>
                </w14:textFill>
              </w:rPr>
              <w:t>37.7</w:t>
            </w:r>
            <w:r>
              <w:rPr>
                <w:rFonts w:hint="eastAsia" w:ascii="Times New Roman" w:hAnsi="Times New Roman" w:cs="Times New Roman"/>
                <w:color w:val="000000" w:themeColor="text1"/>
                <w:sz w:val="21"/>
                <w:szCs w:val="21"/>
                <w:lang w:eastAsia="zh-CN" w:bidi="ar-SA"/>
                <w14:textFill>
                  <w14:solidFill>
                    <w14:schemeClr w14:val="tx1"/>
                  </w14:solidFill>
                </w14:textFill>
              </w:rPr>
              <w:t>km，不在永久基本农田集中区域和其他需要保护的区域内。</w:t>
            </w:r>
          </w:p>
        </w:tc>
        <w:tc>
          <w:tcPr>
            <w:tcW w:w="816" w:type="dxa"/>
            <w:noWrap w:val="0"/>
            <w:vAlign w:val="center"/>
          </w:tcPr>
          <w:p w14:paraId="35EA3CFC">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符合</w:t>
            </w:r>
          </w:p>
        </w:tc>
      </w:tr>
      <w:tr w14:paraId="13050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8" w:type="dxa"/>
            <w:noWrap w:val="0"/>
            <w:vAlign w:val="center"/>
          </w:tcPr>
          <w:p w14:paraId="1C3E198C">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bidi="ar-SA"/>
                <w14:textFill>
                  <w14:solidFill>
                    <w14:schemeClr w14:val="tx1"/>
                  </w14:solidFill>
                </w14:textFill>
              </w:rPr>
              <w:t>贮存场、填埋场应避开活动断层、溶洞区、天然滑坡或泥石流影响区以及湿地等区域。</w:t>
            </w:r>
          </w:p>
        </w:tc>
        <w:tc>
          <w:tcPr>
            <w:tcW w:w="4082" w:type="dxa"/>
            <w:noWrap w:val="0"/>
            <w:vAlign w:val="center"/>
          </w:tcPr>
          <w:p w14:paraId="4A98A918">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经地质、地层描述分析，废石堆场占地内无活动断层、溶洞区、滑坡或泥石流影响区，不涉及湿地。</w:t>
            </w:r>
          </w:p>
        </w:tc>
        <w:tc>
          <w:tcPr>
            <w:tcW w:w="816" w:type="dxa"/>
            <w:noWrap w:val="0"/>
            <w:vAlign w:val="center"/>
          </w:tcPr>
          <w:p w14:paraId="3204C6A8">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符合</w:t>
            </w:r>
          </w:p>
        </w:tc>
      </w:tr>
      <w:tr w14:paraId="47E88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18" w:type="dxa"/>
            <w:noWrap w:val="0"/>
            <w:vAlign w:val="center"/>
          </w:tcPr>
          <w:p w14:paraId="1E11396F">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bidi="ar-SA"/>
                <w14:textFill>
                  <w14:solidFill>
                    <w14:schemeClr w14:val="tx1"/>
                  </w14:solidFill>
                </w14:textFill>
              </w:rPr>
              <w:t>贮存场、填埋场不得选在江河、湖泊、运河、渠道、水库最高水位线以下的滩地和岸坡，以及国家和地方长远规划中的水库等人工蓄水设施的淹没区和保护区之内。</w:t>
            </w:r>
          </w:p>
        </w:tc>
        <w:tc>
          <w:tcPr>
            <w:tcW w:w="4082" w:type="dxa"/>
            <w:noWrap w:val="0"/>
            <w:vAlign w:val="center"/>
          </w:tcPr>
          <w:p w14:paraId="5BF13FED">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废石堆场周边无</w:t>
            </w:r>
            <w:r>
              <w:rPr>
                <w:rFonts w:hint="default" w:ascii="Times New Roman" w:hAnsi="Times New Roman" w:cs="Times New Roman"/>
                <w:color w:val="000000" w:themeColor="text1"/>
                <w:sz w:val="21"/>
                <w:szCs w:val="21"/>
                <w:lang w:eastAsia="zh-CN" w:bidi="ar-SA"/>
                <w14:textFill>
                  <w14:solidFill>
                    <w14:schemeClr w14:val="tx1"/>
                  </w14:solidFill>
                </w14:textFill>
              </w:rPr>
              <w:t>江河、湖泊、运河、渠道、水库</w:t>
            </w:r>
            <w:r>
              <w:rPr>
                <w:rFonts w:hint="eastAsia" w:ascii="Times New Roman" w:hAnsi="Times New Roman" w:cs="Times New Roman"/>
                <w:color w:val="000000" w:themeColor="text1"/>
                <w:sz w:val="21"/>
                <w:szCs w:val="21"/>
                <w:lang w:eastAsia="zh-CN" w:bidi="ar-SA"/>
                <w14:textFill>
                  <w14:solidFill>
                    <w14:schemeClr w14:val="tx1"/>
                  </w14:solidFill>
                </w14:textFill>
              </w:rPr>
              <w:t>等水环境敏感目标，占地不在江河、湖泊、运河、渠道、水库最高水位线以下的滩地和岸坡，周围无</w:t>
            </w:r>
            <w:r>
              <w:rPr>
                <w:rFonts w:hint="default" w:ascii="Times New Roman" w:hAnsi="Times New Roman" w:cs="Times New Roman"/>
                <w:color w:val="000000" w:themeColor="text1"/>
                <w:sz w:val="21"/>
                <w:szCs w:val="21"/>
                <w:lang w:eastAsia="zh-CN" w:bidi="ar-SA"/>
                <w14:textFill>
                  <w14:solidFill>
                    <w14:schemeClr w14:val="tx1"/>
                  </w14:solidFill>
                </w14:textFill>
              </w:rPr>
              <w:t>规划中的水库等人工蓄水设施</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816" w:type="dxa"/>
            <w:noWrap w:val="0"/>
            <w:vAlign w:val="center"/>
          </w:tcPr>
          <w:p w14:paraId="12ED8F3B">
            <w:pPr>
              <w:pStyle w:val="77"/>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szCs w:val="21"/>
                <w:lang w:eastAsia="zh-CN" w:bidi="ar-SA"/>
                <w14:textFill>
                  <w14:solidFill>
                    <w14:schemeClr w14:val="tx1"/>
                  </w14:solidFill>
                </w14:textFill>
              </w:rPr>
              <w:t>符合</w:t>
            </w:r>
          </w:p>
        </w:tc>
      </w:tr>
    </w:tbl>
    <w:p w14:paraId="7E4EBD6A">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此外，1号</w:t>
      </w:r>
      <w:r>
        <w:rPr>
          <w:rFonts w:hint="eastAsia"/>
          <w:color w:val="000000" w:themeColor="text1"/>
          <w:sz w:val="24"/>
          <w:szCs w:val="28"/>
          <w:lang w:eastAsia="zh-CN"/>
          <w14:textFill>
            <w14:solidFill>
              <w14:schemeClr w14:val="tx1"/>
            </w14:solidFill>
          </w14:textFill>
        </w:rPr>
        <w:t>废石堆场</w:t>
      </w:r>
      <w:r>
        <w:rPr>
          <w:rFonts w:hint="eastAsia"/>
          <w:color w:val="000000" w:themeColor="text1"/>
          <w:sz w:val="24"/>
          <w:szCs w:val="28"/>
          <w14:textFill>
            <w14:solidFill>
              <w14:schemeClr w14:val="tx1"/>
            </w14:solidFill>
          </w14:textFill>
        </w:rPr>
        <w:t>位于矿区中部道路南侧，2号</w:t>
      </w:r>
      <w:r>
        <w:rPr>
          <w:rFonts w:hint="eastAsia"/>
          <w:color w:val="000000" w:themeColor="text1"/>
          <w:sz w:val="24"/>
          <w:szCs w:val="28"/>
          <w:lang w:eastAsia="zh-CN"/>
          <w14:textFill>
            <w14:solidFill>
              <w14:schemeClr w14:val="tx1"/>
            </w14:solidFill>
          </w14:textFill>
        </w:rPr>
        <w:t>废石堆场</w:t>
      </w:r>
      <w:r>
        <w:rPr>
          <w:rFonts w:hint="eastAsia"/>
          <w:color w:val="000000" w:themeColor="text1"/>
          <w:sz w:val="24"/>
          <w:szCs w:val="28"/>
          <w14:textFill>
            <w14:solidFill>
              <w14:schemeClr w14:val="tx1"/>
            </w14:solidFill>
          </w14:textFill>
        </w:rPr>
        <w:t>位于矿区中部道路北侧，项目区主导风向为东北风，2处废石堆场分别位于办公生活区的侧风向、下风向，</w:t>
      </w:r>
      <w:r>
        <w:rPr>
          <w:rFonts w:hint="eastAsia"/>
          <w:color w:val="000000" w:themeColor="text1"/>
          <w:sz w:val="24"/>
          <w14:textFill>
            <w14:solidFill>
              <w14:schemeClr w14:val="tx1"/>
            </w14:solidFill>
          </w14:textFill>
        </w:rPr>
        <w:t>最大程度避免了废石堆场扬尘对矿山办公生活区的污染影响</w:t>
      </w:r>
      <w:r>
        <w:rPr>
          <w:rFonts w:hint="eastAsia"/>
          <w:color w:val="000000" w:themeColor="text1"/>
          <w:sz w:val="24"/>
          <w:szCs w:val="28"/>
          <w14:textFill>
            <w14:solidFill>
              <w14:schemeClr w14:val="tx1"/>
            </w14:solidFill>
          </w14:textFill>
        </w:rPr>
        <w:t>。</w:t>
      </w:r>
    </w:p>
    <w:p w14:paraId="4DDAA3E9">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14:textFill>
            <w14:solidFill>
              <w14:schemeClr w14:val="tx1"/>
            </w14:solidFill>
          </w14:textFill>
        </w:rPr>
        <w:t>综上，本项目新建2处废石堆场选址符合</w:t>
      </w:r>
      <w:r>
        <w:rPr>
          <w:rFonts w:hint="eastAsia"/>
          <w:color w:val="000000" w:themeColor="text1"/>
          <w:sz w:val="24"/>
          <w:szCs w:val="28"/>
          <w14:textFill>
            <w14:solidFill>
              <w14:schemeClr w14:val="tx1"/>
            </w14:solidFill>
          </w14:textFill>
        </w:rPr>
        <w:t>《一般工业固体废物贮存和填埋污染控制标准》（GB18599-2020），</w:t>
      </w:r>
      <w:r>
        <w:rPr>
          <w:rFonts w:hint="eastAsia"/>
          <w:color w:val="000000" w:themeColor="text1"/>
          <w:sz w:val="24"/>
          <w14:textFill>
            <w14:solidFill>
              <w14:schemeClr w14:val="tx1"/>
            </w14:solidFill>
          </w14:textFill>
        </w:rPr>
        <w:t>从生态环境保护的角度分析，规划2处废石堆场选址较合理。</w:t>
      </w:r>
    </w:p>
    <w:p w14:paraId="47D0717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（3）矿山道路</w:t>
      </w:r>
    </w:p>
    <w:p w14:paraId="7CE3FF56">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规划矿山道路通往规划西风井工业场地，拟建矿山道路长约350m，基宽6m，路面宽4m，占地面积0.21hm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w:t>
      </w:r>
    </w:p>
    <w:p w14:paraId="6ED68C40">
      <w:pPr>
        <w:pStyle w:val="18"/>
        <w:spacing w:line="480" w:lineRule="exact"/>
        <w:ind w:firstLine="480"/>
        <w:rPr>
          <w:rFonts w:hint="eastAsia"/>
          <w:color w:val="000000" w:themeColor="text1"/>
          <w:sz w:val="24"/>
          <w:szCs w:val="28"/>
          <w:lang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4</w:t>
      </w:r>
      <w:r>
        <w:rPr>
          <w:rFonts w:hint="eastAsia"/>
          <w:color w:val="000000" w:themeColor="text1"/>
          <w:sz w:val="24"/>
          <w:szCs w:val="28"/>
          <w:lang w:eastAsia="zh-CN"/>
          <w14:textFill>
            <w14:solidFill>
              <w14:schemeClr w14:val="tx1"/>
            </w14:solidFill>
          </w14:textFill>
        </w:rPr>
        <w:t>）机修</w:t>
      </w:r>
    </w:p>
    <w:p w14:paraId="7E67B7DE">
      <w:pPr>
        <w:pStyle w:val="18"/>
        <w:spacing w:line="480" w:lineRule="exact"/>
        <w:ind w:firstLine="480"/>
        <w:rPr>
          <w:rFonts w:hint="eastAsia"/>
          <w:color w:val="000000" w:themeColor="text1"/>
          <w:sz w:val="24"/>
          <w:szCs w:val="28"/>
          <w:lang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①机械修理间</w:t>
      </w:r>
    </w:p>
    <w:p w14:paraId="1434EF86">
      <w:pPr>
        <w:pStyle w:val="18"/>
        <w:spacing w:line="480" w:lineRule="exact"/>
        <w:ind w:firstLine="480"/>
        <w:rPr>
          <w:rFonts w:hint="eastAsia"/>
          <w:color w:val="000000" w:themeColor="text1"/>
          <w:sz w:val="24"/>
          <w:szCs w:val="28"/>
          <w:lang w:eastAsia="zh-CN"/>
          <w14:textFill>
            <w14:solidFill>
              <w14:schemeClr w14:val="tx1"/>
            </w14:solidFill>
          </w14:textFill>
        </w:rPr>
      </w:pPr>
      <w:r>
        <w:rPr>
          <w:rFonts w:hint="eastAsia"/>
          <w:color w:val="000000" w:themeColor="text1"/>
          <w:sz w:val="24"/>
          <w:szCs w:val="28"/>
          <w:lang w:val="zh-CN" w:eastAsia="zh-CN"/>
          <w14:textFill>
            <w14:solidFill>
              <w14:schemeClr w14:val="tx1"/>
            </w14:solidFill>
          </w14:textFill>
        </w:rPr>
        <w:t>机械修理间设在西风井1工业场地内，负责矿山生产设备和辅助设备的日常维护和小修；修复少量机械零、配件以及部分技术改造工作。设备维修过程所需的备品、备件及生产消耗件由外购或外委解决。车间面积120m</w:t>
      </w:r>
      <w:r>
        <w:rPr>
          <w:rFonts w:hint="eastAsia"/>
          <w:color w:val="000000" w:themeColor="text1"/>
          <w:sz w:val="24"/>
          <w:szCs w:val="28"/>
          <w:vertAlign w:val="superscript"/>
          <w:lang w:val="zh-CN" w:eastAsia="zh-CN"/>
          <w14:textFill>
            <w14:solidFill>
              <w14:schemeClr w14:val="tx1"/>
            </w14:solidFill>
          </w14:textFill>
        </w:rPr>
        <w:t>2</w:t>
      </w:r>
      <w:r>
        <w:rPr>
          <w:rFonts w:hint="eastAsia"/>
          <w:color w:val="000000" w:themeColor="text1"/>
          <w:sz w:val="24"/>
          <w:szCs w:val="28"/>
          <w:lang w:val="zh-CN" w:eastAsia="zh-CN"/>
          <w14:textFill>
            <w14:solidFill>
              <w14:schemeClr w14:val="tx1"/>
            </w14:solidFill>
          </w14:textFill>
        </w:rPr>
        <w:t>，</w:t>
      </w:r>
      <w:r>
        <w:rPr>
          <w:rFonts w:hint="eastAsia"/>
          <w:color w:val="000000" w:themeColor="text1"/>
          <w:sz w:val="24"/>
          <w:szCs w:val="28"/>
          <w:lang w:eastAsia="zh-CN"/>
          <w14:textFill>
            <w14:solidFill>
              <w14:schemeClr w14:val="tx1"/>
            </w14:solidFill>
          </w14:textFill>
        </w:rPr>
        <w:t>配备ZA5032/1型</w:t>
      </w:r>
      <w:r>
        <w:rPr>
          <w:rFonts w:hint="default" w:ascii="Times New Roman" w:hAnsi="Times New Roman" w:cs="Times New Roman"/>
          <w:color w:val="000000" w:themeColor="text1"/>
          <w:sz w:val="24"/>
          <w:szCs w:val="28"/>
          <w:lang w:eastAsia="zh-CN"/>
          <w14:textFill>
            <w14:solidFill>
              <w14:schemeClr w14:val="tx1"/>
            </w14:solidFill>
          </w14:textFill>
        </w:rPr>
        <w:t>Φ</w:t>
      </w:r>
      <w:r>
        <w:rPr>
          <w:rFonts w:hint="eastAsia"/>
          <w:color w:val="000000" w:themeColor="text1"/>
          <w:sz w:val="24"/>
          <w:szCs w:val="28"/>
          <w:lang w:eastAsia="zh-CN"/>
          <w14:textFill>
            <w14:solidFill>
              <w14:schemeClr w14:val="tx1"/>
            </w14:solidFill>
          </w14:textFill>
        </w:rPr>
        <w:t>32圆柱立式钻床一台，BX1-250型交流弧焊机一台，SQ-1型砂轮切割机一台，2000×4000mm装配兼焊接平台一块，汽车检修坑1个，氧气瓶、乙炔瓶各10个。</w:t>
      </w:r>
    </w:p>
    <w:p w14:paraId="59C05AE6">
      <w:pPr>
        <w:pStyle w:val="18"/>
        <w:spacing w:line="480" w:lineRule="exact"/>
        <w:ind w:firstLine="480"/>
        <w:rPr>
          <w:rFonts w:hint="eastAsia"/>
          <w:color w:val="000000" w:themeColor="text1"/>
          <w:sz w:val="24"/>
          <w:szCs w:val="28"/>
          <w:lang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②油库</w:t>
      </w:r>
    </w:p>
    <w:p w14:paraId="0DCED8EC">
      <w:pPr>
        <w:pStyle w:val="18"/>
        <w:spacing w:line="480" w:lineRule="exact"/>
        <w:ind w:firstLine="480"/>
        <w:rPr>
          <w:rFonts w:hint="eastAsia"/>
          <w:color w:val="000000" w:themeColor="text1"/>
          <w:sz w:val="24"/>
          <w:szCs w:val="28"/>
          <w:lang w:eastAsia="zh-CN"/>
          <w14:textFill>
            <w14:solidFill>
              <w14:schemeClr w14:val="tx1"/>
            </w14:solidFill>
          </w14:textFill>
        </w:rPr>
      </w:pPr>
      <w:r>
        <w:rPr>
          <w:rFonts w:hint="eastAsia"/>
          <w:color w:val="000000" w:themeColor="text1"/>
          <w:sz w:val="24"/>
          <w:szCs w:val="28"/>
          <w:lang w:val="zh-CN" w:eastAsia="zh-CN"/>
          <w14:textFill>
            <w14:solidFill>
              <w14:schemeClr w14:val="tx1"/>
            </w14:solidFill>
          </w14:textFill>
        </w:rPr>
        <w:t>油库负责储存并分发矿山运输车辆及各种内燃设备的燃油，库内设储存柴油用的20m</w:t>
      </w:r>
      <w:r>
        <w:rPr>
          <w:rFonts w:hint="eastAsia"/>
          <w:color w:val="000000" w:themeColor="text1"/>
          <w:sz w:val="24"/>
          <w:szCs w:val="28"/>
          <w:vertAlign w:val="superscript"/>
          <w:lang w:val="zh-CN" w:eastAsia="zh-CN"/>
          <w14:textFill>
            <w14:solidFill>
              <w14:schemeClr w14:val="tx1"/>
            </w14:solidFill>
          </w14:textFill>
        </w:rPr>
        <w:t>3</w:t>
      </w:r>
      <w:r>
        <w:rPr>
          <w:rFonts w:hint="eastAsia"/>
          <w:color w:val="000000" w:themeColor="text1"/>
          <w:sz w:val="24"/>
          <w:szCs w:val="28"/>
          <w:lang w:val="zh-CN" w:eastAsia="zh-CN"/>
          <w14:textFill>
            <w14:solidFill>
              <w14:schemeClr w14:val="tx1"/>
            </w14:solidFill>
          </w14:textFill>
        </w:rPr>
        <w:t>卧式油罐1个。润滑油和机油以桶装方式入库储存，油库设在机修车间旁，面积60m</w:t>
      </w:r>
      <w:r>
        <w:rPr>
          <w:rFonts w:hint="eastAsia"/>
          <w:color w:val="000000" w:themeColor="text1"/>
          <w:sz w:val="24"/>
          <w:szCs w:val="28"/>
          <w:vertAlign w:val="superscript"/>
          <w:lang w:val="zh-CN" w:eastAsia="zh-CN"/>
          <w14:textFill>
            <w14:solidFill>
              <w14:schemeClr w14:val="tx1"/>
            </w14:solidFill>
          </w14:textFill>
        </w:rPr>
        <w:t>2</w:t>
      </w:r>
      <w:r>
        <w:rPr>
          <w:rFonts w:hint="eastAsia"/>
          <w:color w:val="000000" w:themeColor="text1"/>
          <w:sz w:val="24"/>
          <w:szCs w:val="28"/>
          <w:lang w:eastAsia="zh-CN"/>
          <w14:textFill>
            <w14:solidFill>
              <w14:schemeClr w14:val="tx1"/>
            </w14:solidFill>
          </w14:textFill>
        </w:rPr>
        <w:t>。</w:t>
      </w:r>
    </w:p>
    <w:p w14:paraId="0051FB72">
      <w:pPr>
        <w:pStyle w:val="18"/>
        <w:spacing w:line="480" w:lineRule="exact"/>
        <w:ind w:firstLine="480"/>
        <w:rPr>
          <w:rFonts w:hint="eastAsia"/>
          <w:color w:val="000000" w:themeColor="text1"/>
          <w:sz w:val="24"/>
          <w:szCs w:val="28"/>
          <w:lang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5</w:t>
      </w:r>
      <w:r>
        <w:rPr>
          <w:rFonts w:hint="eastAsia"/>
          <w:color w:val="000000" w:themeColor="text1"/>
          <w:sz w:val="24"/>
          <w:szCs w:val="28"/>
          <w:lang w:eastAsia="zh-CN"/>
          <w14:textFill>
            <w14:solidFill>
              <w14:schemeClr w14:val="tx1"/>
            </w14:solidFill>
          </w14:textFill>
        </w:rPr>
        <w:t>）危废贮存点</w:t>
      </w:r>
    </w:p>
    <w:p w14:paraId="3114E0C7">
      <w:pPr>
        <w:pStyle w:val="18"/>
        <w:spacing w:line="480" w:lineRule="exact"/>
        <w:ind w:firstLine="480"/>
        <w:rPr>
          <w:rFonts w:hint="eastAsia" w:eastAsia="宋体"/>
          <w:color w:val="000000" w:themeColor="text1"/>
          <w:sz w:val="24"/>
          <w:szCs w:val="28"/>
          <w:lang w:val="en-US" w:eastAsia="zh-CN"/>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矿山</w:t>
      </w:r>
      <w:r>
        <w:rPr>
          <w:rFonts w:hint="eastAsia"/>
          <w:color w:val="000000" w:themeColor="text1"/>
          <w:sz w:val="24"/>
          <w:szCs w:val="28"/>
          <w:lang w:eastAsia="zh-CN"/>
          <w14:textFill>
            <w14:solidFill>
              <w14:schemeClr w14:val="tx1"/>
            </w14:solidFill>
          </w14:textFill>
        </w:rPr>
        <w:t>危废贮存点</w:t>
      </w:r>
      <w:r>
        <w:rPr>
          <w:rFonts w:hint="eastAsia"/>
          <w:color w:val="000000" w:themeColor="text1"/>
          <w:sz w:val="24"/>
          <w:szCs w:val="28"/>
          <w:lang w:val="en-US" w:eastAsia="zh-CN"/>
          <w14:textFill>
            <w14:solidFill>
              <w14:schemeClr w14:val="tx1"/>
            </w14:solidFill>
          </w14:textFill>
        </w:rPr>
        <w:t>设置在西风井1工业场地内</w:t>
      </w:r>
      <w:r>
        <w:rPr>
          <w:rFonts w:hint="eastAsia"/>
          <w:color w:val="000000" w:themeColor="text1"/>
          <w:sz w:val="24"/>
          <w:szCs w:val="28"/>
          <w:lang w:eastAsia="zh-CN"/>
          <w14:textFill>
            <w14:solidFill>
              <w14:schemeClr w14:val="tx1"/>
            </w14:solidFill>
          </w14:textFill>
        </w:rPr>
        <w:t>，面积</w:t>
      </w:r>
      <w:r>
        <w:rPr>
          <w:rFonts w:hint="eastAsia"/>
          <w:color w:val="000000" w:themeColor="text1"/>
          <w:sz w:val="24"/>
          <w:szCs w:val="28"/>
          <w:lang w:val="en-US" w:eastAsia="zh-CN"/>
          <w14:textFill>
            <w14:solidFill>
              <w14:schemeClr w14:val="tx1"/>
            </w14:solidFill>
          </w14:textFill>
        </w:rPr>
        <w:t>20m</w:t>
      </w:r>
      <w:r>
        <w:rPr>
          <w:rFonts w:hint="eastAsia"/>
          <w:color w:val="000000" w:themeColor="text1"/>
          <w:sz w:val="24"/>
          <w:szCs w:val="28"/>
          <w:vertAlign w:val="superscript"/>
          <w:lang w:val="en-US" w:eastAsia="zh-CN"/>
          <w14:textFill>
            <w14:solidFill>
              <w14:schemeClr w14:val="tx1"/>
            </w14:solidFill>
          </w14:textFill>
        </w:rPr>
        <w:t>2</w:t>
      </w:r>
      <w:r>
        <w:rPr>
          <w:rFonts w:hint="eastAsia"/>
          <w:color w:val="000000" w:themeColor="text1"/>
          <w:sz w:val="24"/>
          <w:szCs w:val="28"/>
          <w:lang w:val="en-US" w:eastAsia="zh-CN"/>
          <w14:textFill>
            <w14:solidFill>
              <w14:schemeClr w14:val="tx1"/>
            </w14:solidFill>
          </w14:textFill>
        </w:rPr>
        <w:t>，由采矿工程与选矿工程共用</w:t>
      </w:r>
      <w:r>
        <w:rPr>
          <w:rFonts w:hint="eastAsia"/>
          <w:color w:val="000000" w:themeColor="text1"/>
          <w:sz w:val="24"/>
          <w:szCs w:val="28"/>
          <w:lang w:eastAsia="zh-CN"/>
          <w14:textFill>
            <w14:solidFill>
              <w14:schemeClr w14:val="tx1"/>
            </w14:solidFill>
          </w14:textFill>
        </w:rPr>
        <w:t>。</w:t>
      </w:r>
    </w:p>
    <w:p w14:paraId="3D590D6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矿山总平面布置见图3</w:t>
      </w:r>
      <w:r>
        <w:rPr>
          <w:color w:val="000000" w:themeColor="text1"/>
          <w:sz w:val="24"/>
          <w:szCs w:val="28"/>
          <w14:textFill>
            <w14:solidFill>
              <w14:schemeClr w14:val="tx1"/>
            </w14:solidFill>
          </w14:textFill>
        </w:rPr>
        <w:t>.2-</w:t>
      </w:r>
      <w:r>
        <w:rPr>
          <w:rFonts w:hint="eastAsia"/>
          <w:color w:val="000000" w:themeColor="text1"/>
          <w:sz w:val="24"/>
          <w:szCs w:val="28"/>
          <w:lang w:val="en-US" w:eastAsia="zh-CN"/>
          <w14:textFill>
            <w14:solidFill>
              <w14:schemeClr w14:val="tx1"/>
            </w14:solidFill>
          </w14:textFill>
        </w:rPr>
        <w:t>10</w:t>
      </w:r>
      <w:r>
        <w:rPr>
          <w:rFonts w:hint="eastAsia"/>
          <w:color w:val="000000" w:themeColor="text1"/>
          <w:sz w:val="24"/>
          <w:szCs w:val="28"/>
          <w14:textFill>
            <w14:solidFill>
              <w14:schemeClr w14:val="tx1"/>
            </w14:solidFill>
          </w14:textFill>
        </w:rPr>
        <w:t>。</w:t>
      </w:r>
    </w:p>
    <w:p w14:paraId="5678C882">
      <w:pPr>
        <w:pStyle w:val="4"/>
        <w:rPr>
          <w:color w:val="000000" w:themeColor="text1"/>
          <w14:textFill>
            <w14:solidFill>
              <w14:schemeClr w14:val="tx1"/>
            </w14:solidFill>
          </w14:textFill>
        </w:rPr>
      </w:pPr>
      <w:bookmarkStart w:id="298" w:name="_Toc12120"/>
      <w:bookmarkStart w:id="299" w:name="_Toc17576"/>
      <w:bookmarkStart w:id="300" w:name="_Toc23751"/>
      <w:bookmarkStart w:id="301" w:name="_Toc27422"/>
      <w:bookmarkStart w:id="302" w:name="_Toc12490"/>
      <w:r>
        <w:rPr>
          <w:color w:val="000000" w:themeColor="text1"/>
          <w14:textFill>
            <w14:solidFill>
              <w14:schemeClr w14:val="tx1"/>
            </w14:solidFill>
          </w14:textFill>
        </w:rPr>
        <w:t>3.2.8</w:t>
      </w:r>
      <w:r>
        <w:rPr>
          <w:rFonts w:hint="eastAsia"/>
          <w:color w:val="000000" w:themeColor="text1"/>
          <w14:textFill>
            <w14:solidFill>
              <w14:schemeClr w14:val="tx1"/>
            </w14:solidFill>
          </w14:textFill>
        </w:rPr>
        <w:t>工程占地</w:t>
      </w:r>
      <w:bookmarkEnd w:id="298"/>
    </w:p>
    <w:p w14:paraId="3E44137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矿山已有布局包括办公生活区、主竖井工业广场、副竖井工业广场、变电站、爆破器材库、辅助生产区、2处废石堆、2处矿石堆、已建矿山道路，合计</w:t>
      </w:r>
      <w:r>
        <w:rPr>
          <w:color w:val="000000" w:themeColor="text1"/>
          <w:sz w:val="24"/>
          <w:szCs w:val="28"/>
          <w14:textFill>
            <w14:solidFill>
              <w14:schemeClr w14:val="tx1"/>
            </w14:solidFill>
          </w14:textFill>
        </w:rPr>
        <w:t>8.76</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；规划布局包括规划2处西风井场地、规划2处</w:t>
      </w:r>
      <w:r>
        <w:rPr>
          <w:rFonts w:hint="eastAsia"/>
          <w:color w:val="000000" w:themeColor="text1"/>
          <w:sz w:val="24"/>
          <w:szCs w:val="28"/>
          <w:lang w:eastAsia="zh-CN"/>
          <w14:textFill>
            <w14:solidFill>
              <w14:schemeClr w14:val="tx1"/>
            </w14:solidFill>
          </w14:textFill>
        </w:rPr>
        <w:t>废石堆场</w:t>
      </w:r>
      <w:r>
        <w:rPr>
          <w:rFonts w:hint="eastAsia"/>
          <w:color w:val="000000" w:themeColor="text1"/>
          <w:sz w:val="24"/>
          <w:szCs w:val="28"/>
          <w14:textFill>
            <w14:solidFill>
              <w14:schemeClr w14:val="tx1"/>
            </w14:solidFill>
          </w14:textFill>
        </w:rPr>
        <w:t>、规划矿山道路，合计5.65hm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；矿山总布局占地面积</w:t>
      </w:r>
      <w:r>
        <w:rPr>
          <w:color w:val="000000" w:themeColor="text1"/>
          <w:sz w:val="24"/>
          <w:szCs w:val="28"/>
          <w14:textFill>
            <w14:solidFill>
              <w14:schemeClr w14:val="tx1"/>
            </w14:solidFill>
          </w14:textFill>
        </w:rPr>
        <w:t>14.41</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w:t>
      </w:r>
    </w:p>
    <w:p w14:paraId="3BD5BC5F">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界内占用土地类型为采矿用地</w:t>
      </w:r>
      <w:r>
        <w:rPr>
          <w:color w:val="000000" w:themeColor="text1"/>
          <w:sz w:val="24"/>
          <w:szCs w:val="28"/>
          <w14:textFill>
            <w14:solidFill>
              <w14:schemeClr w14:val="tx1"/>
            </w14:solidFill>
          </w14:textFill>
        </w:rPr>
        <w:t>6.82</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，裸岩石砾地6</w:t>
      </w:r>
      <w:r>
        <w:rPr>
          <w:color w:val="000000" w:themeColor="text1"/>
          <w:sz w:val="24"/>
          <w:szCs w:val="28"/>
          <w14:textFill>
            <w14:solidFill>
              <w14:schemeClr w14:val="tx1"/>
            </w14:solidFill>
          </w14:textFill>
        </w:rPr>
        <w:t>.06</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，合计</w:t>
      </w:r>
      <w:r>
        <w:rPr>
          <w:color w:val="000000" w:themeColor="text1"/>
          <w:sz w:val="24"/>
          <w:szCs w:val="28"/>
          <w14:textFill>
            <w14:solidFill>
              <w14:schemeClr w14:val="tx1"/>
            </w14:solidFill>
          </w14:textFill>
        </w:rPr>
        <w:t>12.88</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；界外占用土地类型为采矿用地</w:t>
      </w:r>
      <w:r>
        <w:rPr>
          <w:color w:val="000000" w:themeColor="text1"/>
          <w:sz w:val="24"/>
          <w:szCs w:val="28"/>
          <w14:textFill>
            <w14:solidFill>
              <w14:schemeClr w14:val="tx1"/>
            </w14:solidFill>
          </w14:textFill>
        </w:rPr>
        <w:t>0.33</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，裸岩石砾地</w:t>
      </w:r>
      <w:r>
        <w:rPr>
          <w:color w:val="000000" w:themeColor="text1"/>
          <w:sz w:val="24"/>
          <w:szCs w:val="28"/>
          <w14:textFill>
            <w14:solidFill>
              <w14:schemeClr w14:val="tx1"/>
            </w14:solidFill>
          </w14:textFill>
        </w:rPr>
        <w:t>1.2</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，合计</w:t>
      </w:r>
      <w:r>
        <w:rPr>
          <w:color w:val="000000" w:themeColor="text1"/>
          <w:sz w:val="24"/>
          <w:szCs w:val="28"/>
          <w14:textFill>
            <w14:solidFill>
              <w14:schemeClr w14:val="tx1"/>
            </w14:solidFill>
          </w14:textFill>
        </w:rPr>
        <w:t>1.53</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。总占地面积</w:t>
      </w:r>
      <w:r>
        <w:rPr>
          <w:color w:val="000000" w:themeColor="text1"/>
          <w:sz w:val="24"/>
          <w:szCs w:val="28"/>
          <w14:textFill>
            <w14:solidFill>
              <w14:schemeClr w14:val="tx1"/>
            </w14:solidFill>
          </w14:textFill>
        </w:rPr>
        <w:t>14.41</w:t>
      </w:r>
      <w:r>
        <w:rPr>
          <w:rFonts w:hint="eastAsia"/>
          <w:color w:val="000000" w:themeColor="text1"/>
          <w:sz w:val="24"/>
          <w:szCs w:val="28"/>
          <w14:textFill>
            <w14:solidFill>
              <w14:schemeClr w14:val="tx1"/>
            </w14:solidFill>
          </w14:textFill>
        </w:rPr>
        <w:t>hm</w:t>
      </w:r>
      <w:r>
        <w:rPr>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w:t>
      </w:r>
    </w:p>
    <w:p w14:paraId="3A037916">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本项目占地面积详见表3.</w:t>
      </w:r>
      <w:r>
        <w:rPr>
          <w:color w:val="000000" w:themeColor="text1"/>
          <w:sz w:val="24"/>
          <w:szCs w:val="28"/>
          <w14:textFill>
            <w14:solidFill>
              <w14:schemeClr w14:val="tx1"/>
            </w14:solidFill>
          </w14:textFill>
        </w:rPr>
        <w:t>2</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7</w:t>
      </w:r>
      <w:r>
        <w:rPr>
          <w:rFonts w:hint="eastAsia"/>
          <w:color w:val="000000" w:themeColor="text1"/>
          <w:sz w:val="24"/>
          <w:szCs w:val="28"/>
          <w14:textFill>
            <w14:solidFill>
              <w14:schemeClr w14:val="tx1"/>
            </w14:solidFill>
          </w14:textFill>
        </w:rPr>
        <w:t>。</w:t>
      </w:r>
    </w:p>
    <w:p w14:paraId="64968F09">
      <w:pPr>
        <w:pStyle w:val="18"/>
        <w:spacing w:line="480" w:lineRule="exact"/>
        <w:ind w:firstLine="0" w:firstLineChars="0"/>
        <w:jc w:val="center"/>
        <w:rPr>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表3.</w:t>
      </w:r>
      <w:r>
        <w:rPr>
          <w:b/>
          <w:bCs/>
          <w:color w:val="000000" w:themeColor="text1"/>
          <w:sz w:val="24"/>
          <w:szCs w:val="28"/>
          <w14:textFill>
            <w14:solidFill>
              <w14:schemeClr w14:val="tx1"/>
            </w14:solidFill>
          </w14:textFill>
        </w:rPr>
        <w:t>2</w:t>
      </w:r>
      <w:r>
        <w:rPr>
          <w:rFonts w:hint="eastAsia"/>
          <w:b/>
          <w:bCs/>
          <w:color w:val="000000" w:themeColor="text1"/>
          <w:sz w:val="24"/>
          <w:szCs w:val="28"/>
          <w14:textFill>
            <w14:solidFill>
              <w14:schemeClr w14:val="tx1"/>
            </w14:solidFill>
          </w14:textFill>
        </w:rPr>
        <w:t>-</w:t>
      </w:r>
      <w:r>
        <w:rPr>
          <w:b/>
          <w:bCs/>
          <w:color w:val="000000" w:themeColor="text1"/>
          <w:sz w:val="24"/>
          <w:szCs w:val="28"/>
          <w14:textFill>
            <w14:solidFill>
              <w14:schemeClr w14:val="tx1"/>
            </w14:solidFill>
          </w14:textFill>
        </w:rPr>
        <w:t>7</w:t>
      </w:r>
      <w:r>
        <w:rPr>
          <w:rFonts w:hint="eastAsia"/>
          <w:b/>
          <w:bCs/>
          <w:color w:val="000000" w:themeColor="text1"/>
          <w:sz w:val="24"/>
          <w:szCs w:val="28"/>
          <w14:textFill>
            <w14:solidFill>
              <w14:schemeClr w14:val="tx1"/>
            </w14:solidFill>
          </w14:textFill>
        </w:rPr>
        <w:t xml:space="preserve">    本项目占地面积一览表 </w:t>
      </w:r>
      <w:r>
        <w:rPr>
          <w:b/>
          <w:bCs/>
          <w:color w:val="000000" w:themeColor="text1"/>
          <w:sz w:val="24"/>
          <w:szCs w:val="28"/>
          <w14:textFill>
            <w14:solidFill>
              <w14:schemeClr w14:val="tx1"/>
            </w14:solidFill>
          </w14:textFill>
        </w:rPr>
        <w:t xml:space="preserve"> </w:t>
      </w:r>
      <w:r>
        <w:rPr>
          <w:rFonts w:hint="eastAsia"/>
          <w:b/>
          <w:bCs/>
          <w:color w:val="000000" w:themeColor="text1"/>
          <w:sz w:val="24"/>
          <w:szCs w:val="28"/>
          <w14:textFill>
            <w14:solidFill>
              <w14:schemeClr w14:val="tx1"/>
            </w14:solidFill>
          </w14:textFill>
        </w:rPr>
        <w:t>单位：hm</w:t>
      </w:r>
      <w:r>
        <w:rPr>
          <w:b/>
          <w:bCs/>
          <w:color w:val="000000" w:themeColor="text1"/>
          <w:sz w:val="24"/>
          <w:szCs w:val="28"/>
          <w:vertAlign w:val="superscript"/>
          <w14:textFill>
            <w14:solidFill>
              <w14:schemeClr w14:val="tx1"/>
            </w14:solidFill>
          </w14:textFill>
        </w:rPr>
        <w:t>2</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8"/>
        <w:gridCol w:w="956"/>
        <w:gridCol w:w="239"/>
        <w:gridCol w:w="2112"/>
        <w:gridCol w:w="852"/>
        <w:gridCol w:w="774"/>
        <w:gridCol w:w="1040"/>
        <w:gridCol w:w="1173"/>
        <w:gridCol w:w="758"/>
      </w:tblGrid>
      <w:tr w14:paraId="3279F8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63" w:type="pct"/>
            <w:vMerge w:val="restart"/>
            <w:noWrap w:val="0"/>
            <w:vAlign w:val="center"/>
          </w:tcPr>
          <w:p w14:paraId="448504B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建设情况</w:t>
            </w:r>
          </w:p>
        </w:tc>
        <w:tc>
          <w:tcPr>
            <w:tcW w:w="2440" w:type="pct"/>
            <w:gridSpan w:val="4"/>
            <w:vMerge w:val="restart"/>
            <w:noWrap w:val="0"/>
            <w:vAlign w:val="center"/>
          </w:tcPr>
          <w:p w14:paraId="1E08045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布局名称</w:t>
            </w:r>
          </w:p>
        </w:tc>
        <w:tc>
          <w:tcPr>
            <w:tcW w:w="454" w:type="pct"/>
            <w:vMerge w:val="restart"/>
            <w:noWrap w:val="0"/>
            <w:vAlign w:val="center"/>
          </w:tcPr>
          <w:p w14:paraId="7227CD6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合计</w:t>
            </w:r>
          </w:p>
        </w:tc>
        <w:tc>
          <w:tcPr>
            <w:tcW w:w="610" w:type="pct"/>
            <w:noWrap w:val="0"/>
            <w:vAlign w:val="center"/>
          </w:tcPr>
          <w:p w14:paraId="3056985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工矿用地</w:t>
            </w:r>
          </w:p>
        </w:tc>
        <w:tc>
          <w:tcPr>
            <w:tcW w:w="688" w:type="pct"/>
            <w:noWrap w:val="0"/>
            <w:vAlign w:val="center"/>
          </w:tcPr>
          <w:p w14:paraId="2C06787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其他土地</w:t>
            </w:r>
          </w:p>
        </w:tc>
        <w:tc>
          <w:tcPr>
            <w:tcW w:w="445" w:type="pct"/>
            <w:vMerge w:val="restart"/>
            <w:noWrap w:val="0"/>
            <w:vAlign w:val="center"/>
          </w:tcPr>
          <w:p w14:paraId="16BC2F4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备注</w:t>
            </w:r>
          </w:p>
        </w:tc>
      </w:tr>
      <w:tr w14:paraId="021D2C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63" w:type="pct"/>
            <w:vMerge w:val="continue"/>
            <w:noWrap w:val="0"/>
            <w:vAlign w:val="center"/>
          </w:tcPr>
          <w:p w14:paraId="4DC33B7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p>
        </w:tc>
        <w:tc>
          <w:tcPr>
            <w:tcW w:w="2440" w:type="pct"/>
            <w:gridSpan w:val="4"/>
            <w:vMerge w:val="continue"/>
            <w:noWrap w:val="0"/>
            <w:vAlign w:val="center"/>
          </w:tcPr>
          <w:p w14:paraId="16ADBB7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p>
        </w:tc>
        <w:tc>
          <w:tcPr>
            <w:tcW w:w="454" w:type="pct"/>
            <w:vMerge w:val="continue"/>
            <w:noWrap w:val="0"/>
            <w:vAlign w:val="center"/>
          </w:tcPr>
          <w:p w14:paraId="0FEA5DD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p>
        </w:tc>
        <w:tc>
          <w:tcPr>
            <w:tcW w:w="610" w:type="pct"/>
            <w:noWrap w:val="0"/>
            <w:vAlign w:val="center"/>
          </w:tcPr>
          <w:p w14:paraId="20F3823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采矿用地</w:t>
            </w:r>
          </w:p>
        </w:tc>
        <w:tc>
          <w:tcPr>
            <w:tcW w:w="688" w:type="pct"/>
            <w:noWrap w:val="0"/>
            <w:vAlign w:val="center"/>
          </w:tcPr>
          <w:p w14:paraId="28531D2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裸岩石砾地</w:t>
            </w:r>
          </w:p>
        </w:tc>
        <w:tc>
          <w:tcPr>
            <w:tcW w:w="445" w:type="pct"/>
            <w:vMerge w:val="continue"/>
            <w:noWrap w:val="0"/>
            <w:vAlign w:val="center"/>
          </w:tcPr>
          <w:p w14:paraId="0A1654E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p>
        </w:tc>
      </w:tr>
      <w:tr w14:paraId="37C18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restart"/>
            <w:noWrap w:val="0"/>
            <w:vAlign w:val="center"/>
          </w:tcPr>
          <w:p w14:paraId="22F72E9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已建</w:t>
            </w:r>
          </w:p>
        </w:tc>
        <w:tc>
          <w:tcPr>
            <w:tcW w:w="1940" w:type="pct"/>
            <w:gridSpan w:val="3"/>
            <w:noWrap w:val="0"/>
            <w:vAlign w:val="center"/>
          </w:tcPr>
          <w:p w14:paraId="2F7267F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办公生活区</w:t>
            </w:r>
          </w:p>
        </w:tc>
        <w:tc>
          <w:tcPr>
            <w:tcW w:w="500" w:type="pct"/>
            <w:vMerge w:val="restart"/>
            <w:noWrap w:val="0"/>
            <w:vAlign w:val="center"/>
          </w:tcPr>
          <w:p w14:paraId="476AEF1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矿区内</w:t>
            </w:r>
          </w:p>
        </w:tc>
        <w:tc>
          <w:tcPr>
            <w:tcW w:w="454" w:type="pct"/>
            <w:noWrap w:val="0"/>
            <w:vAlign w:val="center"/>
          </w:tcPr>
          <w:p w14:paraId="422F8E2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1.16</w:t>
            </w:r>
          </w:p>
        </w:tc>
        <w:tc>
          <w:tcPr>
            <w:tcW w:w="610" w:type="pct"/>
            <w:noWrap w:val="0"/>
            <w:vAlign w:val="center"/>
          </w:tcPr>
          <w:p w14:paraId="487B3AA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1.16</w:t>
            </w:r>
          </w:p>
        </w:tc>
        <w:tc>
          <w:tcPr>
            <w:tcW w:w="688" w:type="pct"/>
            <w:noWrap w:val="0"/>
            <w:vAlign w:val="center"/>
          </w:tcPr>
          <w:p w14:paraId="3BC9919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noWrap w:val="0"/>
            <w:vAlign w:val="center"/>
          </w:tcPr>
          <w:p w14:paraId="249D68B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2C893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63" w:type="pct"/>
            <w:vMerge w:val="continue"/>
            <w:noWrap w:val="0"/>
            <w:vAlign w:val="center"/>
          </w:tcPr>
          <w:p w14:paraId="3574E85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noWrap w:val="0"/>
            <w:vAlign w:val="center"/>
          </w:tcPr>
          <w:p w14:paraId="20F975E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主竖井工业场地</w:t>
            </w:r>
          </w:p>
        </w:tc>
        <w:tc>
          <w:tcPr>
            <w:tcW w:w="500" w:type="pct"/>
            <w:vMerge w:val="continue"/>
            <w:noWrap w:val="0"/>
            <w:vAlign w:val="center"/>
          </w:tcPr>
          <w:p w14:paraId="4A3388F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noWrap w:val="0"/>
            <w:vAlign w:val="center"/>
          </w:tcPr>
          <w:p w14:paraId="70782D5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0.75</w:t>
            </w:r>
          </w:p>
        </w:tc>
        <w:tc>
          <w:tcPr>
            <w:tcW w:w="610" w:type="pct"/>
            <w:noWrap w:val="0"/>
            <w:vAlign w:val="center"/>
          </w:tcPr>
          <w:p w14:paraId="1AB4518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0.75</w:t>
            </w:r>
          </w:p>
        </w:tc>
        <w:tc>
          <w:tcPr>
            <w:tcW w:w="688" w:type="pct"/>
            <w:noWrap w:val="0"/>
            <w:vAlign w:val="center"/>
          </w:tcPr>
          <w:p w14:paraId="46301E3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noWrap w:val="0"/>
            <w:vAlign w:val="center"/>
          </w:tcPr>
          <w:p w14:paraId="200D288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255EA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52127EC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noWrap w:val="0"/>
            <w:vAlign w:val="center"/>
          </w:tcPr>
          <w:p w14:paraId="02D084D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副竖井工业场地</w:t>
            </w:r>
          </w:p>
        </w:tc>
        <w:tc>
          <w:tcPr>
            <w:tcW w:w="500" w:type="pct"/>
            <w:vMerge w:val="continue"/>
            <w:noWrap w:val="0"/>
            <w:vAlign w:val="center"/>
          </w:tcPr>
          <w:p w14:paraId="136ABB4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noWrap w:val="0"/>
            <w:vAlign w:val="center"/>
          </w:tcPr>
          <w:p w14:paraId="4C76799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0.62</w:t>
            </w:r>
          </w:p>
        </w:tc>
        <w:tc>
          <w:tcPr>
            <w:tcW w:w="610" w:type="pct"/>
            <w:noWrap w:val="0"/>
            <w:vAlign w:val="center"/>
          </w:tcPr>
          <w:p w14:paraId="569B05C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0.62</w:t>
            </w:r>
          </w:p>
        </w:tc>
        <w:tc>
          <w:tcPr>
            <w:tcW w:w="688" w:type="pct"/>
            <w:noWrap w:val="0"/>
            <w:vAlign w:val="center"/>
          </w:tcPr>
          <w:p w14:paraId="3EEBA9E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noWrap w:val="0"/>
            <w:vAlign w:val="center"/>
          </w:tcPr>
          <w:p w14:paraId="69FE5DE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7F8AA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35D9EB7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noWrap w:val="0"/>
            <w:vAlign w:val="center"/>
          </w:tcPr>
          <w:p w14:paraId="559D97D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辅助生产区</w:t>
            </w:r>
          </w:p>
        </w:tc>
        <w:tc>
          <w:tcPr>
            <w:tcW w:w="500" w:type="pct"/>
            <w:vMerge w:val="continue"/>
            <w:noWrap w:val="0"/>
            <w:vAlign w:val="center"/>
          </w:tcPr>
          <w:p w14:paraId="3970BB7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noWrap w:val="0"/>
            <w:vAlign w:val="center"/>
          </w:tcPr>
          <w:p w14:paraId="2B684B8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0.60</w:t>
            </w:r>
          </w:p>
        </w:tc>
        <w:tc>
          <w:tcPr>
            <w:tcW w:w="610" w:type="pct"/>
            <w:noWrap w:val="0"/>
            <w:vAlign w:val="center"/>
          </w:tcPr>
          <w:p w14:paraId="11A33AF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0.60</w:t>
            </w:r>
          </w:p>
        </w:tc>
        <w:tc>
          <w:tcPr>
            <w:tcW w:w="688" w:type="pct"/>
            <w:noWrap w:val="0"/>
            <w:vAlign w:val="center"/>
          </w:tcPr>
          <w:p w14:paraId="0D982B3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noWrap w:val="0"/>
            <w:vAlign w:val="center"/>
          </w:tcPr>
          <w:p w14:paraId="078CA96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6A378C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0E28B2C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61" w:type="pct"/>
            <w:vMerge w:val="restart"/>
            <w:noWrap w:val="0"/>
            <w:vAlign w:val="center"/>
          </w:tcPr>
          <w:p w14:paraId="7F580E3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w:t>
            </w:r>
          </w:p>
        </w:tc>
        <w:tc>
          <w:tcPr>
            <w:tcW w:w="1379" w:type="pct"/>
            <w:gridSpan w:val="2"/>
            <w:noWrap w:val="0"/>
            <w:vAlign w:val="center"/>
          </w:tcPr>
          <w:p w14:paraId="1B1555C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废石堆1</w:t>
            </w:r>
          </w:p>
        </w:tc>
        <w:tc>
          <w:tcPr>
            <w:tcW w:w="500" w:type="pct"/>
            <w:vMerge w:val="continue"/>
            <w:noWrap w:val="0"/>
            <w:vAlign w:val="center"/>
          </w:tcPr>
          <w:p w14:paraId="4E0EF43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vMerge w:val="restart"/>
            <w:noWrap w:val="0"/>
            <w:vAlign w:val="center"/>
          </w:tcPr>
          <w:p w14:paraId="02CD1C2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1.19</w:t>
            </w:r>
          </w:p>
        </w:tc>
        <w:tc>
          <w:tcPr>
            <w:tcW w:w="610" w:type="pct"/>
            <w:noWrap w:val="0"/>
            <w:vAlign w:val="center"/>
          </w:tcPr>
          <w:p w14:paraId="25938F9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0.78</w:t>
            </w:r>
          </w:p>
        </w:tc>
        <w:tc>
          <w:tcPr>
            <w:tcW w:w="688" w:type="pct"/>
            <w:noWrap w:val="0"/>
            <w:vAlign w:val="center"/>
          </w:tcPr>
          <w:p w14:paraId="624C743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noWrap w:val="0"/>
            <w:vAlign w:val="center"/>
          </w:tcPr>
          <w:p w14:paraId="5A45971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停用</w:t>
            </w:r>
          </w:p>
        </w:tc>
      </w:tr>
      <w:tr w14:paraId="6D05C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7615A66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61" w:type="pct"/>
            <w:vMerge w:val="continue"/>
            <w:noWrap w:val="0"/>
            <w:vAlign w:val="center"/>
          </w:tcPr>
          <w:p w14:paraId="3D435EC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379" w:type="pct"/>
            <w:gridSpan w:val="2"/>
            <w:noWrap w:val="0"/>
            <w:vAlign w:val="center"/>
          </w:tcPr>
          <w:p w14:paraId="3B9FCD7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废石堆2</w:t>
            </w:r>
          </w:p>
        </w:tc>
        <w:tc>
          <w:tcPr>
            <w:tcW w:w="500" w:type="pct"/>
            <w:vMerge w:val="continue"/>
            <w:noWrap w:val="0"/>
            <w:vAlign w:val="center"/>
          </w:tcPr>
          <w:p w14:paraId="1A71563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62121DC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10" w:type="pct"/>
            <w:noWrap w:val="0"/>
            <w:vAlign w:val="center"/>
          </w:tcPr>
          <w:p w14:paraId="13CC08B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0.41</w:t>
            </w:r>
          </w:p>
        </w:tc>
        <w:tc>
          <w:tcPr>
            <w:tcW w:w="688" w:type="pct"/>
            <w:noWrap w:val="0"/>
            <w:vAlign w:val="center"/>
          </w:tcPr>
          <w:p w14:paraId="427CB7C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noWrap w:val="0"/>
            <w:vAlign w:val="center"/>
          </w:tcPr>
          <w:p w14:paraId="1C96D17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停用</w:t>
            </w:r>
          </w:p>
        </w:tc>
      </w:tr>
      <w:tr w14:paraId="399AA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5C68A63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61" w:type="pct"/>
            <w:vMerge w:val="restart"/>
            <w:noWrap w:val="0"/>
            <w:vAlign w:val="center"/>
          </w:tcPr>
          <w:p w14:paraId="0C58FC1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矿石堆</w:t>
            </w:r>
          </w:p>
        </w:tc>
        <w:tc>
          <w:tcPr>
            <w:tcW w:w="1379" w:type="pct"/>
            <w:gridSpan w:val="2"/>
            <w:vMerge w:val="restart"/>
            <w:noWrap w:val="0"/>
            <w:vAlign w:val="center"/>
          </w:tcPr>
          <w:p w14:paraId="13F21EF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矿石堆1</w:t>
            </w:r>
          </w:p>
        </w:tc>
        <w:tc>
          <w:tcPr>
            <w:tcW w:w="500" w:type="pct"/>
            <w:noWrap w:val="0"/>
            <w:vAlign w:val="center"/>
          </w:tcPr>
          <w:p w14:paraId="52BC6D2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矿区内</w:t>
            </w:r>
          </w:p>
        </w:tc>
        <w:tc>
          <w:tcPr>
            <w:tcW w:w="454" w:type="pct"/>
            <w:vMerge w:val="restart"/>
            <w:noWrap w:val="0"/>
            <w:vAlign w:val="center"/>
          </w:tcPr>
          <w:p w14:paraId="51C00AB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1.95</w:t>
            </w:r>
          </w:p>
        </w:tc>
        <w:tc>
          <w:tcPr>
            <w:tcW w:w="610" w:type="pct"/>
            <w:noWrap w:val="0"/>
            <w:vAlign w:val="center"/>
          </w:tcPr>
          <w:p w14:paraId="4BA89A6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0.81</w:t>
            </w:r>
          </w:p>
        </w:tc>
        <w:tc>
          <w:tcPr>
            <w:tcW w:w="688" w:type="pct"/>
            <w:noWrap w:val="0"/>
            <w:vAlign w:val="center"/>
          </w:tcPr>
          <w:p w14:paraId="7140E5D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vMerge w:val="restart"/>
            <w:noWrap w:val="0"/>
            <w:vAlign w:val="center"/>
          </w:tcPr>
          <w:p w14:paraId="18C2160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停用</w:t>
            </w:r>
          </w:p>
        </w:tc>
      </w:tr>
      <w:tr w14:paraId="2E183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762A9FC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61" w:type="pct"/>
            <w:vMerge w:val="continue"/>
            <w:noWrap w:val="0"/>
            <w:vAlign w:val="center"/>
          </w:tcPr>
          <w:p w14:paraId="36899E9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379" w:type="pct"/>
            <w:gridSpan w:val="2"/>
            <w:vMerge w:val="continue"/>
            <w:noWrap w:val="0"/>
            <w:vAlign w:val="center"/>
          </w:tcPr>
          <w:p w14:paraId="338BAB8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00" w:type="pct"/>
            <w:noWrap w:val="0"/>
            <w:vAlign w:val="center"/>
          </w:tcPr>
          <w:p w14:paraId="7154A21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矿区外</w:t>
            </w:r>
          </w:p>
        </w:tc>
        <w:tc>
          <w:tcPr>
            <w:tcW w:w="454" w:type="pct"/>
            <w:vMerge w:val="continue"/>
            <w:noWrap w:val="0"/>
            <w:vAlign w:val="center"/>
          </w:tcPr>
          <w:p w14:paraId="7553E9E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10" w:type="pct"/>
            <w:noWrap w:val="0"/>
            <w:vAlign w:val="center"/>
          </w:tcPr>
          <w:p w14:paraId="57440C6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0.11</w:t>
            </w:r>
          </w:p>
        </w:tc>
        <w:tc>
          <w:tcPr>
            <w:tcW w:w="688" w:type="pct"/>
            <w:noWrap w:val="0"/>
            <w:vAlign w:val="center"/>
          </w:tcPr>
          <w:p w14:paraId="14C140D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vMerge w:val="continue"/>
            <w:noWrap w:val="0"/>
            <w:vAlign w:val="center"/>
          </w:tcPr>
          <w:p w14:paraId="264257D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r>
      <w:tr w14:paraId="76F73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1E66856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61" w:type="pct"/>
            <w:vMerge w:val="continue"/>
            <w:noWrap w:val="0"/>
            <w:vAlign w:val="center"/>
          </w:tcPr>
          <w:p w14:paraId="6071152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379" w:type="pct"/>
            <w:gridSpan w:val="2"/>
            <w:vMerge w:val="restart"/>
            <w:noWrap w:val="0"/>
            <w:vAlign w:val="center"/>
          </w:tcPr>
          <w:p w14:paraId="126A670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矿石堆2</w:t>
            </w:r>
          </w:p>
        </w:tc>
        <w:tc>
          <w:tcPr>
            <w:tcW w:w="500" w:type="pct"/>
            <w:noWrap w:val="0"/>
            <w:vAlign w:val="center"/>
          </w:tcPr>
          <w:p w14:paraId="57BC939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矿区内</w:t>
            </w:r>
          </w:p>
        </w:tc>
        <w:tc>
          <w:tcPr>
            <w:tcW w:w="454" w:type="pct"/>
            <w:vMerge w:val="continue"/>
            <w:noWrap w:val="0"/>
            <w:vAlign w:val="center"/>
          </w:tcPr>
          <w:p w14:paraId="6390267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10" w:type="pct"/>
            <w:noWrap w:val="0"/>
            <w:vAlign w:val="center"/>
          </w:tcPr>
          <w:p w14:paraId="3793B52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1.02</w:t>
            </w:r>
          </w:p>
        </w:tc>
        <w:tc>
          <w:tcPr>
            <w:tcW w:w="688" w:type="pct"/>
            <w:noWrap w:val="0"/>
            <w:vAlign w:val="center"/>
          </w:tcPr>
          <w:p w14:paraId="675E0E3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vMerge w:val="restart"/>
            <w:noWrap w:val="0"/>
            <w:vAlign w:val="center"/>
          </w:tcPr>
          <w:p w14:paraId="473751A5">
            <w:pPr>
              <w:keepNext w:val="0"/>
              <w:keepLines w:val="0"/>
              <w:suppressLineNumbers w:val="0"/>
              <w:tabs>
                <w:tab w:val="left" w:pos="394"/>
              </w:tabs>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停用</w:t>
            </w:r>
          </w:p>
        </w:tc>
      </w:tr>
      <w:tr w14:paraId="13562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0118397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61" w:type="pct"/>
            <w:vMerge w:val="continue"/>
            <w:noWrap w:val="0"/>
            <w:vAlign w:val="center"/>
          </w:tcPr>
          <w:p w14:paraId="254095C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379" w:type="pct"/>
            <w:gridSpan w:val="2"/>
            <w:vMerge w:val="continue"/>
            <w:noWrap w:val="0"/>
            <w:vAlign w:val="center"/>
          </w:tcPr>
          <w:p w14:paraId="13B0062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500" w:type="pct"/>
            <w:noWrap w:val="0"/>
            <w:vAlign w:val="center"/>
          </w:tcPr>
          <w:p w14:paraId="6DF987B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矿区外</w:t>
            </w:r>
          </w:p>
        </w:tc>
        <w:tc>
          <w:tcPr>
            <w:tcW w:w="454" w:type="pct"/>
            <w:vMerge w:val="continue"/>
            <w:noWrap w:val="0"/>
            <w:vAlign w:val="center"/>
          </w:tcPr>
          <w:p w14:paraId="41E70C0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10" w:type="pct"/>
            <w:noWrap w:val="0"/>
            <w:vAlign w:val="center"/>
          </w:tcPr>
          <w:p w14:paraId="3B6340D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0.01</w:t>
            </w:r>
          </w:p>
        </w:tc>
        <w:tc>
          <w:tcPr>
            <w:tcW w:w="688" w:type="pct"/>
            <w:noWrap w:val="0"/>
            <w:vAlign w:val="center"/>
          </w:tcPr>
          <w:p w14:paraId="49111A1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vMerge w:val="continue"/>
            <w:noWrap w:val="0"/>
            <w:vAlign w:val="center"/>
          </w:tcPr>
          <w:p w14:paraId="5307A61E">
            <w:pPr>
              <w:keepNext w:val="0"/>
              <w:keepLines w:val="0"/>
              <w:suppressLineNumbers w:val="0"/>
              <w:tabs>
                <w:tab w:val="left" w:pos="394"/>
              </w:tabs>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r>
      <w:tr w14:paraId="4E0E1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33F3613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noWrap w:val="0"/>
            <w:vAlign w:val="center"/>
          </w:tcPr>
          <w:p w14:paraId="50AFD6E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爆破器材库</w:t>
            </w:r>
          </w:p>
        </w:tc>
        <w:tc>
          <w:tcPr>
            <w:tcW w:w="500" w:type="pct"/>
            <w:noWrap w:val="0"/>
            <w:vAlign w:val="center"/>
          </w:tcPr>
          <w:p w14:paraId="4EDF67B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矿区外</w:t>
            </w:r>
          </w:p>
        </w:tc>
        <w:tc>
          <w:tcPr>
            <w:tcW w:w="454" w:type="pct"/>
            <w:noWrap w:val="0"/>
            <w:vAlign w:val="center"/>
          </w:tcPr>
          <w:p w14:paraId="5CEED0B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0.54</w:t>
            </w:r>
          </w:p>
        </w:tc>
        <w:tc>
          <w:tcPr>
            <w:tcW w:w="610" w:type="pct"/>
            <w:noWrap w:val="0"/>
            <w:vAlign w:val="center"/>
          </w:tcPr>
          <w:p w14:paraId="3B1C120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688" w:type="pct"/>
            <w:noWrap w:val="0"/>
            <w:vAlign w:val="center"/>
          </w:tcPr>
          <w:p w14:paraId="0529DEF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0.54</w:t>
            </w:r>
          </w:p>
        </w:tc>
        <w:tc>
          <w:tcPr>
            <w:tcW w:w="445" w:type="pct"/>
            <w:noWrap w:val="0"/>
            <w:vAlign w:val="center"/>
          </w:tcPr>
          <w:p w14:paraId="31E4E33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4D67C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3AFE96B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vMerge w:val="restart"/>
            <w:noWrap w:val="0"/>
            <w:vAlign w:val="center"/>
          </w:tcPr>
          <w:p w14:paraId="31D0C0C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变电站</w:t>
            </w:r>
          </w:p>
        </w:tc>
        <w:tc>
          <w:tcPr>
            <w:tcW w:w="500" w:type="pct"/>
            <w:noWrap w:val="0"/>
            <w:vAlign w:val="center"/>
          </w:tcPr>
          <w:p w14:paraId="6F8E2B5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矿区内</w:t>
            </w:r>
          </w:p>
        </w:tc>
        <w:tc>
          <w:tcPr>
            <w:tcW w:w="454" w:type="pct"/>
            <w:vMerge w:val="restart"/>
            <w:noWrap w:val="0"/>
            <w:vAlign w:val="center"/>
          </w:tcPr>
          <w:p w14:paraId="2851C84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0.14</w:t>
            </w:r>
          </w:p>
        </w:tc>
        <w:tc>
          <w:tcPr>
            <w:tcW w:w="610" w:type="pct"/>
            <w:noWrap w:val="0"/>
            <w:vAlign w:val="center"/>
          </w:tcPr>
          <w:p w14:paraId="060A36C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0.09</w:t>
            </w:r>
          </w:p>
        </w:tc>
        <w:tc>
          <w:tcPr>
            <w:tcW w:w="688" w:type="pct"/>
            <w:noWrap w:val="0"/>
            <w:vAlign w:val="center"/>
          </w:tcPr>
          <w:p w14:paraId="3711894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vMerge w:val="restart"/>
            <w:noWrap w:val="0"/>
            <w:vAlign w:val="center"/>
          </w:tcPr>
          <w:p w14:paraId="707A4A5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3532D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507447B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vMerge w:val="continue"/>
            <w:noWrap w:val="0"/>
            <w:vAlign w:val="center"/>
          </w:tcPr>
          <w:p w14:paraId="0B0FF81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00" w:type="pct"/>
            <w:noWrap w:val="0"/>
            <w:vAlign w:val="center"/>
          </w:tcPr>
          <w:p w14:paraId="3835B94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矿区外</w:t>
            </w:r>
          </w:p>
        </w:tc>
        <w:tc>
          <w:tcPr>
            <w:tcW w:w="454" w:type="pct"/>
            <w:vMerge w:val="continue"/>
            <w:noWrap w:val="0"/>
            <w:vAlign w:val="center"/>
          </w:tcPr>
          <w:p w14:paraId="56EA92A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10" w:type="pct"/>
            <w:noWrap w:val="0"/>
            <w:vAlign w:val="center"/>
          </w:tcPr>
          <w:p w14:paraId="147FC95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0.05</w:t>
            </w:r>
          </w:p>
        </w:tc>
        <w:tc>
          <w:tcPr>
            <w:tcW w:w="688" w:type="pct"/>
            <w:noWrap w:val="0"/>
            <w:vAlign w:val="center"/>
          </w:tcPr>
          <w:p w14:paraId="55CDBBC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445" w:type="pct"/>
            <w:vMerge w:val="continue"/>
            <w:noWrap w:val="0"/>
            <w:vAlign w:val="center"/>
          </w:tcPr>
          <w:p w14:paraId="61956BD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r>
      <w:tr w14:paraId="0223E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763215A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vMerge w:val="restart"/>
            <w:noWrap w:val="0"/>
            <w:vAlign w:val="center"/>
          </w:tcPr>
          <w:p w14:paraId="08BAEA6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已建矿山道路</w:t>
            </w:r>
          </w:p>
        </w:tc>
        <w:tc>
          <w:tcPr>
            <w:tcW w:w="500" w:type="pct"/>
            <w:noWrap w:val="0"/>
            <w:vAlign w:val="center"/>
          </w:tcPr>
          <w:p w14:paraId="563148B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矿区内</w:t>
            </w:r>
          </w:p>
        </w:tc>
        <w:tc>
          <w:tcPr>
            <w:tcW w:w="454" w:type="pct"/>
            <w:vMerge w:val="restart"/>
            <w:noWrap w:val="0"/>
            <w:vAlign w:val="center"/>
          </w:tcPr>
          <w:p w14:paraId="448B0DA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1.81</w:t>
            </w:r>
          </w:p>
        </w:tc>
        <w:tc>
          <w:tcPr>
            <w:tcW w:w="610" w:type="pct"/>
            <w:noWrap w:val="0"/>
            <w:vAlign w:val="center"/>
          </w:tcPr>
          <w:p w14:paraId="05A3396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0.58</w:t>
            </w:r>
          </w:p>
        </w:tc>
        <w:tc>
          <w:tcPr>
            <w:tcW w:w="688" w:type="pct"/>
            <w:noWrap w:val="0"/>
            <w:vAlign w:val="center"/>
          </w:tcPr>
          <w:p w14:paraId="5F63007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0.41</w:t>
            </w:r>
          </w:p>
        </w:tc>
        <w:tc>
          <w:tcPr>
            <w:tcW w:w="445" w:type="pct"/>
            <w:noWrap w:val="0"/>
            <w:vAlign w:val="center"/>
          </w:tcPr>
          <w:p w14:paraId="5E2D297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3D0A0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60566E1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vMerge w:val="continue"/>
            <w:noWrap w:val="0"/>
            <w:vAlign w:val="center"/>
          </w:tcPr>
          <w:p w14:paraId="5432D69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500" w:type="pct"/>
            <w:noWrap w:val="0"/>
            <w:vAlign w:val="center"/>
          </w:tcPr>
          <w:p w14:paraId="4432FF7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矿区外</w:t>
            </w:r>
          </w:p>
        </w:tc>
        <w:tc>
          <w:tcPr>
            <w:tcW w:w="454" w:type="pct"/>
            <w:vMerge w:val="continue"/>
            <w:noWrap w:val="0"/>
            <w:vAlign w:val="center"/>
          </w:tcPr>
          <w:p w14:paraId="1A35620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10" w:type="pct"/>
            <w:noWrap w:val="0"/>
            <w:vAlign w:val="center"/>
          </w:tcPr>
          <w:p w14:paraId="09D9734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0.16</w:t>
            </w:r>
          </w:p>
        </w:tc>
        <w:tc>
          <w:tcPr>
            <w:tcW w:w="688" w:type="pct"/>
            <w:noWrap w:val="0"/>
            <w:vAlign w:val="center"/>
          </w:tcPr>
          <w:p w14:paraId="225B516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0.66</w:t>
            </w:r>
          </w:p>
        </w:tc>
        <w:tc>
          <w:tcPr>
            <w:tcW w:w="445" w:type="pct"/>
            <w:noWrap w:val="0"/>
            <w:vAlign w:val="center"/>
          </w:tcPr>
          <w:p w14:paraId="0FEBB7A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735069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03" w:type="pct"/>
            <w:gridSpan w:val="5"/>
            <w:noWrap w:val="0"/>
            <w:vAlign w:val="center"/>
          </w:tcPr>
          <w:p w14:paraId="09396C4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小计</w:t>
            </w:r>
          </w:p>
        </w:tc>
        <w:tc>
          <w:tcPr>
            <w:tcW w:w="454" w:type="pct"/>
            <w:noWrap w:val="0"/>
            <w:vAlign w:val="center"/>
          </w:tcPr>
          <w:p w14:paraId="600B495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8.76</w:t>
            </w:r>
          </w:p>
        </w:tc>
        <w:tc>
          <w:tcPr>
            <w:tcW w:w="610" w:type="pct"/>
            <w:noWrap w:val="0"/>
            <w:vAlign w:val="center"/>
          </w:tcPr>
          <w:p w14:paraId="60336ED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7.15</w:t>
            </w:r>
          </w:p>
        </w:tc>
        <w:tc>
          <w:tcPr>
            <w:tcW w:w="688" w:type="pct"/>
            <w:noWrap w:val="0"/>
            <w:vAlign w:val="center"/>
          </w:tcPr>
          <w:p w14:paraId="722FE08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1.61</w:t>
            </w:r>
          </w:p>
        </w:tc>
        <w:tc>
          <w:tcPr>
            <w:tcW w:w="445" w:type="pct"/>
            <w:noWrap w:val="0"/>
            <w:vAlign w:val="center"/>
          </w:tcPr>
          <w:p w14:paraId="1385EDF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p>
        </w:tc>
      </w:tr>
      <w:tr w14:paraId="3E413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restart"/>
            <w:noWrap w:val="0"/>
            <w:vAlign w:val="center"/>
          </w:tcPr>
          <w:p w14:paraId="295E708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拟建</w:t>
            </w:r>
          </w:p>
        </w:tc>
        <w:tc>
          <w:tcPr>
            <w:tcW w:w="701" w:type="pct"/>
            <w:gridSpan w:val="2"/>
            <w:vMerge w:val="restart"/>
            <w:noWrap w:val="0"/>
            <w:vAlign w:val="center"/>
          </w:tcPr>
          <w:p w14:paraId="6D20E6D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规划西风井工业场地</w:t>
            </w:r>
          </w:p>
        </w:tc>
        <w:tc>
          <w:tcPr>
            <w:tcW w:w="1239" w:type="pct"/>
            <w:noWrap w:val="0"/>
            <w:vAlign w:val="center"/>
          </w:tcPr>
          <w:p w14:paraId="303FEE9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规划西风井1工业场地</w:t>
            </w:r>
          </w:p>
        </w:tc>
        <w:tc>
          <w:tcPr>
            <w:tcW w:w="500" w:type="pct"/>
            <w:vMerge w:val="restart"/>
            <w:noWrap w:val="0"/>
            <w:vAlign w:val="center"/>
          </w:tcPr>
          <w:p w14:paraId="673729A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矿区内</w:t>
            </w:r>
          </w:p>
        </w:tc>
        <w:tc>
          <w:tcPr>
            <w:tcW w:w="454" w:type="pct"/>
            <w:vMerge w:val="restart"/>
            <w:noWrap w:val="0"/>
            <w:vAlign w:val="center"/>
          </w:tcPr>
          <w:p w14:paraId="2397A05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0.08</w:t>
            </w:r>
          </w:p>
        </w:tc>
        <w:tc>
          <w:tcPr>
            <w:tcW w:w="610" w:type="pct"/>
            <w:noWrap w:val="0"/>
            <w:vAlign w:val="center"/>
          </w:tcPr>
          <w:p w14:paraId="1CEC923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688" w:type="pct"/>
            <w:noWrap w:val="0"/>
            <w:vAlign w:val="center"/>
          </w:tcPr>
          <w:p w14:paraId="17AC1B7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0.04</w:t>
            </w:r>
          </w:p>
        </w:tc>
        <w:tc>
          <w:tcPr>
            <w:tcW w:w="445" w:type="pct"/>
            <w:noWrap w:val="0"/>
            <w:vAlign w:val="center"/>
          </w:tcPr>
          <w:p w14:paraId="6D6000F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15A88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7439E40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701" w:type="pct"/>
            <w:gridSpan w:val="2"/>
            <w:vMerge w:val="continue"/>
            <w:noWrap w:val="0"/>
            <w:vAlign w:val="center"/>
          </w:tcPr>
          <w:p w14:paraId="6834222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239" w:type="pct"/>
            <w:noWrap w:val="0"/>
            <w:vAlign w:val="center"/>
          </w:tcPr>
          <w:p w14:paraId="6E41119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规划西风井2工业场地</w:t>
            </w:r>
          </w:p>
        </w:tc>
        <w:tc>
          <w:tcPr>
            <w:tcW w:w="500" w:type="pct"/>
            <w:vMerge w:val="continue"/>
            <w:noWrap w:val="0"/>
            <w:vAlign w:val="center"/>
          </w:tcPr>
          <w:p w14:paraId="4115969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09C2324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10" w:type="pct"/>
            <w:noWrap w:val="0"/>
            <w:vAlign w:val="center"/>
          </w:tcPr>
          <w:p w14:paraId="683B17F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688" w:type="pct"/>
            <w:noWrap w:val="0"/>
            <w:vAlign w:val="center"/>
          </w:tcPr>
          <w:p w14:paraId="2DF805B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0.04</w:t>
            </w:r>
          </w:p>
        </w:tc>
        <w:tc>
          <w:tcPr>
            <w:tcW w:w="445" w:type="pct"/>
            <w:noWrap w:val="0"/>
            <w:vAlign w:val="center"/>
          </w:tcPr>
          <w:p w14:paraId="35EA80B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4352D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35303C2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701" w:type="pct"/>
            <w:gridSpan w:val="2"/>
            <w:vMerge w:val="restart"/>
            <w:noWrap w:val="0"/>
            <w:vAlign w:val="center"/>
          </w:tcPr>
          <w:p w14:paraId="2B6C7EB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w:t>
            </w:r>
            <w:r>
              <w:rPr>
                <w:rFonts w:hint="eastAsia" w:cs="Times New Roman"/>
                <w:color w:val="000000" w:themeColor="text1"/>
                <w:szCs w:val="21"/>
                <w:lang w:eastAsia="zh-CN"/>
                <w14:textFill>
                  <w14:solidFill>
                    <w14:schemeClr w14:val="tx1"/>
                  </w14:solidFill>
                </w14:textFill>
              </w:rPr>
              <w:t>废石堆场</w:t>
            </w:r>
          </w:p>
        </w:tc>
        <w:tc>
          <w:tcPr>
            <w:tcW w:w="1239" w:type="pct"/>
            <w:noWrap w:val="0"/>
            <w:vAlign w:val="center"/>
          </w:tcPr>
          <w:p w14:paraId="105AF97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规划1号</w:t>
            </w:r>
            <w:r>
              <w:rPr>
                <w:rFonts w:hint="eastAsia" w:cs="Times New Roman"/>
                <w:color w:val="000000" w:themeColor="text1"/>
                <w:szCs w:val="21"/>
                <w:lang w:eastAsia="zh-CN"/>
                <w14:textFill>
                  <w14:solidFill>
                    <w14:schemeClr w14:val="tx1"/>
                  </w14:solidFill>
                </w14:textFill>
              </w:rPr>
              <w:t>废石堆场</w:t>
            </w:r>
          </w:p>
        </w:tc>
        <w:tc>
          <w:tcPr>
            <w:tcW w:w="500" w:type="pct"/>
            <w:vMerge w:val="continue"/>
            <w:noWrap w:val="0"/>
            <w:vAlign w:val="center"/>
          </w:tcPr>
          <w:p w14:paraId="4C7248B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vMerge w:val="restart"/>
            <w:noWrap w:val="0"/>
            <w:vAlign w:val="center"/>
          </w:tcPr>
          <w:p w14:paraId="6DDBB45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5.36</w:t>
            </w:r>
          </w:p>
        </w:tc>
        <w:tc>
          <w:tcPr>
            <w:tcW w:w="610" w:type="pct"/>
            <w:noWrap w:val="0"/>
            <w:vAlign w:val="center"/>
          </w:tcPr>
          <w:p w14:paraId="4B249EF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688" w:type="pct"/>
            <w:noWrap w:val="0"/>
            <w:vAlign w:val="center"/>
          </w:tcPr>
          <w:p w14:paraId="1EFF801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3.12</w:t>
            </w:r>
          </w:p>
        </w:tc>
        <w:tc>
          <w:tcPr>
            <w:tcW w:w="445" w:type="pct"/>
            <w:noWrap w:val="0"/>
            <w:vAlign w:val="center"/>
          </w:tcPr>
          <w:p w14:paraId="2FCF8ED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26482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26A5D31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701" w:type="pct"/>
            <w:gridSpan w:val="2"/>
            <w:vMerge w:val="continue"/>
            <w:noWrap w:val="0"/>
            <w:vAlign w:val="center"/>
          </w:tcPr>
          <w:p w14:paraId="1178A6F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239" w:type="pct"/>
            <w:noWrap w:val="0"/>
            <w:vAlign w:val="center"/>
          </w:tcPr>
          <w:p w14:paraId="09E6FC3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w:t>
            </w:r>
            <w:r>
              <w:rPr>
                <w:rFonts w:hint="eastAsia" w:cs="Times New Roman"/>
                <w:color w:val="000000" w:themeColor="text1"/>
                <w:szCs w:val="21"/>
                <w:lang w:val="en-US" w:eastAsia="zh-CN"/>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号</w:t>
            </w:r>
            <w:r>
              <w:rPr>
                <w:rFonts w:hint="eastAsia" w:cs="Times New Roman"/>
                <w:color w:val="000000" w:themeColor="text1"/>
                <w:szCs w:val="21"/>
                <w:lang w:eastAsia="zh-CN"/>
                <w14:textFill>
                  <w14:solidFill>
                    <w14:schemeClr w14:val="tx1"/>
                  </w14:solidFill>
                </w14:textFill>
              </w:rPr>
              <w:t>废石堆场</w:t>
            </w:r>
          </w:p>
        </w:tc>
        <w:tc>
          <w:tcPr>
            <w:tcW w:w="500" w:type="pct"/>
            <w:vMerge w:val="continue"/>
            <w:noWrap w:val="0"/>
            <w:vAlign w:val="center"/>
          </w:tcPr>
          <w:p w14:paraId="19380F2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520BFE6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10" w:type="pct"/>
            <w:noWrap w:val="0"/>
            <w:vAlign w:val="center"/>
          </w:tcPr>
          <w:p w14:paraId="34252BE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688" w:type="pct"/>
            <w:noWrap w:val="0"/>
            <w:vAlign w:val="center"/>
          </w:tcPr>
          <w:p w14:paraId="2B58B5F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2.24</w:t>
            </w:r>
          </w:p>
        </w:tc>
        <w:tc>
          <w:tcPr>
            <w:tcW w:w="445" w:type="pct"/>
            <w:noWrap w:val="0"/>
            <w:vAlign w:val="center"/>
          </w:tcPr>
          <w:p w14:paraId="469F63D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7E77A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noWrap w:val="0"/>
            <w:vAlign w:val="center"/>
          </w:tcPr>
          <w:p w14:paraId="3BC7B50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940" w:type="pct"/>
            <w:gridSpan w:val="3"/>
            <w:noWrap w:val="0"/>
            <w:vAlign w:val="center"/>
          </w:tcPr>
          <w:p w14:paraId="5B20DB2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规划矿山道路</w:t>
            </w:r>
          </w:p>
        </w:tc>
        <w:tc>
          <w:tcPr>
            <w:tcW w:w="500" w:type="pct"/>
            <w:vMerge w:val="continue"/>
            <w:noWrap w:val="0"/>
            <w:vAlign w:val="center"/>
          </w:tcPr>
          <w:p w14:paraId="08A9346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454" w:type="pct"/>
            <w:noWrap w:val="0"/>
            <w:vAlign w:val="center"/>
          </w:tcPr>
          <w:p w14:paraId="5B0CB2C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0.21</w:t>
            </w:r>
          </w:p>
        </w:tc>
        <w:tc>
          <w:tcPr>
            <w:tcW w:w="610" w:type="pct"/>
            <w:noWrap w:val="0"/>
            <w:vAlign w:val="center"/>
          </w:tcPr>
          <w:p w14:paraId="39580C5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688" w:type="pct"/>
            <w:noWrap w:val="0"/>
            <w:vAlign w:val="center"/>
          </w:tcPr>
          <w:p w14:paraId="6F2DF0C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0.21</w:t>
            </w:r>
          </w:p>
        </w:tc>
        <w:tc>
          <w:tcPr>
            <w:tcW w:w="445" w:type="pct"/>
            <w:noWrap w:val="0"/>
            <w:vAlign w:val="center"/>
          </w:tcPr>
          <w:p w14:paraId="016E0AA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32D5C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03" w:type="pct"/>
            <w:gridSpan w:val="5"/>
            <w:noWrap w:val="0"/>
            <w:vAlign w:val="center"/>
          </w:tcPr>
          <w:p w14:paraId="11A9D17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小计</w:t>
            </w:r>
          </w:p>
        </w:tc>
        <w:tc>
          <w:tcPr>
            <w:tcW w:w="454" w:type="pct"/>
            <w:noWrap w:val="0"/>
            <w:vAlign w:val="center"/>
          </w:tcPr>
          <w:p w14:paraId="416A0B7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5.65</w:t>
            </w:r>
          </w:p>
        </w:tc>
        <w:tc>
          <w:tcPr>
            <w:tcW w:w="610" w:type="pct"/>
            <w:noWrap w:val="0"/>
            <w:vAlign w:val="center"/>
          </w:tcPr>
          <w:p w14:paraId="41032FB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w:t>
            </w:r>
          </w:p>
        </w:tc>
        <w:tc>
          <w:tcPr>
            <w:tcW w:w="688" w:type="pct"/>
            <w:noWrap w:val="0"/>
            <w:vAlign w:val="center"/>
          </w:tcPr>
          <w:p w14:paraId="209E7C2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5.65</w:t>
            </w:r>
          </w:p>
        </w:tc>
        <w:tc>
          <w:tcPr>
            <w:tcW w:w="445" w:type="pct"/>
            <w:noWrap w:val="0"/>
            <w:vAlign w:val="center"/>
          </w:tcPr>
          <w:p w14:paraId="2229946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p>
        </w:tc>
      </w:tr>
      <w:tr w14:paraId="2CBD9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03" w:type="pct"/>
            <w:gridSpan w:val="5"/>
            <w:noWrap w:val="0"/>
            <w:vAlign w:val="center"/>
          </w:tcPr>
          <w:p w14:paraId="1CD2035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合计</w:t>
            </w:r>
          </w:p>
        </w:tc>
        <w:tc>
          <w:tcPr>
            <w:tcW w:w="454" w:type="pct"/>
            <w:noWrap w:val="0"/>
            <w:vAlign w:val="center"/>
          </w:tcPr>
          <w:p w14:paraId="2C49FD2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14.41</w:t>
            </w:r>
          </w:p>
        </w:tc>
        <w:tc>
          <w:tcPr>
            <w:tcW w:w="610" w:type="pct"/>
            <w:noWrap w:val="0"/>
            <w:vAlign w:val="center"/>
          </w:tcPr>
          <w:p w14:paraId="4506FA1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7.15</w:t>
            </w:r>
          </w:p>
        </w:tc>
        <w:tc>
          <w:tcPr>
            <w:tcW w:w="688" w:type="pct"/>
            <w:noWrap w:val="0"/>
            <w:vAlign w:val="center"/>
          </w:tcPr>
          <w:p w14:paraId="0762B0C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7.26</w:t>
            </w:r>
          </w:p>
        </w:tc>
        <w:tc>
          <w:tcPr>
            <w:tcW w:w="445" w:type="pct"/>
            <w:noWrap w:val="0"/>
            <w:vAlign w:val="center"/>
          </w:tcPr>
          <w:p w14:paraId="58AA6D6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p>
        </w:tc>
      </w:tr>
    </w:tbl>
    <w:p w14:paraId="5DD83C85">
      <w:pPr>
        <w:pStyle w:val="4"/>
        <w:rPr>
          <w:color w:val="000000" w:themeColor="text1"/>
          <w14:textFill>
            <w14:solidFill>
              <w14:schemeClr w14:val="tx1"/>
            </w14:solidFill>
          </w14:textFill>
        </w:rPr>
      </w:pPr>
      <w:bookmarkStart w:id="303" w:name="_Toc30095"/>
      <w:r>
        <w:rPr>
          <w:color w:val="000000" w:themeColor="text1"/>
          <w14:textFill>
            <w14:solidFill>
              <w14:schemeClr w14:val="tx1"/>
            </w14:solidFill>
          </w14:textFill>
        </w:rPr>
        <w:t>3.2.9生产周期与劳动定员</w:t>
      </w:r>
      <w:bookmarkEnd w:id="299"/>
      <w:bookmarkEnd w:id="300"/>
      <w:bookmarkEnd w:id="301"/>
      <w:bookmarkEnd w:id="302"/>
      <w:bookmarkEnd w:id="303"/>
    </w:p>
    <w:p w14:paraId="1DA54B9D">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根据企业组织机构的设置，以及工艺流程设计和设备配置状况，</w:t>
      </w:r>
      <w:r>
        <w:rPr>
          <w:rFonts w:hint="eastAsia"/>
          <w:color w:val="000000" w:themeColor="text1"/>
          <w:sz w:val="24"/>
          <w:lang w:bidi="ar"/>
          <w14:textFill>
            <w14:solidFill>
              <w14:schemeClr w14:val="tx1"/>
            </w14:solidFill>
          </w14:textFill>
        </w:rPr>
        <w:t>采矿劳动定员</w:t>
      </w:r>
      <w:r>
        <w:rPr>
          <w:color w:val="000000" w:themeColor="text1"/>
          <w:sz w:val="24"/>
          <w:lang w:bidi="ar"/>
          <w14:textFill>
            <w14:solidFill>
              <w14:schemeClr w14:val="tx1"/>
            </w14:solidFill>
          </w14:textFill>
        </w:rPr>
        <w:t>8</w:t>
      </w:r>
      <w:r>
        <w:rPr>
          <w:rFonts w:hint="eastAsia"/>
          <w:color w:val="000000" w:themeColor="text1"/>
          <w:sz w:val="24"/>
          <w:lang w:val="en-US" w:eastAsia="zh-CN" w:bidi="ar"/>
          <w14:textFill>
            <w14:solidFill>
              <w14:schemeClr w14:val="tx1"/>
            </w14:solidFill>
          </w14:textFill>
        </w:rPr>
        <w:t>0</w:t>
      </w:r>
      <w:r>
        <w:rPr>
          <w:rFonts w:hint="eastAsia"/>
          <w:color w:val="000000" w:themeColor="text1"/>
          <w:sz w:val="24"/>
          <w:lang w:bidi="ar"/>
          <w14:textFill>
            <w14:solidFill>
              <w14:schemeClr w14:val="tx1"/>
            </w14:solidFill>
          </w14:textFill>
        </w:rPr>
        <w:t>人，</w:t>
      </w:r>
      <w:r>
        <w:rPr>
          <w:rFonts w:hint="eastAsia"/>
          <w:color w:val="000000" w:themeColor="text1"/>
          <w:sz w:val="24"/>
          <w:szCs w:val="28"/>
          <w14:textFill>
            <w14:solidFill>
              <w14:schemeClr w14:val="tx1"/>
            </w14:solidFill>
          </w14:textFill>
        </w:rPr>
        <w:t>其中生产工人</w:t>
      </w:r>
      <w:r>
        <w:rPr>
          <w:rFonts w:hint="eastAsia"/>
          <w:color w:val="000000" w:themeColor="text1"/>
          <w:sz w:val="24"/>
          <w:szCs w:val="28"/>
          <w:lang w:val="en-US" w:eastAsia="zh-CN"/>
          <w14:textFill>
            <w14:solidFill>
              <w14:schemeClr w14:val="tx1"/>
            </w14:solidFill>
          </w14:textFill>
        </w:rPr>
        <w:t>70</w:t>
      </w:r>
      <w:r>
        <w:rPr>
          <w:rFonts w:hint="eastAsia"/>
          <w:color w:val="000000" w:themeColor="text1"/>
          <w:sz w:val="24"/>
          <w:szCs w:val="28"/>
          <w14:textFill>
            <w14:solidFill>
              <w14:schemeClr w14:val="tx1"/>
            </w14:solidFill>
          </w14:textFill>
        </w:rPr>
        <w:t>人，管理及后勤人员</w:t>
      </w:r>
      <w:r>
        <w:rPr>
          <w:rFonts w:hint="eastAsia"/>
          <w:color w:val="000000" w:themeColor="text1"/>
          <w:sz w:val="24"/>
          <w:szCs w:val="28"/>
          <w:lang w:val="en-US" w:eastAsia="zh-CN"/>
          <w14:textFill>
            <w14:solidFill>
              <w14:schemeClr w14:val="tx1"/>
            </w14:solidFill>
          </w14:textFill>
        </w:rPr>
        <w:t>10</w:t>
      </w:r>
      <w:r>
        <w:rPr>
          <w:rFonts w:hint="eastAsia"/>
          <w:color w:val="000000" w:themeColor="text1"/>
          <w:sz w:val="24"/>
          <w:szCs w:val="28"/>
          <w14:textFill>
            <w14:solidFill>
              <w14:schemeClr w14:val="tx1"/>
            </w14:solidFill>
          </w14:textFill>
        </w:rPr>
        <w:t>人。</w:t>
      </w:r>
    </w:p>
    <w:p w14:paraId="04034C69">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本项目年工作日为</w:t>
      </w:r>
      <w:r>
        <w:rPr>
          <w:color w:val="000000" w:themeColor="text1"/>
          <w:sz w:val="24"/>
          <w:szCs w:val="28"/>
          <w14:textFill>
            <w14:solidFill>
              <w14:schemeClr w14:val="tx1"/>
            </w14:solidFill>
          </w14:textFill>
        </w:rPr>
        <w:t>250</w:t>
      </w:r>
      <w:r>
        <w:rPr>
          <w:rFonts w:hint="eastAsia"/>
          <w:color w:val="000000" w:themeColor="text1"/>
          <w:sz w:val="24"/>
          <w:szCs w:val="28"/>
          <w14:textFill>
            <w14:solidFill>
              <w14:schemeClr w14:val="tx1"/>
            </w14:solidFill>
          </w14:textFill>
        </w:rPr>
        <w:t>天，每天工作3班，每班8小时。其余</w:t>
      </w:r>
      <w:r>
        <w:rPr>
          <w:color w:val="000000" w:themeColor="text1"/>
          <w:sz w:val="24"/>
          <w:szCs w:val="28"/>
          <w14:textFill>
            <w14:solidFill>
              <w14:schemeClr w14:val="tx1"/>
            </w14:solidFill>
          </w14:textFill>
        </w:rPr>
        <w:t>115</w:t>
      </w:r>
      <w:r>
        <w:rPr>
          <w:rFonts w:hint="eastAsia"/>
          <w:color w:val="000000" w:themeColor="text1"/>
          <w:sz w:val="24"/>
          <w:szCs w:val="28"/>
          <w14:textFill>
            <w14:solidFill>
              <w14:schemeClr w14:val="tx1"/>
            </w14:solidFill>
          </w14:textFill>
        </w:rPr>
        <w:t>天为每月2～</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天的维检修时间及冬季停产时间</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冬季停产时间为每年12月~2月，共90天。矿山停产期仅留10人值守</w:t>
      </w:r>
      <w:r>
        <w:rPr>
          <w:rFonts w:hint="eastAsia"/>
          <w:color w:val="000000" w:themeColor="text1"/>
          <w:sz w:val="24"/>
          <w:szCs w:val="28"/>
          <w14:textFill>
            <w14:solidFill>
              <w14:schemeClr w14:val="tx1"/>
            </w14:solidFill>
          </w14:textFill>
        </w:rPr>
        <w:t>。</w:t>
      </w:r>
    </w:p>
    <w:p w14:paraId="3C47EFC0">
      <w:pPr>
        <w:pStyle w:val="3"/>
        <w:jc w:val="left"/>
        <w:rPr>
          <w:bCs/>
          <w:color w:val="000000" w:themeColor="text1"/>
          <w:kern w:val="2"/>
          <w:szCs w:val="32"/>
          <w14:textFill>
            <w14:solidFill>
              <w14:schemeClr w14:val="tx1"/>
            </w14:solidFill>
          </w14:textFill>
        </w:rPr>
      </w:pPr>
      <w:bookmarkStart w:id="304" w:name="_Toc22929"/>
      <w:bookmarkStart w:id="305" w:name="_Toc111767552"/>
      <w:bookmarkStart w:id="306" w:name="_Toc23688"/>
      <w:bookmarkStart w:id="307" w:name="_Toc15502"/>
      <w:r>
        <w:rPr>
          <w:rFonts w:hint="eastAsia"/>
          <w:bCs/>
          <w:color w:val="000000" w:themeColor="text1"/>
          <w:kern w:val="2"/>
          <w:szCs w:val="32"/>
          <w14:textFill>
            <w14:solidFill>
              <w14:schemeClr w14:val="tx1"/>
            </w14:solidFill>
          </w14:textFill>
        </w:rPr>
        <w:t>3.</w:t>
      </w:r>
      <w:r>
        <w:rPr>
          <w:bCs/>
          <w:color w:val="000000" w:themeColor="text1"/>
          <w:kern w:val="2"/>
          <w:szCs w:val="32"/>
          <w14:textFill>
            <w14:solidFill>
              <w14:schemeClr w14:val="tx1"/>
            </w14:solidFill>
          </w14:textFill>
        </w:rPr>
        <w:t>3</w:t>
      </w:r>
      <w:r>
        <w:rPr>
          <w:rFonts w:hint="eastAsia"/>
          <w:bCs/>
          <w:color w:val="000000" w:themeColor="text1"/>
          <w:kern w:val="2"/>
          <w:szCs w:val="32"/>
          <w14:textFill>
            <w14:solidFill>
              <w14:schemeClr w14:val="tx1"/>
            </w14:solidFill>
          </w14:textFill>
        </w:rPr>
        <w:t>工程分析</w:t>
      </w:r>
      <w:bookmarkEnd w:id="304"/>
      <w:bookmarkEnd w:id="305"/>
      <w:bookmarkEnd w:id="306"/>
      <w:bookmarkEnd w:id="307"/>
    </w:p>
    <w:p w14:paraId="03DBDC04">
      <w:pPr>
        <w:pStyle w:val="4"/>
        <w:spacing w:before="60" w:after="60" w:line="480" w:lineRule="exact"/>
        <w:rPr>
          <w:color w:val="000000" w:themeColor="text1"/>
          <w:kern w:val="2"/>
          <w14:textFill>
            <w14:solidFill>
              <w14:schemeClr w14:val="tx1"/>
            </w14:solidFill>
          </w14:textFill>
        </w:rPr>
      </w:pPr>
      <w:bookmarkStart w:id="308" w:name="_Toc670"/>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.1开采方案</w:t>
      </w:r>
    </w:p>
    <w:p w14:paraId="6C0E7A30">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3.3</w:t>
      </w:r>
      <w:r>
        <w:rPr>
          <w:rFonts w:hint="eastAsia" w:ascii="Times New Roman" w:hAnsi="Times New Roman"/>
          <w:bCs w:val="0"/>
          <w:color w:val="000000" w:themeColor="text1"/>
          <w:kern w:val="2"/>
          <w:szCs w:val="24"/>
          <w14:textFill>
            <w14:solidFill>
              <w14:schemeClr w14:val="tx1"/>
            </w14:solidFill>
          </w14:textFill>
        </w:rPr>
        <w:t>.1.1开采范围</w:t>
      </w:r>
      <w:bookmarkEnd w:id="308"/>
    </w:p>
    <w:p w14:paraId="0BAE9F3F">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设计开采范围</w:t>
      </w:r>
    </w:p>
    <w:p w14:paraId="3B56CDD2">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本次</w:t>
      </w:r>
      <w:r>
        <w:rPr>
          <w:color w:val="000000" w:themeColor="text1"/>
          <w:sz w:val="24"/>
          <w:szCs w:val="28"/>
          <w14:textFill>
            <w14:solidFill>
              <w14:schemeClr w14:val="tx1"/>
            </w14:solidFill>
          </w14:textFill>
        </w:rPr>
        <w:t>设计开采范围</w:t>
      </w:r>
      <w:r>
        <w:rPr>
          <w:rFonts w:hint="eastAsia"/>
          <w:color w:val="000000" w:themeColor="text1"/>
          <w:sz w:val="24"/>
          <w:szCs w:val="28"/>
          <w14:textFill>
            <w14:solidFill>
              <w14:schemeClr w14:val="tx1"/>
            </w14:solidFill>
          </w14:textFill>
        </w:rPr>
        <w:t>为矿山开采范围为该矿资源储量核实报告的储量计算范围，</w:t>
      </w:r>
      <w:r>
        <w:rPr>
          <w:rFonts w:hint="eastAsia"/>
          <w:color w:val="000000" w:themeColor="text1"/>
          <w:sz w:val="24"/>
          <w14:textFill>
            <w14:solidFill>
              <w14:schemeClr w14:val="tx1"/>
            </w14:solidFill>
          </w14:textFill>
        </w:rPr>
        <w:t>开采标高为1240～900m</w:t>
      </w:r>
      <w:r>
        <w:rPr>
          <w:rFonts w:hint="eastAsia"/>
          <w:color w:val="000000" w:themeColor="text1"/>
          <w:sz w:val="24"/>
          <w:szCs w:val="28"/>
          <w14:textFill>
            <w14:solidFill>
              <w14:schemeClr w14:val="tx1"/>
            </w14:solidFill>
          </w14:textFill>
        </w:rPr>
        <w:t>。</w:t>
      </w:r>
    </w:p>
    <w:p w14:paraId="5C5D04C9">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w:t>
      </w:r>
      <w:r>
        <w:rPr>
          <w:color w:val="000000" w:themeColor="text1"/>
          <w:sz w:val="24"/>
          <w:szCs w:val="28"/>
          <w14:textFill>
            <w14:solidFill>
              <w14:schemeClr w14:val="tx1"/>
            </w14:solidFill>
          </w14:textFill>
        </w:rPr>
        <w:t>开采方式</w:t>
      </w:r>
    </w:p>
    <w:p w14:paraId="063DCD5D">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根据开发利用方案，本项目</w:t>
      </w:r>
      <w:r>
        <w:rPr>
          <w:rFonts w:hint="eastAsia"/>
          <w:color w:val="000000" w:themeColor="text1"/>
          <w:sz w:val="24"/>
          <w14:textFill>
            <w14:solidFill>
              <w14:schemeClr w14:val="tx1"/>
            </w14:solidFill>
          </w14:textFill>
        </w:rPr>
        <w:t>开采对象主要是矿区内隐伏的9个矿体，包括矿区西部Ⅰ-1、Ⅰ-2、Ⅰ-5、Ⅲ-1、Ⅲ-2、Ⅲ-3号矿体和矿区东部Ⅰ-3、Ⅰ-4和Ⅲ-4号矿体，根据矿山开采现状及矿床开采技术条件，由于矿山各矿体不具备露天开采技术条件，且采用地下开采已生产多年，因此设计采用地下开采方式。</w:t>
      </w:r>
    </w:p>
    <w:p w14:paraId="204046E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（3）开采顺序</w:t>
      </w:r>
    </w:p>
    <w:p w14:paraId="59A52119">
      <w:pPr>
        <w:pStyle w:val="18"/>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设计开拓系统采用自上而下的开采顺序；各中段内采场采用先上盘后下盘，自端部向提升竖井方向的后退式回采顺序开采。</w:t>
      </w:r>
    </w:p>
    <w:p w14:paraId="0A53B5E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（4）保安矿柱</w:t>
      </w:r>
    </w:p>
    <w:p w14:paraId="4B0BD66A">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矿房留3m顶柱，间柱6m，在矿房顶板稳固性较差时，可在矿房内留若干矿柱，以保证顶板稳定。</w:t>
      </w:r>
    </w:p>
    <w:p w14:paraId="051C2024">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3.3.1.2</w:t>
      </w:r>
      <w:r>
        <w:rPr>
          <w:rFonts w:hint="eastAsia" w:ascii="Times New Roman" w:hAnsi="Times New Roman"/>
          <w:bCs w:val="0"/>
          <w:color w:val="000000" w:themeColor="text1"/>
          <w:kern w:val="2"/>
          <w:szCs w:val="24"/>
          <w14:textFill>
            <w14:solidFill>
              <w14:schemeClr w14:val="tx1"/>
            </w14:solidFill>
          </w14:textFill>
        </w:rPr>
        <w:t>开拓方案</w:t>
      </w:r>
    </w:p>
    <w:p w14:paraId="54C9FA91">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（1）地表移动范围</w:t>
      </w:r>
    </w:p>
    <w:p w14:paraId="3834529F">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岩石移动角确定如下：</w:t>
      </w:r>
    </w:p>
    <w:p w14:paraId="57A9B88A">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下盘岩石移动角：65°；</w:t>
      </w:r>
    </w:p>
    <w:p w14:paraId="0E578E0D">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上盘岩石移动角：65°；</w:t>
      </w:r>
    </w:p>
    <w:p w14:paraId="689CF170">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端部岩石移动角：70°。</w:t>
      </w:r>
    </w:p>
    <w:p w14:paraId="565DF112">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2</w:t>
      </w:r>
      <w:r>
        <w:rPr>
          <w:rFonts w:hint="eastAsia"/>
          <w:color w:val="000000" w:themeColor="text1"/>
          <w:sz w:val="24"/>
          <w:szCs w:val="28"/>
          <w14:textFill>
            <w14:solidFill>
              <w14:schemeClr w14:val="tx1"/>
            </w14:solidFill>
          </w14:textFill>
        </w:rPr>
        <w:t>）开拓方案选择</w:t>
      </w:r>
    </w:p>
    <w:p w14:paraId="5554DDD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根据圈定的矿体分布特征及开采错动范围界限，结合矿山已建成的主、副竖井开采现状，设计仍采用竖井开拓方案。</w:t>
      </w:r>
    </w:p>
    <w:p w14:paraId="4A43DCA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设计箕斗井（主井）利用原有竖井并进行延深改造，该竖井位于00号勘查线以东20m北侧（矿体下盘），南距开采错动范围界限约30m，井筒净直径4.20m，深度230m（含井窝25m），断面为圆形，井筒内装备一套4.0m³翻转式箕斗配平衡锤的提升系统，提升设备选用2JK-3.0/11.5A型单绳缠绕式提升机，提升机配带交流电机型号为YR560-10</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功率N=630kW，转速n=593r/min，电压10kV。承担全部矿石的提升任务。箕斗竖井中心坐标：X=********、Y=********，井口标高1238m，该井改造后深度373m（含井窝35m）。</w:t>
      </w:r>
    </w:p>
    <w:p w14:paraId="2AA6833D">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设计罐笼井（副井）利用原有竖井并进行延深改造，该竖井位于01号勘查线与1-1号勘查线之间北侧（矿体下盘），南距开采错动范围界限约20m，井筒净直径5m，深度225m（含井窝15m），断面为圆形，井筒内装备一套5#单绳单层罐笼配平衡锤的提升系统，选用2JK-3.0×1.5/11.5A型单绳缠绕式提升机，提升机配带交流电机型号为YR630-12，功率N=500kW，转速n=494r/min，电压10.0kV。承担全部废石及人员、设备、材料的提升任务。罐笼竖井井筒中心坐标：X=********、Y=********，井口标高1240m，该井改造后深度355m（含井窝15m），井内设梯子间，作为安全出口。</w:t>
      </w:r>
    </w:p>
    <w:p w14:paraId="42150A09">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设计开拓系统共设7个中段，中段高度为40-64m，其中上部1187m中段及1070m为回风平巷。各中段标高分别为1187m、1144m、1080m（1070m）、1030m、990m、950m、900m。设计自1144m水平至900m水平设置集中溜井，集中溜井通过分支溜井及联络平巷与各中段运输平巷联通，集中溜井断面为圆形，净直径3.5m，垂直高度244m。各中段采出矿石通过集中溜井下放至900m水平后，通过转载矿仓和计量漏斗、溜槽等装置装入箕斗后，通过主竖井提升至地表卸载。</w:t>
      </w:r>
    </w:p>
    <w:p w14:paraId="6E0D83CA">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设计在矿区西侧设两口回风井，分别为西1风井和西2风井，断面均为圆形。其中，西1风井位于02号勘查线与03号勘查线之间北侧（矿体下盘），井筒中心坐标：X=********、Y=********，井口标高1240m，断面净直径4.00m，该井深度290m，分别与1187m、1144m、1080m、1030m、990m、950m中段平巷连通，西1风井井筒内设梯子间，作为通地表的备用安全出口；西2风井位于06号勘查线西侧116m处，井筒中心坐标：X=********、Y=********，井口标高1232m，断面净直径3.00m，该井深度242m，分别与1030m、990m、950m中段平巷连通，西2风井井筒内设梯子间，作为通地表的备用安全出口。</w:t>
      </w:r>
    </w:p>
    <w:p w14:paraId="12CC9448">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设计井下各中段平巷均采用有轨运输，轨道采用22kg/m钢轨，轨距为600mm。坑内矿石和废石采用蓄电池电机车牵引2.0m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侧卸式矿车组运输。中段运输平巷为向提升竖井方向3</w:t>
      </w:r>
      <w:r>
        <w:rPr>
          <w:rFonts w:hint="default" w:ascii="Times New Roman" w:hAnsi="Times New Roman" w:cs="Times New Roman"/>
          <w:color w:val="000000" w:themeColor="text1"/>
          <w:sz w:val="24"/>
          <w:szCs w:val="28"/>
          <w14:textFill>
            <w14:solidFill>
              <w14:schemeClr w14:val="tx1"/>
            </w14:solidFill>
          </w14:textFill>
        </w:rPr>
        <w:t>‰</w:t>
      </w:r>
      <w:r>
        <w:rPr>
          <w:rFonts w:hint="eastAsia"/>
          <w:color w:val="000000" w:themeColor="text1"/>
          <w:sz w:val="24"/>
          <w:szCs w:val="28"/>
          <w14:textFill>
            <w14:solidFill>
              <w14:schemeClr w14:val="tx1"/>
            </w14:solidFill>
          </w14:textFill>
        </w:rPr>
        <w:t>的重车下坡方式。</w:t>
      </w:r>
    </w:p>
    <w:p w14:paraId="5903B25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根据矿井深度及涌水量特点，设计采用集中排水方案。水仓和泵房设在900m中段井底车场附近，最大排水高度340m。井下涌水抽排至地表</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容积800m</w:t>
      </w:r>
      <w:r>
        <w:rPr>
          <w:rFonts w:hint="eastAsia"/>
          <w:color w:val="000000" w:themeColor="text1"/>
          <w:sz w:val="24"/>
          <w:szCs w:val="28"/>
          <w:vertAlign w:val="superscript"/>
          <w:lang w:val="en-US" w:eastAsia="zh-CN"/>
          <w14:textFill>
            <w14:solidFill>
              <w14:schemeClr w14:val="tx1"/>
            </w14:solidFill>
          </w14:textFill>
        </w:rPr>
        <w:t>3</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，井下排水在</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池沉淀及净化处理后，回用于井下作为湿式凿岩、喷雾洒水及消防等生产用水。根据矿山水文地质资料，矿区900m标高正常涌水量1500m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/d，最大涌水量1600m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/d；设计在900m水泵硐室布置三台D80-50/84×8型水泵。单台水泵的排水量Q=80m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/h，水泵扬程H=400m，配带电动机功率N=165kW。一台工作，一台检修，一台备用。设计采用2台6565×6型潜水泵，将罐笼井筒淋水由井底水窝排到900m中段的水仓内。</w:t>
      </w:r>
    </w:p>
    <w:p w14:paraId="60ABF38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（2）基建工程量</w:t>
      </w:r>
    </w:p>
    <w:p w14:paraId="1DDFE41D">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根据矿山现状，设计矿山部分井巷工程利用现有，设计利旧工程量为2065m（23708m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），见表3</w:t>
      </w:r>
      <w:r>
        <w:rPr>
          <w:color w:val="000000" w:themeColor="text1"/>
          <w:sz w:val="24"/>
          <w:szCs w:val="28"/>
          <w14:textFill>
            <w14:solidFill>
              <w14:schemeClr w14:val="tx1"/>
            </w14:solidFill>
          </w14:textFill>
        </w:rPr>
        <w:t>.3-1</w:t>
      </w:r>
      <w:r>
        <w:rPr>
          <w:rFonts w:hint="eastAsia"/>
          <w:color w:val="000000" w:themeColor="text1"/>
          <w:sz w:val="24"/>
          <w:szCs w:val="28"/>
          <w14:textFill>
            <w14:solidFill>
              <w14:schemeClr w14:val="tx1"/>
            </w14:solidFill>
          </w14:textFill>
        </w:rPr>
        <w:t>。</w:t>
      </w:r>
    </w:p>
    <w:p w14:paraId="3DE26AD4">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根据开采顺序安排，为形成2400t/d的采矿生产能力，基建期必须完成矿山开拓系统的提升竖井改造以及新增回风井基本建设工程。按上述原则确定的新增基建工程量为4605m（46092m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），见表3</w:t>
      </w:r>
      <w:r>
        <w:rPr>
          <w:color w:val="000000" w:themeColor="text1"/>
          <w:sz w:val="24"/>
          <w:szCs w:val="28"/>
          <w14:textFill>
            <w14:solidFill>
              <w14:schemeClr w14:val="tx1"/>
            </w14:solidFill>
          </w14:textFill>
        </w:rPr>
        <w:t>.3-2</w:t>
      </w:r>
      <w:r>
        <w:rPr>
          <w:rFonts w:hint="eastAsia"/>
          <w:color w:val="000000" w:themeColor="text1"/>
          <w:sz w:val="24"/>
          <w:szCs w:val="28"/>
          <w14:textFill>
            <w14:solidFill>
              <w14:schemeClr w14:val="tx1"/>
            </w14:solidFill>
          </w14:textFill>
        </w:rPr>
        <w:t>。</w:t>
      </w:r>
    </w:p>
    <w:p w14:paraId="300C4238">
      <w:pPr>
        <w:pStyle w:val="18"/>
        <w:spacing w:line="480" w:lineRule="exact"/>
        <w:ind w:firstLine="480"/>
        <w:rPr>
          <w:rFonts w:hint="eastAsia" w:ascii="Times New Roman" w:hAnsi="Times New Roman" w:eastAsia="宋体" w:cs="Times New Roman"/>
          <w:color w:val="000000" w:themeColor="text1"/>
          <w:sz w:val="24"/>
          <w:szCs w:val="28"/>
          <w14:textFill>
            <w14:solidFill>
              <w14:schemeClr w14:val="tx1"/>
            </w14:solidFill>
          </w14:textFill>
        </w:rPr>
      </w:pPr>
    </w:p>
    <w:p w14:paraId="683F0E77">
      <w:pPr>
        <w:pStyle w:val="18"/>
        <w:spacing w:line="480" w:lineRule="exact"/>
        <w:ind w:firstLine="480"/>
        <w:rPr>
          <w:rFonts w:hint="eastAsia" w:ascii="Times New Roman" w:hAnsi="Times New Roman" w:eastAsia="宋体" w:cs="Times New Roman"/>
          <w:color w:val="000000" w:themeColor="text1"/>
          <w:sz w:val="24"/>
          <w:szCs w:val="28"/>
          <w14:textFill>
            <w14:solidFill>
              <w14:schemeClr w14:val="tx1"/>
            </w14:solidFill>
          </w14:textFill>
        </w:rPr>
      </w:pPr>
    </w:p>
    <w:p w14:paraId="72013F61">
      <w:pPr>
        <w:pStyle w:val="18"/>
        <w:spacing w:line="480" w:lineRule="exact"/>
        <w:ind w:firstLine="480"/>
        <w:rPr>
          <w:rFonts w:hint="eastAsia" w:ascii="Times New Roman" w:hAnsi="Times New Roman" w:eastAsia="宋体" w:cs="Times New Roman"/>
          <w:color w:val="000000" w:themeColor="text1"/>
          <w:sz w:val="24"/>
          <w:szCs w:val="28"/>
          <w14:textFill>
            <w14:solidFill>
              <w14:schemeClr w14:val="tx1"/>
            </w14:solidFill>
          </w14:textFill>
        </w:rPr>
      </w:pPr>
    </w:p>
    <w:p w14:paraId="3F2DD003">
      <w:pPr>
        <w:pStyle w:val="18"/>
        <w:spacing w:line="480" w:lineRule="exact"/>
        <w:ind w:firstLine="0" w:firstLineChars="0"/>
        <w:jc w:val="center"/>
        <w:rPr>
          <w:rFonts w:hint="eastAsia"/>
          <w:b/>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表</w:t>
      </w:r>
      <w:r>
        <w:rPr>
          <w:b/>
          <w:color w:val="000000" w:themeColor="text1"/>
          <w:sz w:val="24"/>
          <w:szCs w:val="28"/>
          <w14:textFill>
            <w14:solidFill>
              <w14:schemeClr w14:val="tx1"/>
            </w14:solidFill>
          </w14:textFill>
        </w:rPr>
        <w:t>3.3</w:t>
      </w:r>
      <w:r>
        <w:rPr>
          <w:rFonts w:hint="eastAsia"/>
          <w:b/>
          <w:color w:val="000000" w:themeColor="text1"/>
          <w:sz w:val="24"/>
          <w:szCs w:val="28"/>
          <w14:textFill>
            <w14:solidFill>
              <w14:schemeClr w14:val="tx1"/>
            </w14:solidFill>
          </w14:textFill>
        </w:rPr>
        <w:t xml:space="preserve">-1  </w:t>
      </w:r>
      <w:r>
        <w:rPr>
          <w:b/>
          <w:color w:val="000000" w:themeColor="text1"/>
          <w:sz w:val="24"/>
          <w:szCs w:val="28"/>
          <w14:textFill>
            <w14:solidFill>
              <w14:schemeClr w14:val="tx1"/>
            </w14:solidFill>
          </w14:textFill>
        </w:rPr>
        <w:t xml:space="preserve">  </w:t>
      </w:r>
      <w:r>
        <w:rPr>
          <w:rFonts w:hint="eastAsia"/>
          <w:b/>
          <w:color w:val="000000" w:themeColor="text1"/>
          <w:sz w:val="24"/>
          <w:szCs w:val="28"/>
          <w14:textFill>
            <w14:solidFill>
              <w14:schemeClr w14:val="tx1"/>
            </w14:solidFill>
          </w14:textFill>
        </w:rPr>
        <w:t>利旧工程量表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0"/>
        <w:gridCol w:w="1710"/>
        <w:gridCol w:w="1232"/>
        <w:gridCol w:w="1214"/>
        <w:gridCol w:w="1135"/>
        <w:gridCol w:w="835"/>
        <w:gridCol w:w="885"/>
        <w:gridCol w:w="881"/>
      </w:tblGrid>
      <w:tr w14:paraId="4F43A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70" w:type="pct"/>
            <w:vMerge w:val="restart"/>
            <w:noWrap w:val="0"/>
            <w:vAlign w:val="center"/>
          </w:tcPr>
          <w:p w14:paraId="4AFD63F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序号</w:t>
            </w:r>
          </w:p>
        </w:tc>
        <w:tc>
          <w:tcPr>
            <w:tcW w:w="1003" w:type="pct"/>
            <w:vMerge w:val="restart"/>
            <w:noWrap w:val="0"/>
            <w:vAlign w:val="center"/>
          </w:tcPr>
          <w:p w14:paraId="129D5FC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工程名称</w:t>
            </w:r>
          </w:p>
        </w:tc>
        <w:tc>
          <w:tcPr>
            <w:tcW w:w="723" w:type="pct"/>
            <w:vMerge w:val="restart"/>
            <w:noWrap w:val="0"/>
            <w:vAlign w:val="center"/>
          </w:tcPr>
          <w:p w14:paraId="3A416CC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支护形式</w:t>
            </w:r>
          </w:p>
        </w:tc>
        <w:tc>
          <w:tcPr>
            <w:tcW w:w="1378" w:type="pct"/>
            <w:gridSpan w:val="2"/>
            <w:noWrap w:val="0"/>
            <w:vAlign w:val="center"/>
          </w:tcPr>
          <w:p w14:paraId="5CFAEDA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断面积（m</w:t>
            </w:r>
            <w:r>
              <w:rPr>
                <w:rFonts w:hint="eastAsia" w:ascii="Times New Roman" w:hAnsi="Times New Roman" w:cs="Times New Roman"/>
                <w:b/>
                <w:color w:val="000000" w:themeColor="text1"/>
                <w:szCs w:val="21"/>
                <w:vertAlign w:val="superscript"/>
                <w14:textFill>
                  <w14:solidFill>
                    <w14:schemeClr w14:val="tx1"/>
                  </w14:solidFill>
                </w14:textFill>
              </w:rPr>
              <w:t>2</w:t>
            </w:r>
            <w:r>
              <w:rPr>
                <w:rFonts w:hint="eastAsia" w:ascii="Times New Roman" w:hAnsi="Times New Roman" w:cs="Times New Roman"/>
                <w:b/>
                <w:color w:val="000000" w:themeColor="text1"/>
                <w:szCs w:val="21"/>
                <w14:textFill>
                  <w14:solidFill>
                    <w14:schemeClr w14:val="tx1"/>
                  </w14:solidFill>
                </w14:textFill>
              </w:rPr>
              <w:t>）</w:t>
            </w:r>
          </w:p>
        </w:tc>
        <w:tc>
          <w:tcPr>
            <w:tcW w:w="1009" w:type="pct"/>
            <w:gridSpan w:val="2"/>
            <w:noWrap w:val="0"/>
            <w:vAlign w:val="center"/>
          </w:tcPr>
          <w:p w14:paraId="35D25F2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工程量（m</w:t>
            </w:r>
            <w:r>
              <w:rPr>
                <w:rFonts w:hint="eastAsia" w:ascii="Times New Roman" w:hAnsi="Times New Roman" w:cs="Times New Roman"/>
                <w:b/>
                <w:color w:val="000000" w:themeColor="text1"/>
                <w:szCs w:val="21"/>
                <w:vertAlign w:val="superscript"/>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w:t>
            </w:r>
          </w:p>
        </w:tc>
        <w:tc>
          <w:tcPr>
            <w:tcW w:w="518" w:type="pct"/>
            <w:vMerge w:val="restart"/>
            <w:noWrap w:val="0"/>
            <w:vAlign w:val="center"/>
          </w:tcPr>
          <w:p w14:paraId="2A7B10D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支护量</w:t>
            </w:r>
          </w:p>
          <w:p w14:paraId="09B4A0D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（m</w:t>
            </w:r>
            <w:r>
              <w:rPr>
                <w:rFonts w:hint="eastAsia" w:ascii="Times New Roman" w:hAnsi="Times New Roman" w:cs="Times New Roman"/>
                <w:b/>
                <w:color w:val="000000" w:themeColor="text1"/>
                <w:szCs w:val="21"/>
                <w:vertAlign w:val="superscript"/>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w:t>
            </w:r>
          </w:p>
        </w:tc>
      </w:tr>
      <w:tr w14:paraId="4D252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70" w:type="pct"/>
            <w:vMerge w:val="continue"/>
            <w:noWrap w:val="0"/>
            <w:vAlign w:val="center"/>
          </w:tcPr>
          <w:p w14:paraId="0D0B6A4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1003" w:type="pct"/>
            <w:vMerge w:val="continue"/>
            <w:noWrap w:val="0"/>
            <w:vAlign w:val="center"/>
          </w:tcPr>
          <w:p w14:paraId="49A32EA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23" w:type="pct"/>
            <w:vMerge w:val="continue"/>
            <w:noWrap w:val="0"/>
            <w:vAlign w:val="center"/>
          </w:tcPr>
          <w:p w14:paraId="5FC811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12" w:type="pct"/>
            <w:noWrap w:val="0"/>
            <w:vAlign w:val="center"/>
          </w:tcPr>
          <w:p w14:paraId="7AABD1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净断面</w:t>
            </w:r>
          </w:p>
        </w:tc>
        <w:tc>
          <w:tcPr>
            <w:tcW w:w="665" w:type="pct"/>
            <w:noWrap w:val="0"/>
            <w:vAlign w:val="center"/>
          </w:tcPr>
          <w:p w14:paraId="6D82794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掘进断面</w:t>
            </w:r>
          </w:p>
        </w:tc>
        <w:tc>
          <w:tcPr>
            <w:tcW w:w="490" w:type="pct"/>
            <w:noWrap w:val="0"/>
            <w:vAlign w:val="center"/>
          </w:tcPr>
          <w:p w14:paraId="4F2F2D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L（m）</w:t>
            </w:r>
          </w:p>
        </w:tc>
        <w:tc>
          <w:tcPr>
            <w:tcW w:w="518" w:type="pct"/>
            <w:noWrap w:val="0"/>
            <w:vAlign w:val="center"/>
          </w:tcPr>
          <w:p w14:paraId="452F4D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V（m</w:t>
            </w:r>
            <w:r>
              <w:rPr>
                <w:rFonts w:hint="eastAsia" w:ascii="Times New Roman" w:hAnsi="Times New Roman" w:cs="Times New Roman"/>
                <w:b/>
                <w:color w:val="000000" w:themeColor="text1"/>
                <w:szCs w:val="21"/>
                <w:vertAlign w:val="superscript"/>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w:t>
            </w:r>
          </w:p>
        </w:tc>
        <w:tc>
          <w:tcPr>
            <w:tcW w:w="518" w:type="pct"/>
            <w:vMerge w:val="continue"/>
            <w:noWrap w:val="0"/>
            <w:vAlign w:val="center"/>
          </w:tcPr>
          <w:p w14:paraId="5895AA8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r>
      <w:tr w14:paraId="60A21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 w:type="pct"/>
            <w:noWrap w:val="0"/>
            <w:vAlign w:val="center"/>
          </w:tcPr>
          <w:p w14:paraId="437E029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003" w:type="pct"/>
            <w:noWrap w:val="0"/>
            <w:vAlign w:val="center"/>
          </w:tcPr>
          <w:p w14:paraId="55D558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罐笼竖井</w:t>
            </w:r>
          </w:p>
        </w:tc>
        <w:tc>
          <w:tcPr>
            <w:tcW w:w="723" w:type="pct"/>
            <w:noWrap w:val="0"/>
            <w:vAlign w:val="center"/>
          </w:tcPr>
          <w:p w14:paraId="68B0FE3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mm砼</w:t>
            </w:r>
          </w:p>
        </w:tc>
        <w:tc>
          <w:tcPr>
            <w:tcW w:w="712" w:type="pct"/>
            <w:noWrap w:val="0"/>
            <w:vAlign w:val="center"/>
          </w:tcPr>
          <w:p w14:paraId="51F23C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19.63</w:t>
            </w:r>
          </w:p>
        </w:tc>
        <w:tc>
          <w:tcPr>
            <w:tcW w:w="665" w:type="pct"/>
            <w:noWrap w:val="0"/>
            <w:vAlign w:val="center"/>
          </w:tcPr>
          <w:p w14:paraId="114492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24.62</w:t>
            </w:r>
          </w:p>
        </w:tc>
        <w:tc>
          <w:tcPr>
            <w:tcW w:w="490" w:type="pct"/>
            <w:noWrap w:val="0"/>
            <w:vAlign w:val="center"/>
          </w:tcPr>
          <w:p w14:paraId="4CC2AF4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230</w:t>
            </w:r>
          </w:p>
        </w:tc>
        <w:tc>
          <w:tcPr>
            <w:tcW w:w="518" w:type="pct"/>
            <w:noWrap w:val="0"/>
            <w:vAlign w:val="center"/>
          </w:tcPr>
          <w:p w14:paraId="4307E26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5613</w:t>
            </w:r>
          </w:p>
        </w:tc>
        <w:tc>
          <w:tcPr>
            <w:tcW w:w="518" w:type="pct"/>
            <w:noWrap w:val="0"/>
            <w:vAlign w:val="center"/>
          </w:tcPr>
          <w:p w14:paraId="742A14C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1138</w:t>
            </w:r>
          </w:p>
        </w:tc>
      </w:tr>
      <w:tr w14:paraId="37713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 w:type="pct"/>
            <w:noWrap w:val="0"/>
            <w:vAlign w:val="center"/>
          </w:tcPr>
          <w:p w14:paraId="375F0CF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1003" w:type="pct"/>
            <w:noWrap w:val="0"/>
            <w:vAlign w:val="center"/>
          </w:tcPr>
          <w:p w14:paraId="5E0E9A9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箕斗竖井</w:t>
            </w:r>
          </w:p>
        </w:tc>
        <w:tc>
          <w:tcPr>
            <w:tcW w:w="723" w:type="pct"/>
            <w:noWrap w:val="0"/>
            <w:vAlign w:val="center"/>
          </w:tcPr>
          <w:p w14:paraId="658655C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mm砼</w:t>
            </w:r>
          </w:p>
        </w:tc>
        <w:tc>
          <w:tcPr>
            <w:tcW w:w="712" w:type="pct"/>
            <w:noWrap w:val="0"/>
            <w:vAlign w:val="center"/>
          </w:tcPr>
          <w:p w14:paraId="30C8782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13.85</w:t>
            </w:r>
          </w:p>
        </w:tc>
        <w:tc>
          <w:tcPr>
            <w:tcW w:w="665" w:type="pct"/>
            <w:noWrap w:val="0"/>
            <w:vAlign w:val="center"/>
          </w:tcPr>
          <w:p w14:paraId="0185E93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18.09</w:t>
            </w:r>
          </w:p>
        </w:tc>
        <w:tc>
          <w:tcPr>
            <w:tcW w:w="490" w:type="pct"/>
            <w:noWrap w:val="0"/>
            <w:vAlign w:val="center"/>
          </w:tcPr>
          <w:p w14:paraId="2BE8321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225</w:t>
            </w:r>
          </w:p>
        </w:tc>
        <w:tc>
          <w:tcPr>
            <w:tcW w:w="518" w:type="pct"/>
            <w:noWrap w:val="0"/>
            <w:vAlign w:val="center"/>
          </w:tcPr>
          <w:p w14:paraId="3D0187C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4251</w:t>
            </w:r>
          </w:p>
        </w:tc>
        <w:tc>
          <w:tcPr>
            <w:tcW w:w="518" w:type="pct"/>
            <w:noWrap w:val="0"/>
            <w:vAlign w:val="center"/>
          </w:tcPr>
          <w:p w14:paraId="3B75181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996</w:t>
            </w:r>
          </w:p>
        </w:tc>
      </w:tr>
      <w:tr w14:paraId="79078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 w:type="pct"/>
            <w:noWrap w:val="0"/>
            <w:vAlign w:val="center"/>
          </w:tcPr>
          <w:p w14:paraId="618F3B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1003" w:type="pct"/>
            <w:noWrap w:val="0"/>
            <w:vAlign w:val="center"/>
          </w:tcPr>
          <w:p w14:paraId="4B832EC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1187m</w:t>
            </w:r>
            <w:r>
              <w:rPr>
                <w:rFonts w:hint="eastAsia" w:ascii="Times New Roman" w:hAnsi="Times New Roman" w:cs="Times New Roman"/>
                <w:color w:val="000000" w:themeColor="text1"/>
                <w:szCs w:val="21"/>
                <w14:textFill>
                  <w14:solidFill>
                    <w14:schemeClr w14:val="tx1"/>
                  </w14:solidFill>
                </w14:textFill>
              </w:rPr>
              <w:t>中段巷道</w:t>
            </w:r>
          </w:p>
        </w:tc>
        <w:tc>
          <w:tcPr>
            <w:tcW w:w="723" w:type="pct"/>
            <w:noWrap w:val="0"/>
            <w:vAlign w:val="center"/>
          </w:tcPr>
          <w:p w14:paraId="77D1BF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70mm喷砼</w:t>
            </w:r>
          </w:p>
        </w:tc>
        <w:tc>
          <w:tcPr>
            <w:tcW w:w="712" w:type="pct"/>
            <w:noWrap w:val="0"/>
            <w:vAlign w:val="center"/>
          </w:tcPr>
          <w:p w14:paraId="51BAAAD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65" w:type="pct"/>
            <w:noWrap w:val="0"/>
            <w:vAlign w:val="center"/>
          </w:tcPr>
          <w:p w14:paraId="140AF26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490" w:type="pct"/>
            <w:noWrap w:val="0"/>
            <w:vAlign w:val="center"/>
          </w:tcPr>
          <w:p w14:paraId="698BABA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480</w:t>
            </w:r>
          </w:p>
        </w:tc>
        <w:tc>
          <w:tcPr>
            <w:tcW w:w="518" w:type="pct"/>
            <w:noWrap w:val="0"/>
            <w:vAlign w:val="center"/>
          </w:tcPr>
          <w:p w14:paraId="3BA64A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3965</w:t>
            </w:r>
          </w:p>
        </w:tc>
        <w:tc>
          <w:tcPr>
            <w:tcW w:w="518" w:type="pct"/>
            <w:noWrap w:val="0"/>
            <w:vAlign w:val="center"/>
          </w:tcPr>
          <w:p w14:paraId="044C979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174</w:t>
            </w:r>
          </w:p>
        </w:tc>
      </w:tr>
      <w:tr w14:paraId="7D925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 w:type="pct"/>
            <w:noWrap w:val="0"/>
            <w:vAlign w:val="center"/>
          </w:tcPr>
          <w:p w14:paraId="1E35AF8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1003" w:type="pct"/>
            <w:noWrap w:val="0"/>
            <w:vAlign w:val="center"/>
          </w:tcPr>
          <w:p w14:paraId="5E3977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1144m</w:t>
            </w:r>
            <w:r>
              <w:rPr>
                <w:rFonts w:hint="eastAsia" w:ascii="Times New Roman" w:hAnsi="Times New Roman" w:cs="Times New Roman"/>
                <w:color w:val="000000" w:themeColor="text1"/>
                <w:szCs w:val="21"/>
                <w14:textFill>
                  <w14:solidFill>
                    <w14:schemeClr w14:val="tx1"/>
                  </w14:solidFill>
                </w14:textFill>
              </w:rPr>
              <w:t>中段巷道</w:t>
            </w:r>
          </w:p>
        </w:tc>
        <w:tc>
          <w:tcPr>
            <w:tcW w:w="723" w:type="pct"/>
            <w:noWrap w:val="0"/>
            <w:vAlign w:val="center"/>
          </w:tcPr>
          <w:p w14:paraId="21BB7D1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70mm喷砼</w:t>
            </w:r>
          </w:p>
        </w:tc>
        <w:tc>
          <w:tcPr>
            <w:tcW w:w="712" w:type="pct"/>
            <w:noWrap w:val="0"/>
            <w:vAlign w:val="center"/>
          </w:tcPr>
          <w:p w14:paraId="4F7243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65" w:type="pct"/>
            <w:noWrap w:val="0"/>
            <w:vAlign w:val="center"/>
          </w:tcPr>
          <w:p w14:paraId="45D5618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490" w:type="pct"/>
            <w:noWrap w:val="0"/>
            <w:vAlign w:val="center"/>
          </w:tcPr>
          <w:p w14:paraId="1309860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420</w:t>
            </w:r>
          </w:p>
        </w:tc>
        <w:tc>
          <w:tcPr>
            <w:tcW w:w="518" w:type="pct"/>
            <w:noWrap w:val="0"/>
            <w:vAlign w:val="center"/>
          </w:tcPr>
          <w:p w14:paraId="079E4DF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3469</w:t>
            </w:r>
          </w:p>
        </w:tc>
        <w:tc>
          <w:tcPr>
            <w:tcW w:w="518" w:type="pct"/>
            <w:noWrap w:val="0"/>
            <w:vAlign w:val="center"/>
          </w:tcPr>
          <w:p w14:paraId="1EB3FEB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152</w:t>
            </w:r>
          </w:p>
        </w:tc>
      </w:tr>
      <w:tr w14:paraId="1B811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 w:type="pct"/>
            <w:noWrap w:val="0"/>
            <w:vAlign w:val="center"/>
          </w:tcPr>
          <w:p w14:paraId="395ADC2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1003" w:type="pct"/>
            <w:noWrap w:val="0"/>
            <w:vAlign w:val="center"/>
          </w:tcPr>
          <w:p w14:paraId="67FCC18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080m</w:t>
            </w:r>
            <w:r>
              <w:rPr>
                <w:rFonts w:hint="eastAsia" w:ascii="Times New Roman" w:hAnsi="Times New Roman" w:cs="Times New Roman"/>
                <w:color w:val="000000" w:themeColor="text1"/>
                <w:szCs w:val="21"/>
                <w14:textFill>
                  <w14:solidFill>
                    <w14:schemeClr w14:val="tx1"/>
                  </w14:solidFill>
                </w14:textFill>
              </w:rPr>
              <w:t>中段巷道</w:t>
            </w:r>
          </w:p>
        </w:tc>
        <w:tc>
          <w:tcPr>
            <w:tcW w:w="723" w:type="pct"/>
            <w:noWrap w:val="0"/>
            <w:vAlign w:val="center"/>
          </w:tcPr>
          <w:p w14:paraId="506874E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70mm喷砼</w:t>
            </w:r>
          </w:p>
        </w:tc>
        <w:tc>
          <w:tcPr>
            <w:tcW w:w="712" w:type="pct"/>
            <w:noWrap w:val="0"/>
            <w:vAlign w:val="center"/>
          </w:tcPr>
          <w:p w14:paraId="2095F5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65" w:type="pct"/>
            <w:noWrap w:val="0"/>
            <w:vAlign w:val="center"/>
          </w:tcPr>
          <w:p w14:paraId="1C5FDF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490" w:type="pct"/>
            <w:noWrap w:val="0"/>
            <w:vAlign w:val="center"/>
          </w:tcPr>
          <w:p w14:paraId="6DAB84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0</w:t>
            </w:r>
          </w:p>
        </w:tc>
        <w:tc>
          <w:tcPr>
            <w:tcW w:w="518" w:type="pct"/>
            <w:noWrap w:val="0"/>
            <w:vAlign w:val="center"/>
          </w:tcPr>
          <w:p w14:paraId="089B85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2808</w:t>
            </w:r>
          </w:p>
        </w:tc>
        <w:tc>
          <w:tcPr>
            <w:tcW w:w="518" w:type="pct"/>
            <w:noWrap w:val="0"/>
            <w:vAlign w:val="center"/>
          </w:tcPr>
          <w:p w14:paraId="04DDDD7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123</w:t>
            </w:r>
          </w:p>
        </w:tc>
      </w:tr>
      <w:tr w14:paraId="665D1F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 w:type="pct"/>
            <w:noWrap w:val="0"/>
            <w:vAlign w:val="center"/>
          </w:tcPr>
          <w:p w14:paraId="63B1EF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1003" w:type="pct"/>
            <w:noWrap w:val="0"/>
            <w:vAlign w:val="center"/>
          </w:tcPr>
          <w:p w14:paraId="7F07531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030m</w:t>
            </w:r>
            <w:r>
              <w:rPr>
                <w:rFonts w:hint="eastAsia" w:ascii="Times New Roman" w:hAnsi="Times New Roman" w:cs="Times New Roman"/>
                <w:color w:val="000000" w:themeColor="text1"/>
                <w:szCs w:val="21"/>
                <w14:textFill>
                  <w14:solidFill>
                    <w14:schemeClr w14:val="tx1"/>
                  </w14:solidFill>
                </w14:textFill>
              </w:rPr>
              <w:t>中段巷道</w:t>
            </w:r>
          </w:p>
        </w:tc>
        <w:tc>
          <w:tcPr>
            <w:tcW w:w="723" w:type="pct"/>
            <w:noWrap w:val="0"/>
            <w:vAlign w:val="center"/>
          </w:tcPr>
          <w:p w14:paraId="653870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70mm喷砼</w:t>
            </w:r>
          </w:p>
        </w:tc>
        <w:tc>
          <w:tcPr>
            <w:tcW w:w="712" w:type="pct"/>
            <w:noWrap w:val="0"/>
            <w:vAlign w:val="center"/>
          </w:tcPr>
          <w:p w14:paraId="7920A2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65" w:type="pct"/>
            <w:noWrap w:val="0"/>
            <w:vAlign w:val="center"/>
          </w:tcPr>
          <w:p w14:paraId="44A8EA8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490" w:type="pct"/>
            <w:noWrap w:val="0"/>
            <w:vAlign w:val="center"/>
          </w:tcPr>
          <w:p w14:paraId="69A1E5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7</w:t>
            </w:r>
            <w:r>
              <w:rPr>
                <w:rFonts w:hint="eastAsia" w:ascii="Times New Roman" w:hAnsi="Times New Roman" w:cs="Times New Roman"/>
                <w:color w:val="000000" w:themeColor="text1"/>
                <w:szCs w:val="21"/>
                <w14:textFill>
                  <w14:solidFill>
                    <w14:schemeClr w14:val="tx1"/>
                  </w14:solidFill>
                </w14:textFill>
              </w:rPr>
              <w:t>0</w:t>
            </w:r>
          </w:p>
        </w:tc>
        <w:tc>
          <w:tcPr>
            <w:tcW w:w="518" w:type="pct"/>
            <w:noWrap w:val="0"/>
            <w:vAlign w:val="center"/>
          </w:tcPr>
          <w:p w14:paraId="1296FFD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3056</w:t>
            </w:r>
          </w:p>
        </w:tc>
        <w:tc>
          <w:tcPr>
            <w:tcW w:w="518" w:type="pct"/>
            <w:noWrap w:val="0"/>
            <w:vAlign w:val="center"/>
          </w:tcPr>
          <w:p w14:paraId="195DDF8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134</w:t>
            </w:r>
          </w:p>
        </w:tc>
      </w:tr>
      <w:tr w14:paraId="24699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73" w:type="pct"/>
            <w:gridSpan w:val="2"/>
            <w:noWrap w:val="0"/>
            <w:vAlign w:val="center"/>
          </w:tcPr>
          <w:p w14:paraId="2FDE44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小计</w:t>
            </w:r>
          </w:p>
        </w:tc>
        <w:tc>
          <w:tcPr>
            <w:tcW w:w="723" w:type="pct"/>
            <w:noWrap w:val="0"/>
            <w:vAlign w:val="center"/>
          </w:tcPr>
          <w:p w14:paraId="7486C4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712" w:type="pct"/>
            <w:noWrap w:val="0"/>
            <w:vAlign w:val="center"/>
          </w:tcPr>
          <w:p w14:paraId="0765A96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665" w:type="pct"/>
            <w:noWrap w:val="0"/>
            <w:vAlign w:val="center"/>
          </w:tcPr>
          <w:p w14:paraId="6BB4425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490" w:type="pct"/>
            <w:noWrap w:val="0"/>
            <w:vAlign w:val="center"/>
          </w:tcPr>
          <w:p w14:paraId="346EF3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065</w:t>
            </w:r>
          </w:p>
        </w:tc>
        <w:tc>
          <w:tcPr>
            <w:tcW w:w="518" w:type="pct"/>
            <w:noWrap w:val="0"/>
            <w:vAlign w:val="center"/>
          </w:tcPr>
          <w:p w14:paraId="7B4DA3C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3708</w:t>
            </w:r>
          </w:p>
        </w:tc>
        <w:tc>
          <w:tcPr>
            <w:tcW w:w="518" w:type="pct"/>
            <w:noWrap w:val="0"/>
            <w:vAlign w:val="center"/>
          </w:tcPr>
          <w:p w14:paraId="3FFBB62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2691</w:t>
            </w:r>
          </w:p>
        </w:tc>
      </w:tr>
    </w:tbl>
    <w:p w14:paraId="515A6C85">
      <w:pPr>
        <w:pStyle w:val="18"/>
        <w:spacing w:line="480" w:lineRule="exact"/>
        <w:ind w:firstLine="0" w:firstLineChars="0"/>
        <w:jc w:val="center"/>
        <w:rPr>
          <w:rFonts w:hint="eastAsia"/>
          <w:b/>
          <w:color w:val="000000" w:themeColor="text1"/>
          <w:sz w:val="24"/>
          <w:szCs w:val="28"/>
          <w14:textFill>
            <w14:solidFill>
              <w14:schemeClr w14:val="tx1"/>
            </w14:solidFill>
          </w14:textFill>
        </w:rPr>
      </w:pPr>
      <w:r>
        <w:rPr>
          <w:rFonts w:hint="eastAsia"/>
          <w:b/>
          <w:color w:val="000000" w:themeColor="text1"/>
          <w:sz w:val="24"/>
          <w:szCs w:val="28"/>
          <w14:textFill>
            <w14:solidFill>
              <w14:schemeClr w14:val="tx1"/>
            </w14:solidFill>
          </w14:textFill>
        </w:rPr>
        <w:t>表</w:t>
      </w:r>
      <w:r>
        <w:rPr>
          <w:b/>
          <w:color w:val="000000" w:themeColor="text1"/>
          <w:sz w:val="24"/>
          <w:szCs w:val="28"/>
          <w14:textFill>
            <w14:solidFill>
              <w14:schemeClr w14:val="tx1"/>
            </w14:solidFill>
          </w14:textFill>
        </w:rPr>
        <w:t>3.3</w:t>
      </w:r>
      <w:r>
        <w:rPr>
          <w:rFonts w:hint="eastAsia"/>
          <w:b/>
          <w:color w:val="000000" w:themeColor="text1"/>
          <w:sz w:val="24"/>
          <w:szCs w:val="28"/>
          <w14:textFill>
            <w14:solidFill>
              <w14:schemeClr w14:val="tx1"/>
            </w14:solidFill>
          </w14:textFill>
        </w:rPr>
        <w:t>-</w:t>
      </w:r>
      <w:r>
        <w:rPr>
          <w:b/>
          <w:color w:val="000000" w:themeColor="text1"/>
          <w:sz w:val="24"/>
          <w:szCs w:val="28"/>
          <w14:textFill>
            <w14:solidFill>
              <w14:schemeClr w14:val="tx1"/>
            </w14:solidFill>
          </w14:textFill>
        </w:rPr>
        <w:t>2</w:t>
      </w:r>
      <w:r>
        <w:rPr>
          <w:rFonts w:hint="eastAsia"/>
          <w:b/>
          <w:color w:val="000000" w:themeColor="text1"/>
          <w:sz w:val="24"/>
          <w:szCs w:val="28"/>
          <w14:textFill>
            <w14:solidFill>
              <w14:schemeClr w14:val="tx1"/>
            </w14:solidFill>
          </w14:textFill>
        </w:rPr>
        <w:t xml:space="preserve">  </w:t>
      </w:r>
      <w:r>
        <w:rPr>
          <w:b/>
          <w:color w:val="000000" w:themeColor="text1"/>
          <w:sz w:val="24"/>
          <w:szCs w:val="28"/>
          <w14:textFill>
            <w14:solidFill>
              <w14:schemeClr w14:val="tx1"/>
            </w14:solidFill>
          </w14:textFill>
        </w:rPr>
        <w:t xml:space="preserve">  </w:t>
      </w:r>
      <w:r>
        <w:rPr>
          <w:rFonts w:hint="eastAsia"/>
          <w:b/>
          <w:color w:val="000000" w:themeColor="text1"/>
          <w:sz w:val="24"/>
          <w:szCs w:val="28"/>
          <w14:textFill>
            <w14:solidFill>
              <w14:schemeClr w14:val="tx1"/>
            </w14:solidFill>
          </w14:textFill>
        </w:rPr>
        <w:t>新增基建工程量表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7"/>
        <w:gridCol w:w="1842"/>
        <w:gridCol w:w="1181"/>
        <w:gridCol w:w="1275"/>
        <w:gridCol w:w="1121"/>
        <w:gridCol w:w="868"/>
        <w:gridCol w:w="966"/>
        <w:gridCol w:w="782"/>
      </w:tblGrid>
      <w:tr w14:paraId="66CD2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86" w:type="pct"/>
            <w:vMerge w:val="restart"/>
            <w:noWrap w:val="0"/>
            <w:vAlign w:val="center"/>
          </w:tcPr>
          <w:p w14:paraId="5060395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bookmarkStart w:id="309" w:name="_Hlk111474075" w:colFirst="0" w:colLast="7"/>
            <w:r>
              <w:rPr>
                <w:rFonts w:hint="default" w:ascii="Times New Roman" w:hAnsi="Times New Roman" w:cs="Times New Roman"/>
                <w:b/>
                <w:color w:val="000000" w:themeColor="text1"/>
                <w:szCs w:val="21"/>
                <w14:textFill>
                  <w14:solidFill>
                    <w14:schemeClr w14:val="tx1"/>
                  </w14:solidFill>
                </w14:textFill>
              </w:rPr>
              <w:t>序号</w:t>
            </w:r>
          </w:p>
        </w:tc>
        <w:tc>
          <w:tcPr>
            <w:tcW w:w="1081" w:type="pct"/>
            <w:vMerge w:val="restart"/>
            <w:noWrap w:val="0"/>
            <w:vAlign w:val="center"/>
          </w:tcPr>
          <w:p w14:paraId="53E89E8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工程名称</w:t>
            </w:r>
          </w:p>
        </w:tc>
        <w:tc>
          <w:tcPr>
            <w:tcW w:w="693" w:type="pct"/>
            <w:vMerge w:val="restart"/>
            <w:noWrap w:val="0"/>
            <w:vAlign w:val="center"/>
          </w:tcPr>
          <w:p w14:paraId="71A1079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支护形式</w:t>
            </w:r>
          </w:p>
        </w:tc>
        <w:tc>
          <w:tcPr>
            <w:tcW w:w="1406" w:type="pct"/>
            <w:gridSpan w:val="2"/>
            <w:noWrap w:val="0"/>
            <w:vAlign w:val="center"/>
          </w:tcPr>
          <w:p w14:paraId="491D082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断面积（m</w:t>
            </w:r>
            <w:r>
              <w:rPr>
                <w:rFonts w:hint="default" w:ascii="Times New Roman" w:hAnsi="Times New Roman" w:cs="Times New Roman"/>
                <w:b/>
                <w:color w:val="000000" w:themeColor="text1"/>
                <w:szCs w:val="21"/>
                <w:vertAlign w:val="superscript"/>
                <w14:textFill>
                  <w14:solidFill>
                    <w14:schemeClr w14:val="tx1"/>
                  </w14:solidFill>
                </w14:textFill>
              </w:rPr>
              <w:t>2</w:t>
            </w:r>
            <w:r>
              <w:rPr>
                <w:rFonts w:hint="default" w:ascii="Times New Roman" w:hAnsi="Times New Roman" w:cs="Times New Roman"/>
                <w:b/>
                <w:color w:val="000000" w:themeColor="text1"/>
                <w:szCs w:val="21"/>
                <w14:textFill>
                  <w14:solidFill>
                    <w14:schemeClr w14:val="tx1"/>
                  </w14:solidFill>
                </w14:textFill>
              </w:rPr>
              <w:t>）</w:t>
            </w:r>
          </w:p>
        </w:tc>
        <w:tc>
          <w:tcPr>
            <w:tcW w:w="1076" w:type="pct"/>
            <w:gridSpan w:val="2"/>
            <w:noWrap w:val="0"/>
            <w:vAlign w:val="center"/>
          </w:tcPr>
          <w:p w14:paraId="13B32FD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工程量（m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c>
          <w:tcPr>
            <w:tcW w:w="458" w:type="pct"/>
            <w:vMerge w:val="restart"/>
            <w:noWrap w:val="0"/>
            <w:vAlign w:val="center"/>
          </w:tcPr>
          <w:p w14:paraId="170F0EE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支护量</w:t>
            </w:r>
          </w:p>
          <w:p w14:paraId="5F2C6E3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r>
      <w:tr w14:paraId="47F0F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86" w:type="pct"/>
            <w:vMerge w:val="continue"/>
            <w:noWrap w:val="0"/>
            <w:vAlign w:val="center"/>
          </w:tcPr>
          <w:p w14:paraId="2B280DE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1081" w:type="pct"/>
            <w:vMerge w:val="continue"/>
            <w:noWrap w:val="0"/>
            <w:vAlign w:val="center"/>
          </w:tcPr>
          <w:p w14:paraId="3050428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93" w:type="pct"/>
            <w:vMerge w:val="continue"/>
            <w:noWrap w:val="0"/>
            <w:vAlign w:val="center"/>
          </w:tcPr>
          <w:p w14:paraId="566D95C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748" w:type="pct"/>
            <w:noWrap w:val="0"/>
            <w:vAlign w:val="center"/>
          </w:tcPr>
          <w:p w14:paraId="4AC55C3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净断面</w:t>
            </w:r>
          </w:p>
        </w:tc>
        <w:tc>
          <w:tcPr>
            <w:tcW w:w="658" w:type="pct"/>
            <w:noWrap w:val="0"/>
            <w:vAlign w:val="center"/>
          </w:tcPr>
          <w:p w14:paraId="5FC47A9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掘进断面</w:t>
            </w:r>
          </w:p>
        </w:tc>
        <w:tc>
          <w:tcPr>
            <w:tcW w:w="509" w:type="pct"/>
            <w:noWrap w:val="0"/>
            <w:vAlign w:val="center"/>
          </w:tcPr>
          <w:p w14:paraId="11099FB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L（m）</w:t>
            </w:r>
          </w:p>
        </w:tc>
        <w:tc>
          <w:tcPr>
            <w:tcW w:w="567" w:type="pct"/>
            <w:noWrap w:val="0"/>
            <w:vAlign w:val="center"/>
          </w:tcPr>
          <w:p w14:paraId="6D857AA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V（m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c>
          <w:tcPr>
            <w:tcW w:w="458" w:type="pct"/>
            <w:vMerge w:val="continue"/>
            <w:noWrap w:val="0"/>
            <w:vAlign w:val="center"/>
          </w:tcPr>
          <w:p w14:paraId="08F0C55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r>
      <w:tr w14:paraId="3FEB6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5A5323C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081" w:type="pct"/>
            <w:noWrap w:val="0"/>
            <w:vAlign w:val="center"/>
          </w:tcPr>
          <w:p w14:paraId="7246B8D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箕斗</w:t>
            </w:r>
            <w:r>
              <w:rPr>
                <w:rFonts w:hint="default" w:ascii="Times New Roman" w:hAnsi="Times New Roman" w:cs="Times New Roman"/>
                <w:color w:val="000000" w:themeColor="text1"/>
                <w:szCs w:val="21"/>
                <w14:textFill>
                  <w14:solidFill>
                    <w14:schemeClr w14:val="tx1"/>
                  </w14:solidFill>
                </w14:textFill>
              </w:rPr>
              <w:t>竖井</w:t>
            </w:r>
            <w:r>
              <w:rPr>
                <w:rFonts w:hint="eastAsia" w:cs="Times New Roman"/>
                <w:color w:val="000000" w:themeColor="text1"/>
                <w:szCs w:val="21"/>
                <w:lang w:val="en-US" w:eastAsia="zh-CN"/>
                <w14:textFill>
                  <w14:solidFill>
                    <w14:schemeClr w14:val="tx1"/>
                  </w14:solidFill>
                </w14:textFill>
              </w:rPr>
              <w:t>延伸</w:t>
            </w:r>
          </w:p>
        </w:tc>
        <w:tc>
          <w:tcPr>
            <w:tcW w:w="693" w:type="pct"/>
            <w:noWrap w:val="0"/>
            <w:vAlign w:val="center"/>
          </w:tcPr>
          <w:p w14:paraId="31BB9B6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砼</w:t>
            </w:r>
          </w:p>
        </w:tc>
        <w:tc>
          <w:tcPr>
            <w:tcW w:w="748" w:type="pct"/>
            <w:noWrap w:val="0"/>
            <w:vAlign w:val="center"/>
          </w:tcPr>
          <w:p w14:paraId="0E682EA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13.85</w:t>
            </w:r>
          </w:p>
        </w:tc>
        <w:tc>
          <w:tcPr>
            <w:tcW w:w="658" w:type="pct"/>
            <w:noWrap w:val="0"/>
            <w:vAlign w:val="center"/>
          </w:tcPr>
          <w:p w14:paraId="7D57DF8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18.09</w:t>
            </w:r>
          </w:p>
        </w:tc>
        <w:tc>
          <w:tcPr>
            <w:tcW w:w="509" w:type="pct"/>
            <w:noWrap w:val="0"/>
            <w:vAlign w:val="center"/>
          </w:tcPr>
          <w:p w14:paraId="3D9EB9E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143</w:t>
            </w:r>
          </w:p>
        </w:tc>
        <w:tc>
          <w:tcPr>
            <w:tcW w:w="567" w:type="pct"/>
            <w:noWrap w:val="0"/>
            <w:vAlign w:val="center"/>
          </w:tcPr>
          <w:p w14:paraId="06EBFEB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2587</w:t>
            </w:r>
          </w:p>
        </w:tc>
        <w:tc>
          <w:tcPr>
            <w:tcW w:w="458" w:type="pct"/>
            <w:noWrap w:val="0"/>
            <w:vAlign w:val="center"/>
          </w:tcPr>
          <w:p w14:paraId="117E402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606</w:t>
            </w:r>
          </w:p>
        </w:tc>
      </w:tr>
      <w:tr w14:paraId="0F599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59DE600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081" w:type="pct"/>
            <w:noWrap w:val="0"/>
            <w:vAlign w:val="center"/>
          </w:tcPr>
          <w:p w14:paraId="0192549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罐笼</w:t>
            </w:r>
            <w:r>
              <w:rPr>
                <w:rFonts w:hint="default" w:ascii="Times New Roman" w:hAnsi="Times New Roman" w:cs="Times New Roman"/>
                <w:color w:val="000000" w:themeColor="text1"/>
                <w:szCs w:val="21"/>
                <w14:textFill>
                  <w14:solidFill>
                    <w14:schemeClr w14:val="tx1"/>
                  </w14:solidFill>
                </w14:textFill>
              </w:rPr>
              <w:t>竖井</w:t>
            </w:r>
            <w:r>
              <w:rPr>
                <w:rFonts w:hint="eastAsia" w:cs="Times New Roman"/>
                <w:color w:val="000000" w:themeColor="text1"/>
                <w:szCs w:val="21"/>
                <w:lang w:val="en-US" w:eastAsia="zh-CN"/>
                <w14:textFill>
                  <w14:solidFill>
                    <w14:schemeClr w14:val="tx1"/>
                  </w14:solidFill>
                </w14:textFill>
              </w:rPr>
              <w:t>延伸</w:t>
            </w:r>
          </w:p>
        </w:tc>
        <w:tc>
          <w:tcPr>
            <w:tcW w:w="693" w:type="pct"/>
            <w:noWrap w:val="0"/>
            <w:vAlign w:val="center"/>
          </w:tcPr>
          <w:p w14:paraId="06B4768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砼</w:t>
            </w:r>
          </w:p>
        </w:tc>
        <w:tc>
          <w:tcPr>
            <w:tcW w:w="748" w:type="pct"/>
            <w:noWrap w:val="0"/>
            <w:vAlign w:val="center"/>
          </w:tcPr>
          <w:p w14:paraId="0757CE3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19.63</w:t>
            </w:r>
          </w:p>
        </w:tc>
        <w:tc>
          <w:tcPr>
            <w:tcW w:w="658" w:type="pct"/>
            <w:noWrap w:val="0"/>
            <w:vAlign w:val="center"/>
          </w:tcPr>
          <w:p w14:paraId="3279517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24.62</w:t>
            </w:r>
          </w:p>
        </w:tc>
        <w:tc>
          <w:tcPr>
            <w:tcW w:w="509" w:type="pct"/>
            <w:noWrap w:val="0"/>
            <w:vAlign w:val="center"/>
          </w:tcPr>
          <w:p w14:paraId="59FF0B4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130</w:t>
            </w:r>
          </w:p>
        </w:tc>
        <w:tc>
          <w:tcPr>
            <w:tcW w:w="567" w:type="pct"/>
            <w:noWrap w:val="0"/>
            <w:vAlign w:val="center"/>
          </w:tcPr>
          <w:p w14:paraId="444E79F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3201</w:t>
            </w:r>
          </w:p>
        </w:tc>
        <w:tc>
          <w:tcPr>
            <w:tcW w:w="458" w:type="pct"/>
            <w:noWrap w:val="0"/>
            <w:vAlign w:val="center"/>
          </w:tcPr>
          <w:p w14:paraId="32F3AF6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649</w:t>
            </w:r>
          </w:p>
        </w:tc>
      </w:tr>
      <w:tr w14:paraId="72667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1DBB9A3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081" w:type="pct"/>
            <w:noWrap w:val="0"/>
            <w:vAlign w:val="center"/>
          </w:tcPr>
          <w:p w14:paraId="76D3009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西1风井</w:t>
            </w:r>
          </w:p>
        </w:tc>
        <w:tc>
          <w:tcPr>
            <w:tcW w:w="693" w:type="pct"/>
            <w:noWrap w:val="0"/>
            <w:vAlign w:val="center"/>
          </w:tcPr>
          <w:p w14:paraId="49F8D4E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喷砼</w:t>
            </w:r>
          </w:p>
        </w:tc>
        <w:tc>
          <w:tcPr>
            <w:tcW w:w="748" w:type="pct"/>
            <w:noWrap w:val="0"/>
            <w:vAlign w:val="center"/>
          </w:tcPr>
          <w:p w14:paraId="746D816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12.56</w:t>
            </w:r>
          </w:p>
        </w:tc>
        <w:tc>
          <w:tcPr>
            <w:tcW w:w="658" w:type="pct"/>
            <w:noWrap w:val="0"/>
            <w:vAlign w:val="center"/>
          </w:tcPr>
          <w:p w14:paraId="76C2830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16.61</w:t>
            </w:r>
          </w:p>
        </w:tc>
        <w:tc>
          <w:tcPr>
            <w:tcW w:w="509" w:type="pct"/>
            <w:noWrap w:val="0"/>
            <w:vAlign w:val="center"/>
          </w:tcPr>
          <w:p w14:paraId="5BC2D54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290</w:t>
            </w:r>
          </w:p>
        </w:tc>
        <w:tc>
          <w:tcPr>
            <w:tcW w:w="567" w:type="pct"/>
            <w:noWrap w:val="0"/>
            <w:vAlign w:val="center"/>
          </w:tcPr>
          <w:p w14:paraId="5AAA88C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4817</w:t>
            </w:r>
          </w:p>
        </w:tc>
        <w:tc>
          <w:tcPr>
            <w:tcW w:w="458" w:type="pct"/>
            <w:noWrap w:val="0"/>
            <w:vAlign w:val="center"/>
          </w:tcPr>
          <w:p w14:paraId="73CDAB3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1175</w:t>
            </w:r>
          </w:p>
        </w:tc>
      </w:tr>
      <w:tr w14:paraId="47D8A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7D0A36C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1081" w:type="pct"/>
            <w:noWrap w:val="0"/>
            <w:vAlign w:val="center"/>
          </w:tcPr>
          <w:p w14:paraId="5ADEDB5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西</w:t>
            </w: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风井</w:t>
            </w:r>
          </w:p>
        </w:tc>
        <w:tc>
          <w:tcPr>
            <w:tcW w:w="693" w:type="pct"/>
            <w:noWrap w:val="0"/>
            <w:vAlign w:val="center"/>
          </w:tcPr>
          <w:p w14:paraId="7FD01D7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喷砼</w:t>
            </w:r>
          </w:p>
        </w:tc>
        <w:tc>
          <w:tcPr>
            <w:tcW w:w="748" w:type="pct"/>
            <w:noWrap w:val="0"/>
            <w:vAlign w:val="center"/>
          </w:tcPr>
          <w:p w14:paraId="3B3D8EE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.07</w:t>
            </w:r>
          </w:p>
        </w:tc>
        <w:tc>
          <w:tcPr>
            <w:tcW w:w="658" w:type="pct"/>
            <w:noWrap w:val="0"/>
            <w:vAlign w:val="center"/>
          </w:tcPr>
          <w:p w14:paraId="4AFA107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.62</w:t>
            </w:r>
          </w:p>
        </w:tc>
        <w:tc>
          <w:tcPr>
            <w:tcW w:w="509" w:type="pct"/>
            <w:noWrap w:val="0"/>
            <w:vAlign w:val="center"/>
          </w:tcPr>
          <w:p w14:paraId="30980ED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42</w:t>
            </w:r>
          </w:p>
        </w:tc>
        <w:tc>
          <w:tcPr>
            <w:tcW w:w="567" w:type="pct"/>
            <w:noWrap w:val="0"/>
            <w:vAlign w:val="center"/>
          </w:tcPr>
          <w:p w14:paraId="20F9A4B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2328</w:t>
            </w:r>
          </w:p>
        </w:tc>
        <w:tc>
          <w:tcPr>
            <w:tcW w:w="458" w:type="pct"/>
            <w:noWrap w:val="0"/>
            <w:vAlign w:val="center"/>
          </w:tcPr>
          <w:p w14:paraId="2AF109D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617</w:t>
            </w:r>
          </w:p>
        </w:tc>
      </w:tr>
      <w:tr w14:paraId="1F4C0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1A4DF00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1081" w:type="pct"/>
            <w:noWrap w:val="0"/>
            <w:vAlign w:val="center"/>
          </w:tcPr>
          <w:p w14:paraId="2EF4282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矿石集中溜井</w:t>
            </w:r>
          </w:p>
        </w:tc>
        <w:tc>
          <w:tcPr>
            <w:tcW w:w="693" w:type="pct"/>
            <w:noWrap w:val="0"/>
            <w:vAlign w:val="center"/>
          </w:tcPr>
          <w:p w14:paraId="0296F3F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6B1ED56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.62</w:t>
            </w:r>
          </w:p>
        </w:tc>
        <w:tc>
          <w:tcPr>
            <w:tcW w:w="658" w:type="pct"/>
            <w:noWrap w:val="0"/>
            <w:vAlign w:val="center"/>
          </w:tcPr>
          <w:p w14:paraId="2DA80C7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.62</w:t>
            </w:r>
          </w:p>
        </w:tc>
        <w:tc>
          <w:tcPr>
            <w:tcW w:w="509" w:type="pct"/>
            <w:noWrap w:val="0"/>
            <w:vAlign w:val="center"/>
          </w:tcPr>
          <w:p w14:paraId="7E8377A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44</w:t>
            </w:r>
          </w:p>
        </w:tc>
        <w:tc>
          <w:tcPr>
            <w:tcW w:w="567" w:type="pct"/>
            <w:noWrap w:val="0"/>
            <w:vAlign w:val="center"/>
          </w:tcPr>
          <w:p w14:paraId="779311F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2347</w:t>
            </w:r>
          </w:p>
        </w:tc>
        <w:tc>
          <w:tcPr>
            <w:tcW w:w="458" w:type="pct"/>
            <w:noWrap w:val="0"/>
            <w:vAlign w:val="center"/>
          </w:tcPr>
          <w:p w14:paraId="49741E3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r>
      <w:tr w14:paraId="0C029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5B4F5FC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1081" w:type="pct"/>
            <w:noWrap w:val="0"/>
            <w:vAlign w:val="center"/>
          </w:tcPr>
          <w:p w14:paraId="5BAA7AE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1187m</w:t>
            </w:r>
            <w:r>
              <w:rPr>
                <w:rFonts w:hint="eastAsia" w:ascii="Times New Roman" w:hAnsi="Times New Roman" w:cs="Times New Roman"/>
                <w:color w:val="000000" w:themeColor="text1"/>
                <w:szCs w:val="21"/>
                <w14:textFill>
                  <w14:solidFill>
                    <w14:schemeClr w14:val="tx1"/>
                  </w14:solidFill>
                </w14:textFill>
              </w:rPr>
              <w:t>回风</w:t>
            </w:r>
            <w:r>
              <w:rPr>
                <w:rFonts w:hint="default" w:ascii="Times New Roman" w:hAnsi="Times New Roman" w:cs="Times New Roman"/>
                <w:color w:val="000000" w:themeColor="text1"/>
                <w:szCs w:val="21"/>
                <w14:textFill>
                  <w14:solidFill>
                    <w14:schemeClr w14:val="tx1"/>
                  </w14:solidFill>
                </w14:textFill>
              </w:rPr>
              <w:t>平巷</w:t>
            </w:r>
          </w:p>
        </w:tc>
        <w:tc>
          <w:tcPr>
            <w:tcW w:w="693" w:type="pct"/>
            <w:noWrap w:val="0"/>
            <w:vAlign w:val="center"/>
          </w:tcPr>
          <w:p w14:paraId="19EA028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07D1091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58" w:type="pct"/>
            <w:noWrap w:val="0"/>
            <w:vAlign w:val="center"/>
          </w:tcPr>
          <w:p w14:paraId="3EAED88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09" w:type="pct"/>
            <w:noWrap w:val="0"/>
            <w:vAlign w:val="center"/>
          </w:tcPr>
          <w:p w14:paraId="78FD3ED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358</w:t>
            </w:r>
          </w:p>
        </w:tc>
        <w:tc>
          <w:tcPr>
            <w:tcW w:w="567" w:type="pct"/>
            <w:noWrap w:val="0"/>
            <w:vAlign w:val="center"/>
          </w:tcPr>
          <w:p w14:paraId="2C424BB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3107</w:t>
            </w:r>
          </w:p>
        </w:tc>
        <w:tc>
          <w:tcPr>
            <w:tcW w:w="458" w:type="pct"/>
            <w:noWrap w:val="0"/>
            <w:vAlign w:val="center"/>
          </w:tcPr>
          <w:p w14:paraId="7232C1A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w:t>
            </w:r>
          </w:p>
        </w:tc>
      </w:tr>
      <w:tr w14:paraId="692C57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2753D5F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p>
        </w:tc>
        <w:tc>
          <w:tcPr>
            <w:tcW w:w="1081" w:type="pct"/>
            <w:noWrap w:val="0"/>
            <w:vAlign w:val="center"/>
          </w:tcPr>
          <w:p w14:paraId="6255760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1144m</w:t>
            </w:r>
            <w:r>
              <w:rPr>
                <w:rFonts w:hint="eastAsia" w:ascii="Times New Roman" w:hAnsi="Times New Roman" w:cs="Times New Roman"/>
                <w:color w:val="000000" w:themeColor="text1"/>
                <w:szCs w:val="21"/>
                <w14:textFill>
                  <w14:solidFill>
                    <w14:schemeClr w14:val="tx1"/>
                  </w14:solidFill>
                </w14:textFill>
              </w:rPr>
              <w:t>中段</w:t>
            </w:r>
            <w:r>
              <w:rPr>
                <w:rFonts w:hint="default" w:ascii="Times New Roman" w:hAnsi="Times New Roman" w:cs="Times New Roman"/>
                <w:color w:val="000000" w:themeColor="text1"/>
                <w:szCs w:val="21"/>
                <w14:textFill>
                  <w14:solidFill>
                    <w14:schemeClr w14:val="tx1"/>
                  </w14:solidFill>
                </w14:textFill>
              </w:rPr>
              <w:t>平巷</w:t>
            </w:r>
          </w:p>
        </w:tc>
        <w:tc>
          <w:tcPr>
            <w:tcW w:w="693" w:type="pct"/>
            <w:noWrap w:val="0"/>
            <w:vAlign w:val="center"/>
          </w:tcPr>
          <w:p w14:paraId="378AB3A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57A389E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58" w:type="pct"/>
            <w:noWrap w:val="0"/>
            <w:vAlign w:val="center"/>
          </w:tcPr>
          <w:p w14:paraId="01BCC33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09" w:type="pct"/>
            <w:noWrap w:val="0"/>
            <w:vAlign w:val="center"/>
          </w:tcPr>
          <w:p w14:paraId="492007B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276</w:t>
            </w:r>
          </w:p>
        </w:tc>
        <w:tc>
          <w:tcPr>
            <w:tcW w:w="567" w:type="pct"/>
            <w:noWrap w:val="0"/>
            <w:vAlign w:val="center"/>
          </w:tcPr>
          <w:p w14:paraId="6667C3B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2396</w:t>
            </w:r>
          </w:p>
        </w:tc>
        <w:tc>
          <w:tcPr>
            <w:tcW w:w="458" w:type="pct"/>
            <w:noWrap w:val="0"/>
            <w:vAlign w:val="center"/>
          </w:tcPr>
          <w:p w14:paraId="12BC4D0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w:t>
            </w:r>
          </w:p>
        </w:tc>
      </w:tr>
      <w:tr w14:paraId="334CD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432FFB7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w:t>
            </w:r>
          </w:p>
        </w:tc>
        <w:tc>
          <w:tcPr>
            <w:tcW w:w="1081" w:type="pct"/>
            <w:noWrap w:val="0"/>
            <w:vAlign w:val="center"/>
          </w:tcPr>
          <w:p w14:paraId="1101C38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1080m</w:t>
            </w:r>
            <w:r>
              <w:rPr>
                <w:rFonts w:hint="eastAsia" w:ascii="Times New Roman" w:hAnsi="Times New Roman" w:cs="Times New Roman"/>
                <w:color w:val="000000" w:themeColor="text1"/>
                <w:szCs w:val="21"/>
                <w14:textFill>
                  <w14:solidFill>
                    <w14:schemeClr w14:val="tx1"/>
                  </w14:solidFill>
                </w14:textFill>
              </w:rPr>
              <w:t>中段</w:t>
            </w:r>
            <w:r>
              <w:rPr>
                <w:rFonts w:hint="default" w:ascii="Times New Roman" w:hAnsi="Times New Roman" w:cs="Times New Roman"/>
                <w:color w:val="000000" w:themeColor="text1"/>
                <w:szCs w:val="21"/>
                <w14:textFill>
                  <w14:solidFill>
                    <w14:schemeClr w14:val="tx1"/>
                  </w14:solidFill>
                </w14:textFill>
              </w:rPr>
              <w:t>平巷</w:t>
            </w:r>
          </w:p>
        </w:tc>
        <w:tc>
          <w:tcPr>
            <w:tcW w:w="693" w:type="pct"/>
            <w:noWrap w:val="0"/>
            <w:vAlign w:val="center"/>
          </w:tcPr>
          <w:p w14:paraId="06B8257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5B22828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58" w:type="pct"/>
            <w:noWrap w:val="0"/>
            <w:vAlign w:val="center"/>
          </w:tcPr>
          <w:p w14:paraId="438B07F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09" w:type="pct"/>
            <w:noWrap w:val="0"/>
            <w:vAlign w:val="center"/>
          </w:tcPr>
          <w:p w14:paraId="1FC7BD4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268</w:t>
            </w:r>
          </w:p>
        </w:tc>
        <w:tc>
          <w:tcPr>
            <w:tcW w:w="567" w:type="pct"/>
            <w:noWrap w:val="0"/>
            <w:vAlign w:val="center"/>
          </w:tcPr>
          <w:p w14:paraId="3E6A95E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2326</w:t>
            </w:r>
          </w:p>
        </w:tc>
        <w:tc>
          <w:tcPr>
            <w:tcW w:w="458" w:type="pct"/>
            <w:noWrap w:val="0"/>
            <w:vAlign w:val="center"/>
          </w:tcPr>
          <w:p w14:paraId="291D885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98</w:t>
            </w:r>
          </w:p>
        </w:tc>
      </w:tr>
      <w:tr w14:paraId="298DC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70C0F2E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p>
        </w:tc>
        <w:tc>
          <w:tcPr>
            <w:tcW w:w="1081" w:type="pct"/>
            <w:noWrap w:val="0"/>
            <w:vAlign w:val="center"/>
          </w:tcPr>
          <w:p w14:paraId="55917D6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1070m</w:t>
            </w:r>
            <w:r>
              <w:rPr>
                <w:rFonts w:hint="eastAsia" w:ascii="Times New Roman" w:hAnsi="Times New Roman" w:cs="Times New Roman"/>
                <w:color w:val="000000" w:themeColor="text1"/>
                <w:szCs w:val="21"/>
                <w14:textFill>
                  <w14:solidFill>
                    <w14:schemeClr w14:val="tx1"/>
                  </w14:solidFill>
                </w14:textFill>
              </w:rPr>
              <w:t>回风</w:t>
            </w:r>
            <w:r>
              <w:rPr>
                <w:rFonts w:hint="default" w:ascii="Times New Roman" w:hAnsi="Times New Roman" w:cs="Times New Roman"/>
                <w:color w:val="000000" w:themeColor="text1"/>
                <w:szCs w:val="21"/>
                <w14:textFill>
                  <w14:solidFill>
                    <w14:schemeClr w14:val="tx1"/>
                  </w14:solidFill>
                </w14:textFill>
              </w:rPr>
              <w:t>平巷</w:t>
            </w:r>
          </w:p>
        </w:tc>
        <w:tc>
          <w:tcPr>
            <w:tcW w:w="693" w:type="pct"/>
            <w:noWrap w:val="0"/>
            <w:vAlign w:val="center"/>
          </w:tcPr>
          <w:p w14:paraId="187C385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5957374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58" w:type="pct"/>
            <w:noWrap w:val="0"/>
            <w:vAlign w:val="center"/>
          </w:tcPr>
          <w:p w14:paraId="40B2284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09" w:type="pct"/>
            <w:noWrap w:val="0"/>
            <w:vAlign w:val="center"/>
          </w:tcPr>
          <w:p w14:paraId="01E413A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420</w:t>
            </w:r>
          </w:p>
        </w:tc>
        <w:tc>
          <w:tcPr>
            <w:tcW w:w="567" w:type="pct"/>
            <w:noWrap w:val="0"/>
            <w:vAlign w:val="center"/>
          </w:tcPr>
          <w:p w14:paraId="66B621E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3646</w:t>
            </w:r>
          </w:p>
        </w:tc>
        <w:tc>
          <w:tcPr>
            <w:tcW w:w="458" w:type="pct"/>
            <w:noWrap w:val="0"/>
            <w:vAlign w:val="center"/>
          </w:tcPr>
          <w:p w14:paraId="18C16B8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154</w:t>
            </w:r>
          </w:p>
        </w:tc>
      </w:tr>
      <w:tr w14:paraId="4381C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239626A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w:t>
            </w:r>
          </w:p>
        </w:tc>
        <w:tc>
          <w:tcPr>
            <w:tcW w:w="1081" w:type="pct"/>
            <w:noWrap w:val="0"/>
            <w:vAlign w:val="center"/>
          </w:tcPr>
          <w:p w14:paraId="284BCC5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900m中段</w:t>
            </w:r>
          </w:p>
        </w:tc>
        <w:tc>
          <w:tcPr>
            <w:tcW w:w="693" w:type="pct"/>
            <w:noWrap w:val="0"/>
            <w:vAlign w:val="center"/>
          </w:tcPr>
          <w:p w14:paraId="2357AA9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7A9DE75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58" w:type="pct"/>
            <w:noWrap w:val="0"/>
            <w:vAlign w:val="center"/>
          </w:tcPr>
          <w:p w14:paraId="3E23562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509" w:type="pct"/>
            <w:noWrap w:val="0"/>
            <w:vAlign w:val="center"/>
          </w:tcPr>
          <w:p w14:paraId="5897088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434</w:t>
            </w:r>
          </w:p>
        </w:tc>
        <w:tc>
          <w:tcPr>
            <w:tcW w:w="567" w:type="pct"/>
            <w:noWrap w:val="0"/>
            <w:vAlign w:val="center"/>
          </w:tcPr>
          <w:p w14:paraId="1A38C3F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3713</w:t>
            </w:r>
          </w:p>
        </w:tc>
        <w:tc>
          <w:tcPr>
            <w:tcW w:w="458" w:type="pct"/>
            <w:noWrap w:val="0"/>
            <w:vAlign w:val="center"/>
          </w:tcPr>
          <w:p w14:paraId="37685E4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485</w:t>
            </w:r>
          </w:p>
        </w:tc>
      </w:tr>
      <w:tr w14:paraId="25971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4B8719B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w:t>
            </w:r>
          </w:p>
        </w:tc>
        <w:tc>
          <w:tcPr>
            <w:tcW w:w="1081" w:type="pct"/>
            <w:noWrap w:val="0"/>
            <w:vAlign w:val="center"/>
          </w:tcPr>
          <w:p w14:paraId="1B57DBC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双轨车场</w:t>
            </w:r>
          </w:p>
        </w:tc>
        <w:tc>
          <w:tcPr>
            <w:tcW w:w="693" w:type="pct"/>
            <w:noWrap w:val="0"/>
            <w:vAlign w:val="center"/>
          </w:tcPr>
          <w:p w14:paraId="6883539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喷砼</w:t>
            </w:r>
          </w:p>
        </w:tc>
        <w:tc>
          <w:tcPr>
            <w:tcW w:w="748" w:type="pct"/>
            <w:noWrap w:val="0"/>
            <w:vAlign w:val="center"/>
          </w:tcPr>
          <w:p w14:paraId="40F2BD4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8.45</w:t>
            </w:r>
          </w:p>
        </w:tc>
        <w:tc>
          <w:tcPr>
            <w:tcW w:w="658" w:type="pct"/>
            <w:noWrap w:val="0"/>
            <w:vAlign w:val="center"/>
          </w:tcPr>
          <w:p w14:paraId="57B8566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9.24</w:t>
            </w:r>
          </w:p>
        </w:tc>
        <w:tc>
          <w:tcPr>
            <w:tcW w:w="509" w:type="pct"/>
            <w:noWrap w:val="0"/>
            <w:vAlign w:val="center"/>
          </w:tcPr>
          <w:p w14:paraId="27B34F8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567" w:type="pct"/>
            <w:noWrap w:val="0"/>
            <w:vAlign w:val="center"/>
          </w:tcPr>
          <w:p w14:paraId="7E18654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370</w:t>
            </w:r>
          </w:p>
        </w:tc>
        <w:tc>
          <w:tcPr>
            <w:tcW w:w="458" w:type="pct"/>
            <w:noWrap w:val="0"/>
            <w:vAlign w:val="center"/>
          </w:tcPr>
          <w:p w14:paraId="5D3444D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w:t>
            </w:r>
          </w:p>
        </w:tc>
      </w:tr>
      <w:tr w14:paraId="6E5D6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44DE6A3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10.2</w:t>
            </w:r>
          </w:p>
        </w:tc>
        <w:tc>
          <w:tcPr>
            <w:tcW w:w="1081" w:type="pct"/>
            <w:noWrap w:val="0"/>
            <w:vAlign w:val="center"/>
          </w:tcPr>
          <w:p w14:paraId="1C742F4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中段平巷</w:t>
            </w:r>
          </w:p>
        </w:tc>
        <w:tc>
          <w:tcPr>
            <w:tcW w:w="693" w:type="pct"/>
            <w:noWrap w:val="0"/>
            <w:vAlign w:val="center"/>
          </w:tcPr>
          <w:p w14:paraId="4514D18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409D35F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58" w:type="pct"/>
            <w:noWrap w:val="0"/>
            <w:vAlign w:val="center"/>
          </w:tcPr>
          <w:p w14:paraId="74332FB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09" w:type="pct"/>
            <w:noWrap w:val="0"/>
            <w:vAlign w:val="center"/>
          </w:tcPr>
          <w:p w14:paraId="5E4497B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567" w:type="pct"/>
            <w:noWrap w:val="0"/>
            <w:vAlign w:val="center"/>
          </w:tcPr>
          <w:p w14:paraId="1578A48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458" w:type="pct"/>
            <w:noWrap w:val="0"/>
            <w:vAlign w:val="center"/>
          </w:tcPr>
          <w:p w14:paraId="17CAFB6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122</w:t>
            </w:r>
          </w:p>
        </w:tc>
      </w:tr>
      <w:tr w14:paraId="76331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383F334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10.3</w:t>
            </w:r>
          </w:p>
        </w:tc>
        <w:tc>
          <w:tcPr>
            <w:tcW w:w="1081" w:type="pct"/>
            <w:noWrap w:val="0"/>
            <w:vAlign w:val="center"/>
          </w:tcPr>
          <w:p w14:paraId="1A916C1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水泵及变电硐室</w:t>
            </w:r>
          </w:p>
        </w:tc>
        <w:tc>
          <w:tcPr>
            <w:tcW w:w="693" w:type="pct"/>
            <w:noWrap w:val="0"/>
            <w:vAlign w:val="center"/>
          </w:tcPr>
          <w:p w14:paraId="76AB960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喷砼</w:t>
            </w:r>
          </w:p>
        </w:tc>
        <w:tc>
          <w:tcPr>
            <w:tcW w:w="748" w:type="pct"/>
            <w:noWrap w:val="0"/>
            <w:vAlign w:val="center"/>
          </w:tcPr>
          <w:p w14:paraId="4FA94A6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8.45</w:t>
            </w:r>
          </w:p>
        </w:tc>
        <w:tc>
          <w:tcPr>
            <w:tcW w:w="658" w:type="pct"/>
            <w:noWrap w:val="0"/>
            <w:vAlign w:val="center"/>
          </w:tcPr>
          <w:p w14:paraId="043A44B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9.24</w:t>
            </w:r>
          </w:p>
        </w:tc>
        <w:tc>
          <w:tcPr>
            <w:tcW w:w="509" w:type="pct"/>
            <w:noWrap w:val="0"/>
            <w:vAlign w:val="center"/>
          </w:tcPr>
          <w:p w14:paraId="6912899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w:t>
            </w:r>
          </w:p>
        </w:tc>
        <w:tc>
          <w:tcPr>
            <w:tcW w:w="567" w:type="pct"/>
            <w:noWrap w:val="0"/>
            <w:vAlign w:val="center"/>
          </w:tcPr>
          <w:p w14:paraId="4ED0222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222</w:t>
            </w:r>
          </w:p>
        </w:tc>
        <w:tc>
          <w:tcPr>
            <w:tcW w:w="458" w:type="pct"/>
            <w:noWrap w:val="0"/>
            <w:vAlign w:val="center"/>
          </w:tcPr>
          <w:p w14:paraId="076C03A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w:t>
            </w:r>
          </w:p>
        </w:tc>
      </w:tr>
      <w:tr w14:paraId="6054D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56D3B72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10.4</w:t>
            </w:r>
          </w:p>
        </w:tc>
        <w:tc>
          <w:tcPr>
            <w:tcW w:w="1081" w:type="pct"/>
            <w:noWrap w:val="0"/>
            <w:vAlign w:val="center"/>
          </w:tcPr>
          <w:p w14:paraId="271C7E8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水仓及联络道</w:t>
            </w:r>
          </w:p>
        </w:tc>
        <w:tc>
          <w:tcPr>
            <w:tcW w:w="693" w:type="pct"/>
            <w:noWrap w:val="0"/>
            <w:vAlign w:val="center"/>
          </w:tcPr>
          <w:p w14:paraId="21FCADE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1B7AEEA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58" w:type="pct"/>
            <w:noWrap w:val="0"/>
            <w:vAlign w:val="center"/>
          </w:tcPr>
          <w:p w14:paraId="3D02EBE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09" w:type="pct"/>
            <w:noWrap w:val="0"/>
            <w:vAlign w:val="center"/>
          </w:tcPr>
          <w:p w14:paraId="0A2D572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w:t>
            </w:r>
          </w:p>
        </w:tc>
        <w:tc>
          <w:tcPr>
            <w:tcW w:w="567" w:type="pct"/>
            <w:noWrap w:val="0"/>
            <w:vAlign w:val="center"/>
          </w:tcPr>
          <w:p w14:paraId="14864D2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1562</w:t>
            </w:r>
          </w:p>
        </w:tc>
        <w:tc>
          <w:tcPr>
            <w:tcW w:w="458" w:type="pct"/>
            <w:noWrap w:val="0"/>
            <w:vAlign w:val="center"/>
          </w:tcPr>
          <w:p w14:paraId="47F4E22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220</w:t>
            </w:r>
          </w:p>
        </w:tc>
      </w:tr>
      <w:tr w14:paraId="29ADA3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86" w:type="pct"/>
            <w:noWrap w:val="0"/>
            <w:vAlign w:val="center"/>
          </w:tcPr>
          <w:p w14:paraId="4B6717C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0.5</w:t>
            </w:r>
          </w:p>
        </w:tc>
        <w:tc>
          <w:tcPr>
            <w:tcW w:w="1081" w:type="pct"/>
            <w:noWrap w:val="0"/>
            <w:vAlign w:val="center"/>
          </w:tcPr>
          <w:p w14:paraId="1CA4DB1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装载硐室</w:t>
            </w:r>
          </w:p>
        </w:tc>
        <w:tc>
          <w:tcPr>
            <w:tcW w:w="693" w:type="pct"/>
            <w:noWrap w:val="0"/>
            <w:vAlign w:val="center"/>
          </w:tcPr>
          <w:p w14:paraId="3A5E17A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76BEE88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58" w:type="pct"/>
            <w:noWrap w:val="0"/>
            <w:vAlign w:val="center"/>
          </w:tcPr>
          <w:p w14:paraId="478C86B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09" w:type="pct"/>
            <w:noWrap w:val="0"/>
            <w:vAlign w:val="center"/>
          </w:tcPr>
          <w:p w14:paraId="632BB37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5</w:t>
            </w:r>
          </w:p>
        </w:tc>
        <w:tc>
          <w:tcPr>
            <w:tcW w:w="567" w:type="pct"/>
            <w:noWrap w:val="0"/>
            <w:vAlign w:val="center"/>
          </w:tcPr>
          <w:p w14:paraId="7177802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130</w:t>
            </w:r>
          </w:p>
        </w:tc>
        <w:tc>
          <w:tcPr>
            <w:tcW w:w="458" w:type="pct"/>
            <w:noWrap w:val="0"/>
            <w:vAlign w:val="center"/>
          </w:tcPr>
          <w:p w14:paraId="0586464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w:t>
            </w:r>
          </w:p>
        </w:tc>
      </w:tr>
      <w:tr w14:paraId="1733E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3CE5004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0.6</w:t>
            </w:r>
          </w:p>
        </w:tc>
        <w:tc>
          <w:tcPr>
            <w:tcW w:w="1081" w:type="pct"/>
            <w:noWrap w:val="0"/>
            <w:vAlign w:val="center"/>
          </w:tcPr>
          <w:p w14:paraId="51C0168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粉矿回收斜井绞车硐室</w:t>
            </w:r>
          </w:p>
        </w:tc>
        <w:tc>
          <w:tcPr>
            <w:tcW w:w="693" w:type="pct"/>
            <w:noWrap w:val="0"/>
            <w:vAlign w:val="center"/>
          </w:tcPr>
          <w:p w14:paraId="16DCDC2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376FF0A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7.46</w:t>
            </w:r>
          </w:p>
        </w:tc>
        <w:tc>
          <w:tcPr>
            <w:tcW w:w="658" w:type="pct"/>
            <w:noWrap w:val="0"/>
            <w:vAlign w:val="center"/>
          </w:tcPr>
          <w:p w14:paraId="0C9956B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8.68</w:t>
            </w:r>
          </w:p>
        </w:tc>
        <w:tc>
          <w:tcPr>
            <w:tcW w:w="509" w:type="pct"/>
            <w:noWrap w:val="0"/>
            <w:vAlign w:val="center"/>
          </w:tcPr>
          <w:p w14:paraId="1AC800B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5</w:t>
            </w:r>
          </w:p>
        </w:tc>
        <w:tc>
          <w:tcPr>
            <w:tcW w:w="567" w:type="pct"/>
            <w:noWrap w:val="0"/>
            <w:vAlign w:val="center"/>
          </w:tcPr>
          <w:p w14:paraId="67C14B8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130</w:t>
            </w:r>
          </w:p>
        </w:tc>
        <w:tc>
          <w:tcPr>
            <w:tcW w:w="458" w:type="pct"/>
            <w:noWrap w:val="0"/>
            <w:vAlign w:val="center"/>
          </w:tcPr>
          <w:p w14:paraId="1430E53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w:t>
            </w:r>
          </w:p>
        </w:tc>
      </w:tr>
      <w:tr w14:paraId="5392A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14606D9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0.7</w:t>
            </w:r>
          </w:p>
        </w:tc>
        <w:tc>
          <w:tcPr>
            <w:tcW w:w="1081" w:type="pct"/>
            <w:noWrap w:val="0"/>
            <w:vAlign w:val="center"/>
          </w:tcPr>
          <w:p w14:paraId="57F611E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粉矿回收斜井</w:t>
            </w:r>
          </w:p>
        </w:tc>
        <w:tc>
          <w:tcPr>
            <w:tcW w:w="693" w:type="pct"/>
            <w:noWrap w:val="0"/>
            <w:vAlign w:val="center"/>
          </w:tcPr>
          <w:p w14:paraId="206F4ED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74A27C6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.24</w:t>
            </w:r>
          </w:p>
        </w:tc>
        <w:tc>
          <w:tcPr>
            <w:tcW w:w="658" w:type="pct"/>
            <w:noWrap w:val="0"/>
            <w:vAlign w:val="center"/>
          </w:tcPr>
          <w:p w14:paraId="57AB15C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7.18</w:t>
            </w:r>
          </w:p>
        </w:tc>
        <w:tc>
          <w:tcPr>
            <w:tcW w:w="509" w:type="pct"/>
            <w:noWrap w:val="0"/>
            <w:vAlign w:val="center"/>
          </w:tcPr>
          <w:p w14:paraId="06C51B0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0</w:t>
            </w:r>
          </w:p>
        </w:tc>
        <w:tc>
          <w:tcPr>
            <w:tcW w:w="567" w:type="pct"/>
            <w:noWrap w:val="0"/>
            <w:vAlign w:val="center"/>
          </w:tcPr>
          <w:p w14:paraId="47159F8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431</w:t>
            </w:r>
          </w:p>
        </w:tc>
        <w:tc>
          <w:tcPr>
            <w:tcW w:w="458" w:type="pct"/>
            <w:noWrap w:val="0"/>
            <w:vAlign w:val="center"/>
          </w:tcPr>
          <w:p w14:paraId="3EB123E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w:t>
            </w:r>
          </w:p>
        </w:tc>
      </w:tr>
      <w:tr w14:paraId="2FEFC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 w:type="pct"/>
            <w:noWrap w:val="0"/>
            <w:vAlign w:val="center"/>
          </w:tcPr>
          <w:p w14:paraId="5E033FD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1081" w:type="pct"/>
            <w:noWrap w:val="0"/>
            <w:vAlign w:val="center"/>
          </w:tcPr>
          <w:p w14:paraId="2C0AB74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采切工程</w:t>
            </w:r>
          </w:p>
        </w:tc>
        <w:tc>
          <w:tcPr>
            <w:tcW w:w="693" w:type="pct"/>
            <w:noWrap w:val="0"/>
            <w:vAlign w:val="center"/>
          </w:tcPr>
          <w:p w14:paraId="4DADB7B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748" w:type="pct"/>
            <w:noWrap w:val="0"/>
            <w:vAlign w:val="center"/>
          </w:tcPr>
          <w:p w14:paraId="6020E68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58" w:type="pct"/>
            <w:noWrap w:val="0"/>
            <w:vAlign w:val="center"/>
          </w:tcPr>
          <w:p w14:paraId="28838FF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509" w:type="pct"/>
            <w:noWrap w:val="0"/>
            <w:vAlign w:val="center"/>
          </w:tcPr>
          <w:p w14:paraId="737C060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1800</w:t>
            </w:r>
          </w:p>
        </w:tc>
        <w:tc>
          <w:tcPr>
            <w:tcW w:w="567" w:type="pct"/>
            <w:noWrap w:val="0"/>
            <w:vAlign w:val="center"/>
          </w:tcPr>
          <w:p w14:paraId="7D4FDCE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15624</w:t>
            </w:r>
          </w:p>
        </w:tc>
        <w:tc>
          <w:tcPr>
            <w:tcW w:w="458" w:type="pct"/>
            <w:noWrap w:val="0"/>
            <w:vAlign w:val="center"/>
          </w:tcPr>
          <w:p w14:paraId="64B032C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r>
      <w:tr w14:paraId="533E5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7" w:type="pct"/>
            <w:gridSpan w:val="2"/>
            <w:noWrap w:val="0"/>
            <w:vAlign w:val="center"/>
          </w:tcPr>
          <w:p w14:paraId="2A050F7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合计</w:t>
            </w:r>
          </w:p>
        </w:tc>
        <w:tc>
          <w:tcPr>
            <w:tcW w:w="693" w:type="pct"/>
            <w:noWrap w:val="0"/>
            <w:vAlign w:val="center"/>
          </w:tcPr>
          <w:p w14:paraId="1F45830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p>
        </w:tc>
        <w:tc>
          <w:tcPr>
            <w:tcW w:w="748" w:type="pct"/>
            <w:noWrap w:val="0"/>
            <w:vAlign w:val="center"/>
          </w:tcPr>
          <w:p w14:paraId="405D4DB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p>
        </w:tc>
        <w:tc>
          <w:tcPr>
            <w:tcW w:w="658" w:type="pct"/>
            <w:noWrap w:val="0"/>
            <w:vAlign w:val="center"/>
          </w:tcPr>
          <w:p w14:paraId="397AD6C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p>
        </w:tc>
        <w:tc>
          <w:tcPr>
            <w:tcW w:w="509" w:type="pct"/>
            <w:noWrap w:val="0"/>
            <w:vAlign w:val="center"/>
          </w:tcPr>
          <w:p w14:paraId="199B3A3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4605</w:t>
            </w:r>
          </w:p>
        </w:tc>
        <w:tc>
          <w:tcPr>
            <w:tcW w:w="567" w:type="pct"/>
            <w:noWrap w:val="0"/>
            <w:vAlign w:val="center"/>
          </w:tcPr>
          <w:p w14:paraId="64EB5D7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46092</w:t>
            </w:r>
          </w:p>
        </w:tc>
        <w:tc>
          <w:tcPr>
            <w:tcW w:w="458" w:type="pct"/>
            <w:noWrap w:val="0"/>
            <w:vAlign w:val="center"/>
          </w:tcPr>
          <w:p w14:paraId="77874D81">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4016</w:t>
            </w:r>
          </w:p>
        </w:tc>
      </w:tr>
      <w:bookmarkEnd w:id="309"/>
    </w:tbl>
    <w:p w14:paraId="55E99DE5">
      <w:pPr>
        <w:pStyle w:val="5"/>
        <w:spacing w:before="0" w:after="0" w:line="480" w:lineRule="exact"/>
        <w:ind w:firstLine="482"/>
        <w:rPr>
          <w:color w:val="000000" w:themeColor="text1"/>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3.3</w:t>
      </w:r>
      <w:r>
        <w:rPr>
          <w:rFonts w:hint="eastAsia" w:ascii="Times New Roman" w:hAnsi="Times New Roman"/>
          <w:bCs w:val="0"/>
          <w:color w:val="000000" w:themeColor="text1"/>
          <w:kern w:val="2"/>
          <w:szCs w:val="24"/>
          <w14:textFill>
            <w14:solidFill>
              <w14:schemeClr w14:val="tx1"/>
            </w14:solidFill>
          </w14:textFill>
        </w:rPr>
        <w:t>.1.</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采矿方法</w:t>
      </w:r>
    </w:p>
    <w:p w14:paraId="4C188D2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（1）开采技术条件</w:t>
      </w:r>
    </w:p>
    <w:p w14:paraId="305982BF">
      <w:pPr>
        <w:pStyle w:val="18"/>
        <w:spacing w:line="480" w:lineRule="exact"/>
        <w:ind w:firstLine="480"/>
        <w:rPr>
          <w:rFonts w:hint="eastAsia"/>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A</w:t>
      </w:r>
      <w:r>
        <w:rPr>
          <w:rFonts w:hint="eastAsia"/>
          <w:color w:val="000000" w:themeColor="text1"/>
          <w:sz w:val="24"/>
          <w:szCs w:val="28"/>
          <w14:textFill>
            <w14:solidFill>
              <w14:schemeClr w14:val="tx1"/>
            </w14:solidFill>
          </w14:textFill>
        </w:rPr>
        <w:t>．工程地质特征</w:t>
      </w:r>
    </w:p>
    <w:p w14:paraId="6394FFA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区构造简单，裂隙弱发育，地形地貌简单，矿体围岩岩性较单一，以片状结构为主，总体质量及完整性较好，岩体质量良好，现状井巷稳固性一般，主要工程地质问题是易产生掉块、坍塌、冒顶片帮等工程地质问题，要加强顶底板管理，采取必要的支护措施，确定矿床属于半坚硬为主的片状岩类，工程地质条件中等。</w:t>
      </w:r>
    </w:p>
    <w:p w14:paraId="1C87514C">
      <w:pPr>
        <w:pStyle w:val="18"/>
        <w:spacing w:line="480" w:lineRule="exact"/>
        <w:ind w:firstLine="480"/>
        <w:rPr>
          <w:rFonts w:hint="eastAsia"/>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B</w:t>
      </w:r>
      <w:r>
        <w:rPr>
          <w:rFonts w:hint="eastAsia"/>
          <w:color w:val="000000" w:themeColor="text1"/>
          <w:sz w:val="24"/>
          <w:szCs w:val="28"/>
          <w14:textFill>
            <w14:solidFill>
              <w14:schemeClr w14:val="tx1"/>
            </w14:solidFill>
          </w14:textFill>
        </w:rPr>
        <w:t>．水文地质特征</w:t>
      </w:r>
    </w:p>
    <w:p w14:paraId="5FC4E83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区内最低海拔为1234m，位于矿区西南角，为矿区最低排泄面标高。地下水出露标高1222.32m，为矿区最低侵蚀基准面标高。矿区含水层的划分基本一致，为变质岩类裂隙弱富水含水层。矿床充水来源主要为地下水的侧向补给。通过核实，巷道内未发生突发涌水事故，总体评价水文地质条件简单的矿床。</w:t>
      </w:r>
    </w:p>
    <w:p w14:paraId="40B576B7">
      <w:pPr>
        <w:pStyle w:val="18"/>
        <w:spacing w:line="480" w:lineRule="exact"/>
        <w:ind w:firstLine="48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（2）采矿方法</w:t>
      </w:r>
    </w:p>
    <w:p w14:paraId="10888EE3">
      <w:pPr>
        <w:pStyle w:val="18"/>
        <w:spacing w:line="480" w:lineRule="exact"/>
        <w:ind w:firstLine="480"/>
        <w:rPr>
          <w:rFonts w:hint="eastAsia" w:eastAsia="宋体"/>
          <w:color w:val="000000" w:themeColor="text1"/>
          <w:sz w:val="24"/>
          <w:szCs w:val="28"/>
          <w:highlight w:val="none"/>
          <w:lang w:val="en-US" w:eastAsia="zh-CN"/>
          <w14:textFill>
            <w14:solidFill>
              <w14:schemeClr w14:val="tx1"/>
            </w14:solidFill>
          </w14:textFill>
        </w:rPr>
      </w:pPr>
      <w:r>
        <w:rPr>
          <w:rFonts w:hint="eastAsia"/>
          <w:color w:val="000000" w:themeColor="text1"/>
          <w:sz w:val="24"/>
          <w:szCs w:val="28"/>
          <w:highlight w:val="none"/>
          <w14:textFill>
            <w14:solidFill>
              <w14:schemeClr w14:val="tx1"/>
            </w14:solidFill>
          </w14:textFill>
        </w:rPr>
        <w:t>该矿矿石品位不高，矿体厚度从薄到厚、产状多为急倾斜等特点，并且为满足矿山生产能力需要，设计推荐采用无底柱分段</w:t>
      </w:r>
      <w:r>
        <w:rPr>
          <w:rFonts w:hint="eastAsia"/>
          <w:color w:val="000000" w:themeColor="text1"/>
          <w:sz w:val="24"/>
          <w:szCs w:val="28"/>
          <w:highlight w:val="none"/>
          <w:lang w:val="en-US" w:eastAsia="zh-CN"/>
          <w14:textFill>
            <w14:solidFill>
              <w14:schemeClr w14:val="tx1"/>
            </w14:solidFill>
          </w14:textFill>
        </w:rPr>
        <w:t>崩落法。</w:t>
      </w:r>
    </w:p>
    <w:p w14:paraId="698792EE">
      <w:pPr>
        <w:pStyle w:val="5"/>
        <w:spacing w:before="0" w:after="0" w:line="480" w:lineRule="exact"/>
        <w:ind w:firstLine="482"/>
        <w:rPr>
          <w:color w:val="000000" w:themeColor="text1"/>
          <w:highlight w:val="none"/>
          <w14:textFill>
            <w14:solidFill>
              <w14:schemeClr w14:val="tx1"/>
            </w14:solidFill>
          </w14:textFill>
        </w:rPr>
      </w:pPr>
      <w:r>
        <w:rPr>
          <w:rFonts w:ascii="Times New Roman" w:hAnsi="Times New Roman"/>
          <w:bCs w:val="0"/>
          <w:color w:val="000000" w:themeColor="text1"/>
          <w:kern w:val="2"/>
          <w:szCs w:val="24"/>
          <w:highlight w:val="none"/>
          <w14:textFill>
            <w14:solidFill>
              <w14:schemeClr w14:val="tx1"/>
            </w14:solidFill>
          </w14:textFill>
        </w:rPr>
        <w:t>3.3</w:t>
      </w:r>
      <w:r>
        <w:rPr>
          <w:rFonts w:hint="eastAsia" w:ascii="Times New Roman" w:hAnsi="Times New Roman"/>
          <w:bCs w:val="0"/>
          <w:color w:val="000000" w:themeColor="text1"/>
          <w:kern w:val="2"/>
          <w:szCs w:val="24"/>
          <w:highlight w:val="none"/>
          <w14:textFill>
            <w14:solidFill>
              <w14:schemeClr w14:val="tx1"/>
            </w14:solidFill>
          </w14:textFill>
        </w:rPr>
        <w:t>.1.</w:t>
      </w:r>
      <w:r>
        <w:rPr>
          <w:rFonts w:ascii="Times New Roman" w:hAnsi="Times New Roman"/>
          <w:bCs w:val="0"/>
          <w:color w:val="000000" w:themeColor="text1"/>
          <w:kern w:val="2"/>
          <w:szCs w:val="24"/>
          <w:highlight w:val="none"/>
          <w14:textFill>
            <w14:solidFill>
              <w14:schemeClr w14:val="tx1"/>
            </w14:solidFill>
          </w14:textFill>
        </w:rPr>
        <w:t>4</w:t>
      </w:r>
      <w:r>
        <w:rPr>
          <w:rFonts w:hint="eastAsia" w:ascii="Times New Roman" w:hAnsi="Times New Roman"/>
          <w:bCs w:val="0"/>
          <w:color w:val="000000" w:themeColor="text1"/>
          <w:kern w:val="2"/>
          <w:szCs w:val="24"/>
          <w:highlight w:val="none"/>
          <w14:textFill>
            <w14:solidFill>
              <w14:schemeClr w14:val="tx1"/>
            </w14:solidFill>
          </w14:textFill>
        </w:rPr>
        <w:t>回采工艺</w:t>
      </w:r>
    </w:p>
    <w:p w14:paraId="3DCB2028">
      <w:pPr>
        <w:pStyle w:val="18"/>
        <w:spacing w:line="480" w:lineRule="exact"/>
        <w:ind w:firstLine="480"/>
        <w:rPr>
          <w:rFonts w:hint="eastAsia" w:ascii="Times New Roman" w:hAnsi="Times New Roman" w:eastAsia="宋体" w:cs="Times New Roman"/>
          <w:color w:val="000000" w:themeColor="text1"/>
          <w:sz w:val="24"/>
          <w:szCs w:val="28"/>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8"/>
          <w:highlight w:val="none"/>
          <w14:textFill>
            <w14:solidFill>
              <w14:schemeClr w14:val="tx1"/>
            </w14:solidFill>
          </w14:textFill>
        </w:rPr>
        <w:t>M1033铁矿井下开采设计范围内矿体均可通过无底柱分段崩落法回采</w:t>
      </w:r>
      <w:r>
        <w:rPr>
          <w:rFonts w:hint="eastAsia" w:ascii="Times New Roman" w:hAnsi="Times New Roman" w:eastAsia="宋体" w:cs="Times New Roman"/>
          <w:color w:val="000000" w:themeColor="text1"/>
          <w:sz w:val="24"/>
          <w:szCs w:val="28"/>
          <w:highlight w:val="none"/>
          <w:lang w:eastAsia="zh-CN"/>
          <w14:textFill>
            <w14:solidFill>
              <w14:schemeClr w14:val="tx1"/>
            </w14:solidFill>
          </w14:textFill>
        </w:rPr>
        <w:t>。开采顺序为自上而下逐层开采。矿石崩落后形成的采空区可直接被上覆岩层填充，地压控制及管理简单，可有效避免井下出现安全生产事故。同时无底柱分段崩落法工艺相对简单，矿山管理人员、施工人员更快和更容易</w:t>
      </w:r>
      <w:r>
        <w:rPr>
          <w:rFonts w:hint="eastAsia" w:cs="Times New Roman"/>
          <w:color w:val="000000" w:themeColor="text1"/>
          <w:sz w:val="24"/>
          <w:szCs w:val="28"/>
          <w:highlight w:val="none"/>
          <w:lang w:val="en-US" w:eastAsia="zh-CN"/>
          <w14:textFill>
            <w14:solidFill>
              <w14:schemeClr w14:val="tx1"/>
            </w14:solidFill>
          </w14:textFill>
        </w:rPr>
        <w:t>熟练</w:t>
      </w:r>
      <w:r>
        <w:rPr>
          <w:rFonts w:hint="eastAsia" w:ascii="Times New Roman" w:hAnsi="Times New Roman" w:eastAsia="宋体" w:cs="Times New Roman"/>
          <w:color w:val="000000" w:themeColor="text1"/>
          <w:sz w:val="24"/>
          <w:szCs w:val="28"/>
          <w:highlight w:val="none"/>
          <w:lang w:eastAsia="zh-CN"/>
          <w14:textFill>
            <w14:solidFill>
              <w14:schemeClr w14:val="tx1"/>
            </w14:solidFill>
          </w14:textFill>
        </w:rPr>
        <w:t>掌握崩落法回采期间各项安全工艺要求。</w:t>
      </w:r>
    </w:p>
    <w:p w14:paraId="70DA2769">
      <w:pPr>
        <w:pStyle w:val="18"/>
        <w:spacing w:line="480" w:lineRule="exact"/>
        <w:ind w:firstLine="480"/>
        <w:rPr>
          <w:rFonts w:hint="eastAsia" w:ascii="Times New Roman" w:hAnsi="Times New Roman" w:eastAsia="宋体" w:cs="Times New Roman"/>
          <w:color w:val="000000" w:themeColor="text1"/>
          <w:sz w:val="24"/>
          <w:szCs w:val="28"/>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8"/>
          <w:highlight w:val="none"/>
          <w:lang w:eastAsia="zh-CN"/>
          <w14:textFill>
            <w14:solidFill>
              <w14:schemeClr w14:val="tx1"/>
            </w14:solidFill>
          </w14:textFill>
        </w:rPr>
        <w:t>采用无底柱分段崩落法，能更有效</w:t>
      </w:r>
      <w:r>
        <w:rPr>
          <w:rFonts w:hint="eastAsia" w:cs="Times New Roman"/>
          <w:color w:val="000000" w:themeColor="text1"/>
          <w:sz w:val="24"/>
          <w:szCs w:val="28"/>
          <w:highlight w:val="none"/>
          <w:lang w:val="en-US" w:eastAsia="zh-CN"/>
          <w14:textFill>
            <w14:solidFill>
              <w14:schemeClr w14:val="tx1"/>
            </w14:solidFill>
          </w14:textFill>
        </w:rPr>
        <w:t>地</w:t>
      </w:r>
      <w:r>
        <w:rPr>
          <w:rFonts w:hint="eastAsia" w:ascii="Times New Roman" w:hAnsi="Times New Roman" w:eastAsia="宋体" w:cs="Times New Roman"/>
          <w:color w:val="000000" w:themeColor="text1"/>
          <w:sz w:val="24"/>
          <w:szCs w:val="28"/>
          <w:highlight w:val="none"/>
          <w:lang w:eastAsia="zh-CN"/>
          <w14:textFill>
            <w14:solidFill>
              <w14:schemeClr w14:val="tx1"/>
            </w14:solidFill>
          </w14:textFill>
        </w:rPr>
        <w:t>避免生产安全事故的发生，对矿山管理难度、生产安全控制等方面将更为有利。</w:t>
      </w:r>
    </w:p>
    <w:p w14:paraId="741A1432">
      <w:pPr>
        <w:pStyle w:val="5"/>
        <w:spacing w:before="0" w:after="0" w:line="480" w:lineRule="exact"/>
        <w:ind w:firstLine="482"/>
        <w:rPr>
          <w:color w:val="000000" w:themeColor="text1"/>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3.3</w:t>
      </w:r>
      <w:r>
        <w:rPr>
          <w:rFonts w:hint="eastAsia" w:ascii="Times New Roman" w:hAnsi="Times New Roman"/>
          <w:bCs w:val="0"/>
          <w:color w:val="000000" w:themeColor="text1"/>
          <w:kern w:val="2"/>
          <w:szCs w:val="24"/>
          <w14:textFill>
            <w14:solidFill>
              <w14:schemeClr w14:val="tx1"/>
            </w14:solidFill>
          </w14:textFill>
        </w:rPr>
        <w:t>.1.</w:t>
      </w:r>
      <w:r>
        <w:rPr>
          <w:rFonts w:ascii="Times New Roman" w:hAnsi="Times New Roman"/>
          <w:bCs w:val="0"/>
          <w:color w:val="000000" w:themeColor="text1"/>
          <w:kern w:val="2"/>
          <w:szCs w:val="24"/>
          <w14:textFill>
            <w14:solidFill>
              <w14:schemeClr w14:val="tx1"/>
            </w14:solidFill>
          </w14:textFill>
        </w:rPr>
        <w:t>5</w:t>
      </w:r>
      <w:r>
        <w:rPr>
          <w:rFonts w:hint="eastAsia" w:ascii="Times New Roman" w:hAnsi="Times New Roman"/>
          <w:bCs w:val="0"/>
          <w:color w:val="000000" w:themeColor="text1"/>
          <w:kern w:val="2"/>
          <w:szCs w:val="24"/>
          <w14:textFill>
            <w14:solidFill>
              <w14:schemeClr w14:val="tx1"/>
            </w14:solidFill>
          </w14:textFill>
        </w:rPr>
        <w:t>通风系统</w:t>
      </w:r>
    </w:p>
    <w:p w14:paraId="19461E78">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采用对角式通风系统，机械抽出式通风方式。新鲜风流从罐笼竖井进入井下各个中段后，沿运输平巷、采准天井进入到采场，清洗采场工作面后，污风由采场另一侧的天井进入到上中段回风平巷，然后通过西1风井及西2风井排出地表。</w:t>
      </w:r>
    </w:p>
    <w:p w14:paraId="0E1C0E1A">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西1风井选用一台K40-6-N</w:t>
      </w:r>
      <w:r>
        <w:rPr>
          <w:rFonts w:hint="eastAsia"/>
          <w:color w:val="000000" w:themeColor="text1"/>
          <w:sz w:val="24"/>
          <w:szCs w:val="28"/>
          <w:lang w:val="en-US" w:eastAsia="zh-CN"/>
          <w14:textFill>
            <w14:solidFill>
              <w14:schemeClr w14:val="tx1"/>
            </w14:solidFill>
          </w14:textFill>
        </w:rPr>
        <w:t>O</w:t>
      </w:r>
      <w:r>
        <w:rPr>
          <w:rFonts w:hint="eastAsia"/>
          <w:color w:val="000000" w:themeColor="text1"/>
          <w:sz w:val="24"/>
          <w:szCs w:val="28"/>
          <w14:textFill>
            <w14:solidFill>
              <w14:schemeClr w14:val="tx1"/>
            </w14:solidFill>
          </w14:textFill>
        </w:rPr>
        <w:t>.18型风机，风机风量33.6～73.10m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/s，全压249～1149Pa。K型风机能反转返风，反风效率不低于60%。风机配带Y315M-6型交流电动机，功率90kW，设备用电机一台；西2风井选用一台K40-4-No.12型风机，风机风量14.70～32.10m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/s，全压242～1118Pa。K型风机能反转返风，反风效率不低于60%。风机配带Y225S-4型交流电动机，功率37kW，设备用电机一台。</w:t>
      </w:r>
    </w:p>
    <w:p w14:paraId="0D1106B8">
      <w:pPr>
        <w:pStyle w:val="5"/>
        <w:spacing w:before="0" w:after="0" w:line="480" w:lineRule="exact"/>
        <w:ind w:firstLine="482"/>
        <w:rPr>
          <w:color w:val="000000" w:themeColor="text1"/>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3.3</w:t>
      </w:r>
      <w:r>
        <w:rPr>
          <w:rFonts w:hint="eastAsia" w:ascii="Times New Roman" w:hAnsi="Times New Roman"/>
          <w:bCs w:val="0"/>
          <w:color w:val="000000" w:themeColor="text1"/>
          <w:kern w:val="2"/>
          <w:szCs w:val="24"/>
          <w14:textFill>
            <w14:solidFill>
              <w14:schemeClr w14:val="tx1"/>
            </w14:solidFill>
          </w14:textFill>
        </w:rPr>
        <w:t>.1.</w:t>
      </w:r>
      <w:r>
        <w:rPr>
          <w:rFonts w:ascii="Times New Roman" w:hAnsi="Times New Roman"/>
          <w:bCs w:val="0"/>
          <w:color w:val="000000" w:themeColor="text1"/>
          <w:kern w:val="2"/>
          <w:szCs w:val="24"/>
          <w14:textFill>
            <w14:solidFill>
              <w14:schemeClr w14:val="tx1"/>
            </w14:solidFill>
          </w14:textFill>
        </w:rPr>
        <w:t>6</w:t>
      </w:r>
      <w:r>
        <w:rPr>
          <w:rFonts w:hint="eastAsia"/>
          <w:color w:val="000000" w:themeColor="text1"/>
          <w14:textFill>
            <w14:solidFill>
              <w14:schemeClr w14:val="tx1"/>
            </w14:solidFill>
          </w14:textFill>
        </w:rPr>
        <w:t>采矿技术指标</w:t>
      </w:r>
    </w:p>
    <w:p w14:paraId="63E2C2E6">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根据矿体特征、开采技术条件，同时参考国内同类矿山实际指标，</w:t>
      </w:r>
      <w:r>
        <w:rPr>
          <w:rFonts w:hint="eastAsia"/>
          <w:color w:val="000000" w:themeColor="text1"/>
          <w:sz w:val="24"/>
          <w:szCs w:val="28"/>
          <w14:textFill>
            <w14:solidFill>
              <w14:schemeClr w14:val="tx1"/>
            </w14:solidFill>
          </w14:textFill>
        </w:rPr>
        <w:t>设计采矿主要技术经济指标</w:t>
      </w:r>
      <w:r>
        <w:rPr>
          <w:color w:val="000000" w:themeColor="text1"/>
          <w:sz w:val="24"/>
          <w:szCs w:val="28"/>
          <w14:textFill>
            <w14:solidFill>
              <w14:schemeClr w14:val="tx1"/>
            </w14:solidFill>
          </w14:textFill>
        </w:rPr>
        <w:t>见表</w:t>
      </w:r>
      <w:r>
        <w:rPr>
          <w:rFonts w:hint="eastAsia"/>
          <w:color w:val="000000" w:themeColor="text1"/>
          <w:sz w:val="24"/>
          <w:szCs w:val="28"/>
          <w14:textFill>
            <w14:solidFill>
              <w14:schemeClr w14:val="tx1"/>
            </w14:solidFill>
          </w14:textFill>
        </w:rPr>
        <w:t>3.</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3。</w:t>
      </w:r>
    </w:p>
    <w:p w14:paraId="4188ADEC">
      <w:pPr>
        <w:pStyle w:val="18"/>
        <w:spacing w:line="480" w:lineRule="exact"/>
        <w:ind w:firstLine="0" w:firstLineChars="0"/>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w:t>
      </w:r>
      <w:r>
        <w:rPr>
          <w:rFonts w:hint="eastAsia"/>
          <w:b/>
          <w:bCs/>
          <w:color w:val="000000" w:themeColor="text1"/>
          <w:sz w:val="24"/>
          <w:szCs w:val="28"/>
          <w14:textFill>
            <w14:solidFill>
              <w14:schemeClr w14:val="tx1"/>
            </w14:solidFill>
          </w14:textFill>
        </w:rPr>
        <w:t>3.</w:t>
      </w:r>
      <w:r>
        <w:rPr>
          <w:b/>
          <w:bCs/>
          <w:color w:val="000000" w:themeColor="text1"/>
          <w:sz w:val="24"/>
          <w:szCs w:val="28"/>
          <w14:textFill>
            <w14:solidFill>
              <w14:schemeClr w14:val="tx1"/>
            </w14:solidFill>
          </w14:textFill>
        </w:rPr>
        <w:t>3</w:t>
      </w:r>
      <w:r>
        <w:rPr>
          <w:rFonts w:hint="eastAsia"/>
          <w:b/>
          <w:bCs/>
          <w:color w:val="000000" w:themeColor="text1"/>
          <w:sz w:val="24"/>
          <w:szCs w:val="28"/>
          <w14:textFill>
            <w14:solidFill>
              <w14:schemeClr w14:val="tx1"/>
            </w14:solidFill>
          </w14:textFill>
        </w:rPr>
        <w:t>-</w:t>
      </w:r>
      <w:r>
        <w:rPr>
          <w:b/>
          <w:bCs/>
          <w:color w:val="000000" w:themeColor="text1"/>
          <w:sz w:val="24"/>
          <w:szCs w:val="28"/>
          <w14:textFill>
            <w14:solidFill>
              <w14:schemeClr w14:val="tx1"/>
            </w14:solidFill>
          </w14:textFill>
        </w:rPr>
        <w:t>3</w:t>
      </w:r>
      <w:r>
        <w:rPr>
          <w:rFonts w:hint="eastAsia"/>
          <w:b/>
          <w:bCs/>
          <w:color w:val="000000" w:themeColor="text1"/>
          <w:sz w:val="24"/>
          <w:szCs w:val="28"/>
          <w14:textFill>
            <w14:solidFill>
              <w14:schemeClr w14:val="tx1"/>
            </w14:solidFill>
          </w14:textFill>
        </w:rPr>
        <w:t xml:space="preserve">    采矿技术指标一览表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2"/>
        <w:gridCol w:w="2694"/>
        <w:gridCol w:w="1207"/>
        <w:gridCol w:w="2193"/>
        <w:gridCol w:w="1756"/>
      </w:tblGrid>
      <w:tr w14:paraId="392B7C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14:paraId="5A82AEE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
                <w:color w:val="000000" w:themeColor="text1"/>
                <w:szCs w:val="21"/>
                <w14:textFill>
                  <w14:solidFill>
                    <w14:schemeClr w14:val="tx1"/>
                  </w14:solidFill>
                </w14:textFill>
              </w:rPr>
            </w:pPr>
            <w:bookmarkStart w:id="310" w:name="_Hlk112067513" w:colFirst="0" w:colLast="5"/>
            <w:r>
              <w:rPr>
                <w:rFonts w:hint="eastAsia" w:ascii="Times New Roman" w:hAnsi="Times New Roman" w:cs="Times New Roman"/>
                <w:b/>
                <w:color w:val="000000" w:themeColor="text1"/>
                <w:szCs w:val="21"/>
                <w14:textFill>
                  <w14:solidFill>
                    <w14:schemeClr w14:val="tx1"/>
                  </w14:solidFill>
                </w14:textFill>
              </w:rPr>
              <w:t>序号</w:t>
            </w:r>
          </w:p>
        </w:tc>
        <w:tc>
          <w:tcPr>
            <w:tcW w:w="1580" w:type="pct"/>
            <w:tcBorders>
              <w:tl2br w:val="nil"/>
              <w:tr2bl w:val="nil"/>
            </w:tcBorders>
            <w:noWrap w:val="0"/>
            <w:vAlign w:val="center"/>
          </w:tcPr>
          <w:p w14:paraId="3FA3C51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指标名称</w:t>
            </w:r>
          </w:p>
        </w:tc>
        <w:tc>
          <w:tcPr>
            <w:tcW w:w="708" w:type="pct"/>
            <w:tcBorders>
              <w:tl2br w:val="nil"/>
              <w:tr2bl w:val="nil"/>
            </w:tcBorders>
            <w:noWrap w:val="0"/>
            <w:vAlign w:val="center"/>
          </w:tcPr>
          <w:p w14:paraId="7374C32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单位</w:t>
            </w:r>
          </w:p>
        </w:tc>
        <w:tc>
          <w:tcPr>
            <w:tcW w:w="1286" w:type="pct"/>
            <w:tcBorders>
              <w:tl2br w:val="nil"/>
              <w:tr2bl w:val="nil"/>
            </w:tcBorders>
            <w:noWrap w:val="0"/>
            <w:vAlign w:val="center"/>
          </w:tcPr>
          <w:p w14:paraId="295BD9B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数值</w:t>
            </w:r>
          </w:p>
        </w:tc>
        <w:tc>
          <w:tcPr>
            <w:tcW w:w="1030" w:type="pct"/>
            <w:tcBorders>
              <w:tl2br w:val="nil"/>
              <w:tr2bl w:val="nil"/>
            </w:tcBorders>
            <w:noWrap w:val="0"/>
            <w:vAlign w:val="center"/>
          </w:tcPr>
          <w:p w14:paraId="628FFD4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备注</w:t>
            </w:r>
          </w:p>
        </w:tc>
      </w:tr>
      <w:tr w14:paraId="1CC3AD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14:paraId="2EEBC07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580" w:type="pct"/>
            <w:tcBorders>
              <w:tl2br w:val="nil"/>
              <w:tr2bl w:val="nil"/>
            </w:tcBorders>
            <w:noWrap w:val="0"/>
            <w:vAlign w:val="center"/>
          </w:tcPr>
          <w:p w14:paraId="1EF5D58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评审通过的保有资源量</w:t>
            </w:r>
          </w:p>
        </w:tc>
        <w:tc>
          <w:tcPr>
            <w:tcW w:w="708" w:type="pct"/>
            <w:tcBorders>
              <w:tl2br w:val="nil"/>
              <w:tr2bl w:val="nil"/>
            </w:tcBorders>
            <w:noWrap w:val="0"/>
            <w:vAlign w:val="center"/>
          </w:tcPr>
          <w:p w14:paraId="4FF3390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万t</w:t>
            </w:r>
          </w:p>
        </w:tc>
        <w:tc>
          <w:tcPr>
            <w:tcW w:w="1286" w:type="pct"/>
            <w:tcBorders>
              <w:tl2br w:val="nil"/>
              <w:tr2bl w:val="nil"/>
            </w:tcBorders>
            <w:noWrap w:val="0"/>
            <w:vAlign w:val="center"/>
          </w:tcPr>
          <w:p w14:paraId="36D658A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845.65</w:t>
            </w:r>
          </w:p>
        </w:tc>
        <w:tc>
          <w:tcPr>
            <w:tcW w:w="1030" w:type="pct"/>
            <w:tcBorders>
              <w:tl2br w:val="nil"/>
              <w:tr2bl w:val="nil"/>
            </w:tcBorders>
            <w:noWrap w:val="0"/>
            <w:vAlign w:val="center"/>
          </w:tcPr>
          <w:p w14:paraId="44FC25F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（KZ+TD）</w:t>
            </w:r>
          </w:p>
        </w:tc>
      </w:tr>
      <w:tr w14:paraId="1F0FCF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14:paraId="0C4B4B4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1580" w:type="pct"/>
            <w:tcBorders>
              <w:tl2br w:val="nil"/>
              <w:tr2bl w:val="nil"/>
            </w:tcBorders>
            <w:noWrap w:val="0"/>
            <w:vAlign w:val="center"/>
          </w:tcPr>
          <w:p w14:paraId="1C3513B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设计利用的资源量</w:t>
            </w:r>
          </w:p>
        </w:tc>
        <w:tc>
          <w:tcPr>
            <w:tcW w:w="708" w:type="pct"/>
            <w:tcBorders>
              <w:tl2br w:val="nil"/>
              <w:tr2bl w:val="nil"/>
            </w:tcBorders>
            <w:noWrap w:val="0"/>
            <w:vAlign w:val="center"/>
          </w:tcPr>
          <w:p w14:paraId="08CEDC48">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万t</w:t>
            </w:r>
          </w:p>
        </w:tc>
        <w:tc>
          <w:tcPr>
            <w:tcW w:w="1286" w:type="pct"/>
            <w:tcBorders>
              <w:tl2br w:val="nil"/>
              <w:tr2bl w:val="nil"/>
            </w:tcBorders>
            <w:noWrap w:val="0"/>
            <w:vAlign w:val="center"/>
          </w:tcPr>
          <w:p w14:paraId="0E83B0C8">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689.05</w:t>
            </w:r>
          </w:p>
        </w:tc>
        <w:tc>
          <w:tcPr>
            <w:tcW w:w="1030" w:type="pct"/>
            <w:tcBorders>
              <w:tl2br w:val="nil"/>
              <w:tr2bl w:val="nil"/>
            </w:tcBorders>
            <w:noWrap w:val="0"/>
            <w:vAlign w:val="center"/>
          </w:tcPr>
          <w:p w14:paraId="0392D5C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（KZ+TD）</w:t>
            </w:r>
          </w:p>
        </w:tc>
      </w:tr>
      <w:tr w14:paraId="7DF6F0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14:paraId="5509106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1580" w:type="pct"/>
            <w:tcBorders>
              <w:tl2br w:val="nil"/>
              <w:tr2bl w:val="nil"/>
            </w:tcBorders>
            <w:noWrap w:val="0"/>
            <w:vAlign w:val="center"/>
          </w:tcPr>
          <w:p w14:paraId="43446DFD">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设计利用的矿石地质品位</w:t>
            </w:r>
          </w:p>
        </w:tc>
        <w:tc>
          <w:tcPr>
            <w:tcW w:w="708" w:type="pct"/>
            <w:tcBorders>
              <w:tl2br w:val="nil"/>
              <w:tr2bl w:val="nil"/>
            </w:tcBorders>
            <w:noWrap w:val="0"/>
            <w:vAlign w:val="center"/>
          </w:tcPr>
          <w:p w14:paraId="6AC8AEF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1286" w:type="pct"/>
            <w:tcBorders>
              <w:tl2br w:val="nil"/>
              <w:tr2bl w:val="nil"/>
            </w:tcBorders>
            <w:noWrap w:val="0"/>
            <w:vAlign w:val="center"/>
          </w:tcPr>
          <w:p w14:paraId="1F221CE8">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33.81/25.53</w:t>
            </w:r>
          </w:p>
        </w:tc>
        <w:tc>
          <w:tcPr>
            <w:tcW w:w="1030" w:type="pct"/>
            <w:tcBorders>
              <w:tl2br w:val="nil"/>
              <w:tr2bl w:val="nil"/>
            </w:tcBorders>
            <w:noWrap w:val="0"/>
            <w:vAlign w:val="center"/>
          </w:tcPr>
          <w:p w14:paraId="46E41FC5">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TFe/mFe</w:t>
            </w:r>
          </w:p>
        </w:tc>
      </w:tr>
      <w:tr w14:paraId="7EBB88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467DA840">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1580" w:type="pct"/>
            <w:tcBorders>
              <w:tl2br w:val="nil"/>
              <w:tr2bl w:val="nil"/>
            </w:tcBorders>
            <w:noWrap w:val="0"/>
            <w:vAlign w:val="center"/>
          </w:tcPr>
          <w:p w14:paraId="25EDB88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设计采出矿量</w:t>
            </w:r>
          </w:p>
        </w:tc>
        <w:tc>
          <w:tcPr>
            <w:tcW w:w="708" w:type="pct"/>
            <w:tcBorders>
              <w:tl2br w:val="nil"/>
              <w:tr2bl w:val="nil"/>
            </w:tcBorders>
            <w:noWrap w:val="0"/>
            <w:vAlign w:val="center"/>
          </w:tcPr>
          <w:p w14:paraId="6F1E773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万t</w:t>
            </w:r>
          </w:p>
        </w:tc>
        <w:tc>
          <w:tcPr>
            <w:tcW w:w="1286" w:type="pct"/>
            <w:tcBorders>
              <w:tl2br w:val="nil"/>
              <w:tr2bl w:val="nil"/>
            </w:tcBorders>
            <w:noWrap w:val="0"/>
            <w:vAlign w:val="center"/>
          </w:tcPr>
          <w:p w14:paraId="30D51E2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650.77</w:t>
            </w:r>
          </w:p>
        </w:tc>
        <w:tc>
          <w:tcPr>
            <w:tcW w:w="1030" w:type="pct"/>
            <w:tcBorders>
              <w:tl2br w:val="nil"/>
              <w:tr2bl w:val="nil"/>
            </w:tcBorders>
            <w:noWrap w:val="0"/>
            <w:vAlign w:val="center"/>
          </w:tcPr>
          <w:p w14:paraId="688DBE92">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p>
        </w:tc>
      </w:tr>
      <w:tr w14:paraId="0C73A7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641AD201">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1580" w:type="pct"/>
            <w:tcBorders>
              <w:tl2br w:val="nil"/>
              <w:tr2bl w:val="nil"/>
            </w:tcBorders>
            <w:noWrap w:val="0"/>
            <w:vAlign w:val="center"/>
          </w:tcPr>
          <w:p w14:paraId="65E2DD58">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设计采出矿石品位</w:t>
            </w:r>
          </w:p>
        </w:tc>
        <w:tc>
          <w:tcPr>
            <w:tcW w:w="708" w:type="pct"/>
            <w:tcBorders>
              <w:tl2br w:val="nil"/>
              <w:tr2bl w:val="nil"/>
            </w:tcBorders>
            <w:noWrap w:val="0"/>
            <w:vAlign w:val="center"/>
          </w:tcPr>
          <w:p w14:paraId="08288B1D">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1286" w:type="pct"/>
            <w:tcBorders>
              <w:tl2br w:val="nil"/>
              <w:tr2bl w:val="nil"/>
            </w:tcBorders>
            <w:noWrap w:val="0"/>
            <w:vAlign w:val="center"/>
          </w:tcPr>
          <w:p w14:paraId="137FAB35">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bookmarkStart w:id="311" w:name="_Hlk111923449"/>
            <w:r>
              <w:rPr>
                <w:rFonts w:hint="eastAsia" w:ascii="Times New Roman" w:hAnsi="Times New Roman" w:cs="Times New Roman"/>
                <w:color w:val="000000" w:themeColor="text1"/>
                <w:szCs w:val="21"/>
                <w14:textFill>
                  <w14:solidFill>
                    <w14:schemeClr w14:val="tx1"/>
                  </w14:solidFill>
                </w14:textFill>
              </w:rPr>
              <w:t>30.43/22.98</w:t>
            </w:r>
            <w:bookmarkEnd w:id="311"/>
          </w:p>
        </w:tc>
        <w:tc>
          <w:tcPr>
            <w:tcW w:w="1030" w:type="pct"/>
            <w:tcBorders>
              <w:tl2br w:val="nil"/>
              <w:tr2bl w:val="nil"/>
            </w:tcBorders>
            <w:noWrap w:val="0"/>
            <w:vAlign w:val="center"/>
          </w:tcPr>
          <w:p w14:paraId="695B8A2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TFe/mFe</w:t>
            </w:r>
          </w:p>
        </w:tc>
      </w:tr>
      <w:tr w14:paraId="048A88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7C98EA10">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1580" w:type="pct"/>
            <w:tcBorders>
              <w:tl2br w:val="nil"/>
              <w:tr2bl w:val="nil"/>
            </w:tcBorders>
            <w:noWrap w:val="0"/>
            <w:vAlign w:val="center"/>
          </w:tcPr>
          <w:p w14:paraId="10C0D716">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矿山生产规模</w:t>
            </w:r>
          </w:p>
        </w:tc>
        <w:tc>
          <w:tcPr>
            <w:tcW w:w="708" w:type="pct"/>
            <w:tcBorders>
              <w:tl2br w:val="nil"/>
              <w:tr2bl w:val="nil"/>
            </w:tcBorders>
            <w:noWrap w:val="0"/>
            <w:vAlign w:val="center"/>
          </w:tcPr>
          <w:p w14:paraId="36D46D0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万t/a</w:t>
            </w:r>
          </w:p>
        </w:tc>
        <w:tc>
          <w:tcPr>
            <w:tcW w:w="1286" w:type="pct"/>
            <w:tcBorders>
              <w:tl2br w:val="nil"/>
              <w:tr2bl w:val="nil"/>
            </w:tcBorders>
            <w:noWrap w:val="0"/>
            <w:vAlign w:val="center"/>
          </w:tcPr>
          <w:p w14:paraId="604854E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50.00</w:t>
            </w:r>
          </w:p>
        </w:tc>
        <w:tc>
          <w:tcPr>
            <w:tcW w:w="1030" w:type="pct"/>
            <w:tcBorders>
              <w:tl2br w:val="nil"/>
              <w:tr2bl w:val="nil"/>
            </w:tcBorders>
            <w:noWrap w:val="0"/>
            <w:vAlign w:val="center"/>
          </w:tcPr>
          <w:p w14:paraId="5DD6619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2000.00t/d</w:t>
            </w:r>
          </w:p>
        </w:tc>
      </w:tr>
      <w:tr w14:paraId="73F376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37F62486">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p>
        </w:tc>
        <w:tc>
          <w:tcPr>
            <w:tcW w:w="1580" w:type="pct"/>
            <w:tcBorders>
              <w:tl2br w:val="nil"/>
              <w:tr2bl w:val="nil"/>
            </w:tcBorders>
            <w:noWrap w:val="0"/>
            <w:vAlign w:val="center"/>
          </w:tcPr>
          <w:p w14:paraId="714343A2">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服务年限</w:t>
            </w:r>
          </w:p>
        </w:tc>
        <w:tc>
          <w:tcPr>
            <w:tcW w:w="708" w:type="pct"/>
            <w:tcBorders>
              <w:tl2br w:val="nil"/>
              <w:tr2bl w:val="nil"/>
            </w:tcBorders>
            <w:noWrap w:val="0"/>
            <w:vAlign w:val="center"/>
          </w:tcPr>
          <w:p w14:paraId="0A0AD8A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a</w:t>
            </w:r>
          </w:p>
        </w:tc>
        <w:tc>
          <w:tcPr>
            <w:tcW w:w="1286" w:type="pct"/>
            <w:tcBorders>
              <w:tl2br w:val="nil"/>
              <w:tr2bl w:val="nil"/>
            </w:tcBorders>
            <w:noWrap w:val="0"/>
            <w:vAlign w:val="center"/>
          </w:tcPr>
          <w:p w14:paraId="34C26E7C">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13.31</w:t>
            </w:r>
          </w:p>
        </w:tc>
        <w:tc>
          <w:tcPr>
            <w:tcW w:w="1030" w:type="pct"/>
            <w:tcBorders>
              <w:tl2br w:val="nil"/>
              <w:tr2bl w:val="nil"/>
            </w:tcBorders>
            <w:noWrap w:val="0"/>
            <w:vAlign w:val="center"/>
          </w:tcPr>
          <w:p w14:paraId="4A4E8996">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年</w:t>
            </w:r>
            <w:r>
              <w:rPr>
                <w:rFonts w:hint="eastAsia" w:cs="Times New Roman"/>
                <w:color w:val="000000" w:themeColor="text1"/>
                <w:szCs w:val="21"/>
                <w:lang w:val="en-US" w:eastAsia="zh-CN"/>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个月</w:t>
            </w:r>
          </w:p>
        </w:tc>
      </w:tr>
      <w:tr w14:paraId="0C00A4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0B59CD19">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w:t>
            </w:r>
          </w:p>
        </w:tc>
        <w:tc>
          <w:tcPr>
            <w:tcW w:w="1580" w:type="pct"/>
            <w:tcBorders>
              <w:tl2br w:val="nil"/>
              <w:tr2bl w:val="nil"/>
            </w:tcBorders>
            <w:noWrap w:val="0"/>
            <w:vAlign w:val="center"/>
          </w:tcPr>
          <w:p w14:paraId="1FD0ED42">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开拓方案</w:t>
            </w:r>
          </w:p>
        </w:tc>
        <w:tc>
          <w:tcPr>
            <w:tcW w:w="708" w:type="pct"/>
            <w:tcBorders>
              <w:tl2br w:val="nil"/>
              <w:tr2bl w:val="nil"/>
            </w:tcBorders>
            <w:noWrap w:val="0"/>
            <w:vAlign w:val="center"/>
          </w:tcPr>
          <w:p w14:paraId="39DC1BBD">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p>
        </w:tc>
        <w:tc>
          <w:tcPr>
            <w:tcW w:w="2316" w:type="pct"/>
            <w:gridSpan w:val="2"/>
            <w:tcBorders>
              <w:tl2br w:val="nil"/>
              <w:tr2bl w:val="nil"/>
            </w:tcBorders>
            <w:noWrap w:val="0"/>
            <w:vAlign w:val="center"/>
          </w:tcPr>
          <w:p w14:paraId="71FC933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竖井开拓</w:t>
            </w:r>
          </w:p>
        </w:tc>
      </w:tr>
      <w:tr w14:paraId="26E1A5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1E2DFA81">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p>
        </w:tc>
        <w:tc>
          <w:tcPr>
            <w:tcW w:w="1580" w:type="pct"/>
            <w:tcBorders>
              <w:tl2br w:val="nil"/>
              <w:tr2bl w:val="nil"/>
            </w:tcBorders>
            <w:noWrap w:val="0"/>
            <w:vAlign w:val="center"/>
          </w:tcPr>
          <w:p w14:paraId="3F02AE02">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采矿方法</w:t>
            </w:r>
          </w:p>
        </w:tc>
        <w:tc>
          <w:tcPr>
            <w:tcW w:w="708" w:type="pct"/>
            <w:tcBorders>
              <w:tl2br w:val="nil"/>
              <w:tr2bl w:val="nil"/>
            </w:tcBorders>
            <w:noWrap w:val="0"/>
            <w:vAlign w:val="center"/>
          </w:tcPr>
          <w:p w14:paraId="528D6B9D">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p>
        </w:tc>
        <w:tc>
          <w:tcPr>
            <w:tcW w:w="2316" w:type="pct"/>
            <w:gridSpan w:val="2"/>
            <w:tcBorders>
              <w:tl2br w:val="nil"/>
              <w:tr2bl w:val="nil"/>
            </w:tcBorders>
            <w:noWrap w:val="0"/>
            <w:vAlign w:val="center"/>
          </w:tcPr>
          <w:p w14:paraId="3C44DBA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无底柱分段崩落法</w:t>
            </w:r>
          </w:p>
        </w:tc>
      </w:tr>
      <w:tr w14:paraId="783DEA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12C70DD2">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w:t>
            </w:r>
          </w:p>
        </w:tc>
        <w:tc>
          <w:tcPr>
            <w:tcW w:w="1580" w:type="pct"/>
            <w:tcBorders>
              <w:tl2br w:val="nil"/>
              <w:tr2bl w:val="nil"/>
            </w:tcBorders>
            <w:noWrap w:val="0"/>
            <w:vAlign w:val="center"/>
          </w:tcPr>
          <w:p w14:paraId="13284DE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采矿回采率</w:t>
            </w:r>
          </w:p>
        </w:tc>
        <w:tc>
          <w:tcPr>
            <w:tcW w:w="708" w:type="pct"/>
            <w:tcBorders>
              <w:tl2br w:val="nil"/>
              <w:tr2bl w:val="nil"/>
            </w:tcBorders>
            <w:noWrap w:val="0"/>
            <w:vAlign w:val="center"/>
          </w:tcPr>
          <w:p w14:paraId="6C0EE74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1286" w:type="pct"/>
            <w:tcBorders>
              <w:tl2br w:val="nil"/>
              <w:tr2bl w:val="nil"/>
            </w:tcBorders>
            <w:noWrap w:val="0"/>
            <w:vAlign w:val="center"/>
          </w:tcPr>
          <w:p w14:paraId="0EC37E5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85.00</w:t>
            </w:r>
          </w:p>
        </w:tc>
        <w:tc>
          <w:tcPr>
            <w:tcW w:w="1030" w:type="pct"/>
            <w:tcBorders>
              <w:tl2br w:val="nil"/>
              <w:tr2bl w:val="nil"/>
            </w:tcBorders>
            <w:noWrap w:val="0"/>
            <w:vAlign w:val="center"/>
          </w:tcPr>
          <w:p w14:paraId="1DEB0152">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p>
        </w:tc>
      </w:tr>
      <w:tr w14:paraId="71F67E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1B01D996">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11</w:t>
            </w:r>
          </w:p>
        </w:tc>
        <w:tc>
          <w:tcPr>
            <w:tcW w:w="1580" w:type="pct"/>
            <w:tcBorders>
              <w:tl2br w:val="nil"/>
              <w:tr2bl w:val="nil"/>
            </w:tcBorders>
            <w:noWrap w:val="0"/>
            <w:vAlign w:val="center"/>
          </w:tcPr>
          <w:p w14:paraId="59A519F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采矿贫化率</w:t>
            </w:r>
          </w:p>
        </w:tc>
        <w:tc>
          <w:tcPr>
            <w:tcW w:w="708" w:type="pct"/>
            <w:tcBorders>
              <w:tl2br w:val="nil"/>
              <w:tr2bl w:val="nil"/>
            </w:tcBorders>
            <w:noWrap w:val="0"/>
            <w:vAlign w:val="center"/>
          </w:tcPr>
          <w:p w14:paraId="1E25301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1286" w:type="pct"/>
            <w:tcBorders>
              <w:tl2br w:val="nil"/>
              <w:tr2bl w:val="nil"/>
            </w:tcBorders>
            <w:noWrap w:val="0"/>
            <w:vAlign w:val="center"/>
          </w:tcPr>
          <w:p w14:paraId="4C475BD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10.00</w:t>
            </w:r>
          </w:p>
        </w:tc>
        <w:tc>
          <w:tcPr>
            <w:tcW w:w="1030" w:type="pct"/>
            <w:tcBorders>
              <w:tl2br w:val="nil"/>
              <w:tr2bl w:val="nil"/>
            </w:tcBorders>
            <w:noWrap w:val="0"/>
            <w:vAlign w:val="center"/>
          </w:tcPr>
          <w:p w14:paraId="091673B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p>
        </w:tc>
      </w:tr>
      <w:tr w14:paraId="071FAD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jc w:val="center"/>
        </w:trPr>
        <w:tc>
          <w:tcPr>
            <w:tcW w:w="394" w:type="pct"/>
            <w:tcBorders>
              <w:tl2br w:val="nil"/>
              <w:tr2bl w:val="nil"/>
            </w:tcBorders>
            <w:shd w:val="clear" w:color="auto" w:fill="auto"/>
            <w:noWrap w:val="0"/>
            <w:vAlign w:val="center"/>
          </w:tcPr>
          <w:p w14:paraId="7C78028B">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12</w:t>
            </w:r>
          </w:p>
        </w:tc>
        <w:tc>
          <w:tcPr>
            <w:tcW w:w="1580" w:type="pct"/>
            <w:tcBorders>
              <w:tl2br w:val="nil"/>
              <w:tr2bl w:val="nil"/>
            </w:tcBorders>
            <w:noWrap w:val="0"/>
            <w:vAlign w:val="center"/>
          </w:tcPr>
          <w:p w14:paraId="07A85B4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基建工程量</w:t>
            </w:r>
          </w:p>
        </w:tc>
        <w:tc>
          <w:tcPr>
            <w:tcW w:w="708" w:type="pct"/>
            <w:tcBorders>
              <w:tl2br w:val="nil"/>
              <w:tr2bl w:val="nil"/>
            </w:tcBorders>
            <w:noWrap w:val="0"/>
            <w:vAlign w:val="center"/>
          </w:tcPr>
          <w:p w14:paraId="11C84F6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vertAlign w:val="superscript"/>
                <w14:textFill>
                  <w14:solidFill>
                    <w14:schemeClr w14:val="tx1"/>
                  </w14:solidFill>
                </w14:textFill>
              </w:rPr>
              <w:t>3</w:t>
            </w:r>
          </w:p>
        </w:tc>
        <w:tc>
          <w:tcPr>
            <w:tcW w:w="1286" w:type="pct"/>
            <w:tcBorders>
              <w:tl2br w:val="nil"/>
              <w:tr2bl w:val="nil"/>
            </w:tcBorders>
            <w:noWrap w:val="0"/>
            <w:vAlign w:val="center"/>
          </w:tcPr>
          <w:p w14:paraId="28A01B0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46092</w:t>
            </w:r>
          </w:p>
        </w:tc>
        <w:tc>
          <w:tcPr>
            <w:tcW w:w="1030" w:type="pct"/>
            <w:tcBorders>
              <w:tl2br w:val="nil"/>
              <w:tr2bl w:val="nil"/>
            </w:tcBorders>
            <w:noWrap w:val="0"/>
            <w:vAlign w:val="center"/>
          </w:tcPr>
          <w:p w14:paraId="00882B16">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191892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4" w:type="pct"/>
            <w:tcBorders>
              <w:tl2br w:val="nil"/>
              <w:tr2bl w:val="nil"/>
            </w:tcBorders>
            <w:shd w:val="clear" w:color="auto" w:fill="auto"/>
            <w:noWrap w:val="0"/>
            <w:vAlign w:val="center"/>
          </w:tcPr>
          <w:p w14:paraId="152C8E6E">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13</w:t>
            </w:r>
          </w:p>
        </w:tc>
        <w:tc>
          <w:tcPr>
            <w:tcW w:w="1580" w:type="pct"/>
            <w:tcBorders>
              <w:tl2br w:val="nil"/>
              <w:tr2bl w:val="nil"/>
            </w:tcBorders>
            <w:noWrap w:val="0"/>
            <w:vAlign w:val="center"/>
          </w:tcPr>
          <w:p w14:paraId="090E212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基建期</w:t>
            </w:r>
          </w:p>
        </w:tc>
        <w:tc>
          <w:tcPr>
            <w:tcW w:w="708" w:type="pct"/>
            <w:tcBorders>
              <w:tl2br w:val="nil"/>
              <w:tr2bl w:val="nil"/>
            </w:tcBorders>
            <w:noWrap w:val="0"/>
            <w:vAlign w:val="center"/>
          </w:tcPr>
          <w:p w14:paraId="6849B36B">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a</w:t>
            </w:r>
          </w:p>
        </w:tc>
        <w:tc>
          <w:tcPr>
            <w:tcW w:w="1286" w:type="pct"/>
            <w:tcBorders>
              <w:tl2br w:val="nil"/>
              <w:tr2bl w:val="nil"/>
            </w:tcBorders>
            <w:noWrap w:val="0"/>
            <w:vAlign w:val="center"/>
          </w:tcPr>
          <w:p w14:paraId="460F42D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w:t>
            </w:r>
          </w:p>
        </w:tc>
        <w:tc>
          <w:tcPr>
            <w:tcW w:w="1030" w:type="pct"/>
            <w:tcBorders>
              <w:tl2br w:val="nil"/>
              <w:tr2bl w:val="nil"/>
            </w:tcBorders>
            <w:noWrap w:val="0"/>
            <w:vAlign w:val="center"/>
          </w:tcPr>
          <w:p w14:paraId="340938B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color w:val="000000" w:themeColor="text1"/>
                <w:szCs w:val="21"/>
                <w14:textFill>
                  <w14:solidFill>
                    <w14:schemeClr w14:val="tx1"/>
                  </w14:solidFill>
                </w14:textFill>
              </w:rPr>
            </w:pPr>
          </w:p>
        </w:tc>
      </w:tr>
      <w:bookmarkEnd w:id="310"/>
    </w:tbl>
    <w:p w14:paraId="50E8703A">
      <w:pPr>
        <w:pStyle w:val="4"/>
        <w:spacing w:before="60" w:after="60" w:line="480" w:lineRule="exact"/>
        <w:rPr>
          <w:color w:val="000000" w:themeColor="text1"/>
          <w:kern w:val="2"/>
          <w14:textFill>
            <w14:solidFill>
              <w14:schemeClr w14:val="tx1"/>
            </w14:solidFill>
          </w14:textFill>
        </w:rPr>
      </w:pPr>
      <w:bookmarkStart w:id="312" w:name="_Toc12114"/>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2</w:t>
      </w:r>
      <w:r>
        <w:rPr>
          <w:rFonts w:hint="eastAsia"/>
          <w:color w:val="000000" w:themeColor="text1"/>
          <w14:textFill>
            <w14:solidFill>
              <w14:schemeClr w14:val="tx1"/>
            </w14:solidFill>
          </w14:textFill>
        </w:rPr>
        <w:t>工艺流程及产污节点</w:t>
      </w:r>
      <w:bookmarkEnd w:id="312"/>
    </w:p>
    <w:p w14:paraId="3164ADC2">
      <w:pPr>
        <w:pStyle w:val="18"/>
        <w:spacing w:line="480" w:lineRule="exact"/>
        <w:ind w:firstLine="480"/>
        <w:rPr>
          <w:rFonts w:hint="default"/>
          <w:color w:val="000000" w:themeColor="text1"/>
          <w:sz w:val="24"/>
          <w:szCs w:val="28"/>
          <w:lang w:val="en-US" w:eastAsia="zh-CN"/>
          <w14:textFill>
            <w14:solidFill>
              <w14:schemeClr w14:val="tx1"/>
            </w14:solidFill>
          </w14:textFill>
        </w:rPr>
      </w:pPr>
      <w:r>
        <w:rPr>
          <w:rFonts w:hint="eastAsia"/>
          <w:color w:val="000000" w:themeColor="text1"/>
          <w:sz w:val="24"/>
          <w:szCs w:val="28"/>
          <w14:textFill>
            <w14:solidFill>
              <w14:schemeClr w14:val="tx1"/>
            </w14:solidFill>
          </w14:textFill>
        </w:rPr>
        <w:t>本项目</w:t>
      </w:r>
      <w:r>
        <w:rPr>
          <w:rFonts w:hint="eastAsia"/>
          <w:color w:val="000000" w:themeColor="text1"/>
          <w:sz w:val="24"/>
          <w:szCs w:val="28"/>
          <w:lang w:val="en-US" w:eastAsia="zh-CN"/>
          <w14:textFill>
            <w14:solidFill>
              <w14:schemeClr w14:val="tx1"/>
            </w14:solidFill>
          </w14:textFill>
        </w:rPr>
        <w:t>为采矿工程，不涉及选矿和矿石加工，工艺流程相对较简单。生产工艺流程主要包括：采切工程、回采、出矿。</w:t>
      </w:r>
    </w:p>
    <w:p w14:paraId="28B9E97E">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1</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采准切割</w:t>
      </w:r>
    </w:p>
    <w:p w14:paraId="1CF05B5A">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采切工程包括中段运输巷道、采准天井、联络道、拉底巷道及出矿穿等。设计中段运输巷道布置在矿体下盘。矿体两侧向上掘进脉内采准天井，与上部中段巷道贯通，天井内设人行梯。沿天井垂直方向每隔5m向两侧掘进联络道，采场两端联络道在高程上错开布置，随着回采工作面的逐步提高，各联络道与两边矿房依次贯通。回采作业的全过程中，必须确保采场两侧的联络道有两个以上随时保持畅通，以满足作业人员进出采场及通风需要。在沿脉运输巷道中靠近矿体下盘侧,每隔5m沿脉运输巷道内向矿体掘进出矿穿脉，出矿穿与沿脉运输平巷之间夹角为90°，每个矿块布置6～7条出矿进路；在矿块底部沿矿体走向掘进拉底平巷，作为矿房回采自由面。采准、切割采用YT28型凿岩机。</w:t>
      </w:r>
    </w:p>
    <w:p w14:paraId="015568B7">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回采：矿房回采分梯段进行，用YT28型凿岩机凿上向或倾斜炮孔，人工装药方式装药。装药爆破后将矿房内崩落的矿石放出三分之一左右，使采场工作面保持有2.0～2.5m的凿岩空间。局部出矿后检查顶板，处理浮石，平整场地，为下一循环做好准备。崩落的矿石大块在采场中进行裸露药包二次破碎，出矿块度≤350mm。</w:t>
      </w:r>
    </w:p>
    <w:p w14:paraId="57F087F6">
      <w:pPr>
        <w:pStyle w:val="18"/>
        <w:spacing w:line="480" w:lineRule="exact"/>
        <w:ind w:firstLine="480"/>
        <w:rPr>
          <w:rFonts w:hint="eastAsia" w:eastAsia="宋体"/>
          <w:color w:val="000000" w:themeColor="text1"/>
          <w:sz w:val="24"/>
          <w:szCs w:val="28"/>
          <w:lang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2</w:t>
      </w:r>
      <w:r>
        <w:rPr>
          <w:rFonts w:hint="eastAsia"/>
          <w:color w:val="000000" w:themeColor="text1"/>
          <w:sz w:val="24"/>
          <w:szCs w:val="28"/>
          <w:lang w:eastAsia="zh-CN"/>
          <w14:textFill>
            <w14:solidFill>
              <w14:schemeClr w14:val="tx1"/>
            </w14:solidFill>
          </w14:textFill>
        </w:rPr>
        <w:t>）回采</w:t>
      </w:r>
    </w:p>
    <w:p w14:paraId="3C69F62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房回采分梯段进行，用YT28型凿岩机凿上向或倾斜炮孔，人工装药方式装药。装药爆破后将矿房内崩落的矿石放出三分之一左右，使采场工作面保持有2.0～2.5m的凿岩空间。局部出矿后检查顶板，处理浮石，平整场地，为下一循环做好准备。崩落的矿石大块在采场中进行裸露药包二次破碎，出矿块度≤350mm。回采作业工序包括两个部分：</w:t>
      </w:r>
    </w:p>
    <w:p w14:paraId="19FEBFB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a、回采工作面检查及撬顶以清除浮石、采场平整、凿岩、装药、爆破及通风。矿房回采自下而上分层进行，浅孔凿岩，打水平或上向孔。孔径38～42mm，孔距0.8m，排距为0.8m，孔深2.0m，梅花型布孔，起爆器+导爆管+2号岩石硝铵炸药爆破。回采作业需要注意的问题，一是严格控制开采界限，最大限度降低贫化；二是严格控制落矿块度，避免出矿时堵塞，造成出矿困难。</w:t>
      </w:r>
    </w:p>
    <w:p w14:paraId="7BD6D972">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b、矿房回采自拉底平巷开始，回采宽度为矿体厚度。矿石在爆破作用下破碎后，所占空间扩大约50%。为了保证采场凿岩、爆破及通风工作提供合适的作业空间，每次爆破后放出爆下矿石的三分之一左右，其余矿石暂留矿房作为回采凿岩时的工作平台，同时也可起到支撑顶底板的作用。出矿时采用P15B耙斗装岩机装入运输平巷矿车中运出平巷，出矿作业时间应与采场凿岩作业时间错开，严禁同时作业，以避免引起采场作业人员埋没事故发生。矿房留3m顶柱，间柱6m，在矿房顶板稳固性较差时，可在矿房内留若干矿柱，以保证顶板稳定。</w:t>
      </w:r>
    </w:p>
    <w:p w14:paraId="7263AE05">
      <w:pPr>
        <w:pStyle w:val="18"/>
        <w:spacing w:line="480" w:lineRule="exact"/>
        <w:ind w:firstLine="480"/>
        <w:rPr>
          <w:rFonts w:hint="eastAsia" w:eastAsia="宋体"/>
          <w:color w:val="000000" w:themeColor="text1"/>
          <w:sz w:val="24"/>
          <w:szCs w:val="28"/>
          <w:lang w:eastAsia="zh-CN"/>
          <w14:textFill>
            <w14:solidFill>
              <w14:schemeClr w14:val="tx1"/>
            </w14:solidFill>
          </w14:textFill>
        </w:rPr>
      </w:pP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3</w:t>
      </w:r>
      <w:r>
        <w:rPr>
          <w:rFonts w:hint="eastAsia"/>
          <w:color w:val="000000" w:themeColor="text1"/>
          <w:sz w:val="24"/>
          <w:szCs w:val="28"/>
          <w:lang w:eastAsia="zh-CN"/>
          <w14:textFill>
            <w14:solidFill>
              <w14:schemeClr w14:val="tx1"/>
            </w14:solidFill>
          </w14:textFill>
        </w:rPr>
        <w:t>）出矿</w:t>
      </w:r>
    </w:p>
    <w:p w14:paraId="767CBE80">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房回采结束后，应组织集中出矿。集中出矿是浅孔留矿法采矿的重要环节，组织的好坏对出矿质量有很大影响，一般在回采结束后，立即组织，存矿量不宜存放时间过长，避免采场围岩因暴露时间过长塌落而引起矿石贫化，或大块围岩塌落堵塞，使采场中部分矿石无法放出或放出不经济而引起的矿石损失。</w:t>
      </w:r>
    </w:p>
    <w:p w14:paraId="1FAE216A">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开采工艺流程及排污节点见图3.</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w:t>
      </w:r>
      <w:r>
        <w:rPr>
          <w:rFonts w:hint="eastAsia"/>
          <w:color w:val="000000" w:themeColor="text1"/>
          <w:sz w:val="24"/>
          <w:szCs w:val="28"/>
          <w14:textFill>
            <w14:solidFill>
              <w14:schemeClr w14:val="tx1"/>
            </w14:solidFill>
          </w14:textFill>
        </w:rPr>
        <w:t>，产污节点统计见表3.</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-4。</w:t>
      </w:r>
    </w:p>
    <w:p w14:paraId="6C8DB1FC">
      <w:pPr>
        <w:pStyle w:val="18"/>
        <w:keepNext w:val="0"/>
        <w:keepLines w:val="0"/>
        <w:pageBreakBefore w:val="0"/>
        <w:widowControl w:val="0"/>
        <w:kinsoku/>
        <w:wordWrap/>
        <w:overflowPunct/>
        <w:topLinePunct w:val="0"/>
        <w:autoSpaceDE/>
        <w:autoSpaceDN/>
        <w:bidi w:val="0"/>
        <w:adjustRightInd/>
        <w:snapToGrid/>
        <w:spacing w:line="240" w:lineRule="auto"/>
        <w:ind w:left="-420" w:leftChars="-200" w:right="-420" w:rightChars="-200" w:firstLine="0" w:firstLineChars="0"/>
        <w:jc w:val="center"/>
        <w:textAlignment w:val="auto"/>
        <w:rPr>
          <w:rFonts w:hint="eastAsia" w:eastAsia="宋体"/>
          <w:color w:val="000000" w:themeColor="text1"/>
          <w:sz w:val="24"/>
          <w:szCs w:val="28"/>
          <w:lang w:eastAsia="zh-CN"/>
          <w14:textFill>
            <w14:solidFill>
              <w14:schemeClr w14:val="tx1"/>
            </w14:solidFill>
          </w14:textFill>
        </w:rPr>
      </w:pPr>
    </w:p>
    <w:p w14:paraId="1CA49582">
      <w:pPr>
        <w:rPr>
          <w:rFonts w:hint="eastAsia" w:eastAsia="宋体"/>
          <w:color w:val="000000" w:themeColor="text1"/>
          <w:sz w:val="24"/>
          <w:szCs w:val="28"/>
          <w:lang w:eastAsia="zh-CN"/>
          <w14:textFill>
            <w14:solidFill>
              <w14:schemeClr w14:val="tx1"/>
            </w14:solidFill>
          </w14:textFill>
        </w:rPr>
      </w:pPr>
    </w:p>
    <w:p w14:paraId="36CA4D36">
      <w:pPr>
        <w:rPr>
          <w:rFonts w:hint="eastAsia" w:eastAsia="宋体"/>
          <w:color w:val="000000" w:themeColor="text1"/>
          <w:sz w:val="24"/>
          <w:szCs w:val="28"/>
          <w:lang w:eastAsia="zh-CN"/>
          <w14:textFill>
            <w14:solidFill>
              <w14:schemeClr w14:val="tx1"/>
            </w14:solidFill>
          </w14:textFill>
        </w:rPr>
      </w:pPr>
    </w:p>
    <w:p w14:paraId="34AF7A19">
      <w:pPr>
        <w:rPr>
          <w:rFonts w:hint="eastAsia" w:eastAsia="宋体"/>
          <w:color w:val="000000" w:themeColor="text1"/>
          <w:sz w:val="24"/>
          <w:szCs w:val="28"/>
          <w:lang w:eastAsia="zh-CN"/>
          <w14:textFill>
            <w14:solidFill>
              <w14:schemeClr w14:val="tx1"/>
            </w14:solidFill>
          </w14:textFill>
        </w:rPr>
      </w:pPr>
    </w:p>
    <w:p w14:paraId="3DF7FA24">
      <w:pPr>
        <w:rPr>
          <w:rFonts w:hint="eastAsia" w:eastAsia="宋体"/>
          <w:color w:val="000000" w:themeColor="text1"/>
          <w:sz w:val="24"/>
          <w:szCs w:val="28"/>
          <w:lang w:eastAsia="zh-CN"/>
          <w14:textFill>
            <w14:solidFill>
              <w14:schemeClr w14:val="tx1"/>
            </w14:solidFill>
          </w14:textFill>
        </w:rPr>
      </w:pPr>
    </w:p>
    <w:p w14:paraId="3BFA03B4">
      <w:pPr>
        <w:rPr>
          <w:rFonts w:hint="eastAsia" w:eastAsia="宋体"/>
          <w:color w:val="000000" w:themeColor="text1"/>
          <w:sz w:val="24"/>
          <w:szCs w:val="28"/>
          <w:lang w:eastAsia="zh-CN"/>
          <w14:textFill>
            <w14:solidFill>
              <w14:schemeClr w14:val="tx1"/>
            </w14:solidFill>
          </w14:textFill>
        </w:rPr>
      </w:pPr>
    </w:p>
    <w:p w14:paraId="7BFB07CE">
      <w:pPr>
        <w:rPr>
          <w:rFonts w:hint="eastAsia" w:eastAsia="宋体"/>
          <w:color w:val="000000" w:themeColor="text1"/>
          <w:sz w:val="24"/>
          <w:szCs w:val="28"/>
          <w:lang w:eastAsia="zh-CN"/>
          <w14:textFill>
            <w14:solidFill>
              <w14:schemeClr w14:val="tx1"/>
            </w14:solidFill>
          </w14:textFill>
        </w:rPr>
      </w:pPr>
    </w:p>
    <w:p w14:paraId="7005DDF4">
      <w:pPr>
        <w:rPr>
          <w:rFonts w:hint="eastAsia" w:eastAsia="宋体"/>
          <w:color w:val="000000" w:themeColor="text1"/>
          <w:sz w:val="24"/>
          <w:szCs w:val="28"/>
          <w:lang w:eastAsia="zh-CN"/>
          <w14:textFill>
            <w14:solidFill>
              <w14:schemeClr w14:val="tx1"/>
            </w14:solidFill>
          </w14:textFill>
        </w:rPr>
      </w:pPr>
    </w:p>
    <w:p w14:paraId="68B2AADC">
      <w:pPr>
        <w:pStyle w:val="18"/>
        <w:spacing w:line="480" w:lineRule="exact"/>
        <w:ind w:firstLine="0" w:firstLineChars="0"/>
        <w:jc w:val="center"/>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图3.</w:t>
      </w:r>
      <w:r>
        <w:rPr>
          <w:b/>
          <w:bCs/>
          <w:color w:val="000000" w:themeColor="text1"/>
          <w:sz w:val="24"/>
          <w:szCs w:val="28"/>
          <w14:textFill>
            <w14:solidFill>
              <w14:schemeClr w14:val="tx1"/>
            </w14:solidFill>
          </w14:textFill>
        </w:rPr>
        <w:t>3</w:t>
      </w:r>
      <w:r>
        <w:rPr>
          <w:rFonts w:hint="eastAsia"/>
          <w:b/>
          <w:bCs/>
          <w:color w:val="000000" w:themeColor="text1"/>
          <w:sz w:val="24"/>
          <w:szCs w:val="28"/>
          <w14:textFill>
            <w14:solidFill>
              <w14:schemeClr w14:val="tx1"/>
            </w14:solidFill>
          </w14:textFill>
        </w:rPr>
        <w:t>-</w:t>
      </w:r>
      <w:r>
        <w:rPr>
          <w:b/>
          <w:bCs/>
          <w:color w:val="000000" w:themeColor="text1"/>
          <w:sz w:val="24"/>
          <w:szCs w:val="28"/>
          <w14:textFill>
            <w14:solidFill>
              <w14:schemeClr w14:val="tx1"/>
            </w14:solidFill>
          </w14:textFill>
        </w:rPr>
        <w:t>1</w:t>
      </w:r>
      <w:r>
        <w:rPr>
          <w:rFonts w:hint="eastAsia"/>
          <w:b/>
          <w:bCs/>
          <w:color w:val="000000" w:themeColor="text1"/>
          <w:sz w:val="24"/>
          <w:szCs w:val="28"/>
          <w14:textFill>
            <w14:solidFill>
              <w14:schemeClr w14:val="tx1"/>
            </w14:solidFill>
          </w14:textFill>
        </w:rPr>
        <w:t xml:space="preserve">    本项目开采工艺流程及排污节点示意图</w:t>
      </w:r>
    </w:p>
    <w:p w14:paraId="75B1C77D">
      <w:pPr>
        <w:pStyle w:val="18"/>
        <w:spacing w:line="480" w:lineRule="exact"/>
        <w:ind w:firstLine="0" w:firstLineChars="0"/>
        <w:jc w:val="center"/>
        <w:rPr>
          <w:rFonts w:hint="eastAsia"/>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表3.</w:t>
      </w:r>
      <w:r>
        <w:rPr>
          <w:b/>
          <w:bCs/>
          <w:color w:val="000000" w:themeColor="text1"/>
          <w:sz w:val="24"/>
          <w:szCs w:val="28"/>
          <w14:textFill>
            <w14:solidFill>
              <w14:schemeClr w14:val="tx1"/>
            </w14:solidFill>
          </w14:textFill>
        </w:rPr>
        <w:t>3</w:t>
      </w:r>
      <w:r>
        <w:rPr>
          <w:rFonts w:hint="eastAsia"/>
          <w:b/>
          <w:bCs/>
          <w:color w:val="000000" w:themeColor="text1"/>
          <w:sz w:val="24"/>
          <w:szCs w:val="28"/>
          <w14:textFill>
            <w14:solidFill>
              <w14:schemeClr w14:val="tx1"/>
            </w14:solidFill>
          </w14:textFill>
        </w:rPr>
        <w:t>-4    本项目产污节点统计表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641"/>
        <w:gridCol w:w="2921"/>
        <w:gridCol w:w="2634"/>
        <w:gridCol w:w="1610"/>
      </w:tblGrid>
      <w:tr w14:paraId="089E7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noWrap w:val="0"/>
            <w:vAlign w:val="center"/>
          </w:tcPr>
          <w:p w14:paraId="67BBC67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类型</w:t>
            </w:r>
          </w:p>
        </w:tc>
        <w:tc>
          <w:tcPr>
            <w:tcW w:w="376" w:type="pct"/>
            <w:noWrap w:val="0"/>
            <w:vAlign w:val="center"/>
          </w:tcPr>
          <w:p w14:paraId="1AF5592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序号</w:t>
            </w:r>
          </w:p>
        </w:tc>
        <w:tc>
          <w:tcPr>
            <w:tcW w:w="1713" w:type="pct"/>
            <w:noWrap w:val="0"/>
            <w:vAlign w:val="center"/>
          </w:tcPr>
          <w:p w14:paraId="729FFDE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产污节点</w:t>
            </w:r>
          </w:p>
        </w:tc>
        <w:tc>
          <w:tcPr>
            <w:tcW w:w="1545" w:type="pct"/>
            <w:noWrap w:val="0"/>
            <w:vAlign w:val="center"/>
          </w:tcPr>
          <w:p w14:paraId="3E903D1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主要污染物</w:t>
            </w:r>
          </w:p>
        </w:tc>
        <w:tc>
          <w:tcPr>
            <w:tcW w:w="944" w:type="pct"/>
            <w:noWrap w:val="0"/>
            <w:vAlign w:val="center"/>
          </w:tcPr>
          <w:p w14:paraId="645949B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备注</w:t>
            </w:r>
          </w:p>
        </w:tc>
      </w:tr>
      <w:tr w14:paraId="691FE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restart"/>
            <w:noWrap w:val="0"/>
            <w:vAlign w:val="center"/>
          </w:tcPr>
          <w:p w14:paraId="3D9D880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大气污染</w:t>
            </w:r>
          </w:p>
        </w:tc>
        <w:tc>
          <w:tcPr>
            <w:tcW w:w="376" w:type="pct"/>
            <w:noWrap w:val="0"/>
            <w:vAlign w:val="center"/>
          </w:tcPr>
          <w:p w14:paraId="64512E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G1</w:t>
            </w:r>
          </w:p>
        </w:tc>
        <w:tc>
          <w:tcPr>
            <w:tcW w:w="1713" w:type="pct"/>
            <w:noWrap w:val="0"/>
            <w:vAlign w:val="center"/>
          </w:tcPr>
          <w:p w14:paraId="1AE2AE5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采切工程、回采</w:t>
            </w:r>
          </w:p>
        </w:tc>
        <w:tc>
          <w:tcPr>
            <w:tcW w:w="1545" w:type="pct"/>
            <w:noWrap w:val="0"/>
            <w:vAlign w:val="center"/>
          </w:tcPr>
          <w:p w14:paraId="722A863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粉尘、爆破废气</w:t>
            </w:r>
          </w:p>
        </w:tc>
        <w:tc>
          <w:tcPr>
            <w:tcW w:w="944" w:type="pct"/>
            <w:noWrap w:val="0"/>
            <w:vAlign w:val="center"/>
          </w:tcPr>
          <w:p w14:paraId="1E9C2C6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井下作业</w:t>
            </w:r>
          </w:p>
        </w:tc>
      </w:tr>
      <w:tr w14:paraId="0F052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noWrap w:val="0"/>
            <w:vAlign w:val="center"/>
          </w:tcPr>
          <w:p w14:paraId="74D680A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3EF9CD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G2</w:t>
            </w:r>
          </w:p>
        </w:tc>
        <w:tc>
          <w:tcPr>
            <w:tcW w:w="1713" w:type="pct"/>
            <w:noWrap w:val="0"/>
            <w:vAlign w:val="center"/>
          </w:tcPr>
          <w:p w14:paraId="62A19E7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出矿</w:t>
            </w:r>
          </w:p>
        </w:tc>
        <w:tc>
          <w:tcPr>
            <w:tcW w:w="1545" w:type="pct"/>
            <w:noWrap w:val="0"/>
            <w:vAlign w:val="center"/>
          </w:tcPr>
          <w:p w14:paraId="23F1AC2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粉尘</w:t>
            </w:r>
          </w:p>
        </w:tc>
        <w:tc>
          <w:tcPr>
            <w:tcW w:w="944" w:type="pct"/>
            <w:noWrap w:val="0"/>
            <w:vAlign w:val="center"/>
          </w:tcPr>
          <w:p w14:paraId="0A7666E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井下作业</w:t>
            </w:r>
          </w:p>
        </w:tc>
      </w:tr>
      <w:tr w14:paraId="0A5D6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noWrap w:val="0"/>
            <w:vAlign w:val="center"/>
          </w:tcPr>
          <w:p w14:paraId="4E854F4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2B09BA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G3</w:t>
            </w:r>
          </w:p>
        </w:tc>
        <w:tc>
          <w:tcPr>
            <w:tcW w:w="1713" w:type="pct"/>
            <w:noWrap w:val="0"/>
            <w:vAlign w:val="center"/>
          </w:tcPr>
          <w:p w14:paraId="588326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原矿堆放</w:t>
            </w:r>
          </w:p>
        </w:tc>
        <w:tc>
          <w:tcPr>
            <w:tcW w:w="1545" w:type="pct"/>
            <w:noWrap w:val="0"/>
            <w:vAlign w:val="center"/>
          </w:tcPr>
          <w:p w14:paraId="16DB15A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粉尘</w:t>
            </w:r>
          </w:p>
        </w:tc>
        <w:tc>
          <w:tcPr>
            <w:tcW w:w="944" w:type="pct"/>
            <w:noWrap w:val="0"/>
            <w:vAlign w:val="center"/>
          </w:tcPr>
          <w:p w14:paraId="4BCD1F7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r>
      <w:tr w14:paraId="2E8AE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noWrap w:val="0"/>
            <w:vAlign w:val="center"/>
          </w:tcPr>
          <w:p w14:paraId="41B07E9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7F53B2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G4</w:t>
            </w:r>
          </w:p>
        </w:tc>
        <w:tc>
          <w:tcPr>
            <w:tcW w:w="1713" w:type="pct"/>
            <w:noWrap w:val="0"/>
            <w:vAlign w:val="center"/>
          </w:tcPr>
          <w:p w14:paraId="22F024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废石堆放</w:t>
            </w:r>
          </w:p>
        </w:tc>
        <w:tc>
          <w:tcPr>
            <w:tcW w:w="1545" w:type="pct"/>
            <w:noWrap w:val="0"/>
            <w:vAlign w:val="center"/>
          </w:tcPr>
          <w:p w14:paraId="394F430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粉尘</w:t>
            </w:r>
          </w:p>
        </w:tc>
        <w:tc>
          <w:tcPr>
            <w:tcW w:w="944" w:type="pct"/>
            <w:noWrap w:val="0"/>
            <w:vAlign w:val="center"/>
          </w:tcPr>
          <w:p w14:paraId="4805690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r>
      <w:tr w14:paraId="28CAD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noWrap w:val="0"/>
            <w:vAlign w:val="center"/>
          </w:tcPr>
          <w:p w14:paraId="34E2B41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2C238B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G5</w:t>
            </w:r>
          </w:p>
        </w:tc>
        <w:tc>
          <w:tcPr>
            <w:tcW w:w="1713" w:type="pct"/>
            <w:noWrap w:val="0"/>
            <w:vAlign w:val="center"/>
          </w:tcPr>
          <w:p w14:paraId="1C5B0024">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柴油设备</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柴油发电机备用</w:t>
            </w:r>
            <w:r>
              <w:rPr>
                <w:rFonts w:hint="eastAsia" w:cs="Times New Roman"/>
                <w:color w:val="000000" w:themeColor="text1"/>
                <w:szCs w:val="21"/>
                <w:lang w:eastAsia="zh-CN"/>
                <w14:textFill>
                  <w14:solidFill>
                    <w14:schemeClr w14:val="tx1"/>
                  </w14:solidFill>
                </w14:textFill>
              </w:rPr>
              <w:t>）</w:t>
            </w:r>
          </w:p>
        </w:tc>
        <w:tc>
          <w:tcPr>
            <w:tcW w:w="1545" w:type="pct"/>
            <w:noWrap w:val="0"/>
            <w:vAlign w:val="center"/>
          </w:tcPr>
          <w:p w14:paraId="3297424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CO、NOx、THC、SO</w:t>
            </w:r>
            <w:r>
              <w:rPr>
                <w:rFonts w:hint="eastAsia" w:ascii="Times New Roman" w:hAnsi="Times New Roman" w:cs="Times New Roman"/>
                <w:color w:val="000000" w:themeColor="text1"/>
                <w:szCs w:val="21"/>
                <w:vertAlign w:val="subscript"/>
                <w14:textFill>
                  <w14:solidFill>
                    <w14:schemeClr w14:val="tx1"/>
                  </w14:solidFill>
                </w14:textFill>
              </w:rPr>
              <w:t>2</w:t>
            </w:r>
          </w:p>
        </w:tc>
        <w:tc>
          <w:tcPr>
            <w:tcW w:w="944" w:type="pct"/>
            <w:noWrap w:val="0"/>
            <w:vAlign w:val="center"/>
          </w:tcPr>
          <w:p w14:paraId="29F7E29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柴油燃烧废气</w:t>
            </w:r>
          </w:p>
        </w:tc>
      </w:tr>
      <w:tr w14:paraId="298BF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restart"/>
            <w:noWrap w:val="0"/>
            <w:vAlign w:val="center"/>
          </w:tcPr>
          <w:p w14:paraId="4750F5D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水污染</w:t>
            </w:r>
          </w:p>
        </w:tc>
        <w:tc>
          <w:tcPr>
            <w:tcW w:w="376" w:type="pct"/>
            <w:noWrap w:val="0"/>
            <w:vAlign w:val="center"/>
          </w:tcPr>
          <w:p w14:paraId="0617F94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W1</w:t>
            </w:r>
          </w:p>
        </w:tc>
        <w:tc>
          <w:tcPr>
            <w:tcW w:w="1713" w:type="pct"/>
            <w:noWrap w:val="0"/>
            <w:vAlign w:val="center"/>
          </w:tcPr>
          <w:p w14:paraId="4B27E6FA">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矿井涌水</w:t>
            </w:r>
          </w:p>
        </w:tc>
        <w:tc>
          <w:tcPr>
            <w:tcW w:w="1545" w:type="pct"/>
            <w:noWrap w:val="0"/>
            <w:vAlign w:val="center"/>
          </w:tcPr>
          <w:p w14:paraId="65B4719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SS</w:t>
            </w:r>
          </w:p>
        </w:tc>
        <w:tc>
          <w:tcPr>
            <w:tcW w:w="944" w:type="pct"/>
            <w:noWrap w:val="0"/>
            <w:vAlign w:val="center"/>
          </w:tcPr>
          <w:p w14:paraId="3D29838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r>
      <w:tr w14:paraId="62142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79BDCE5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0978BD7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W2</w:t>
            </w:r>
          </w:p>
        </w:tc>
        <w:tc>
          <w:tcPr>
            <w:tcW w:w="1713" w:type="pct"/>
            <w:noWrap w:val="0"/>
            <w:vAlign w:val="center"/>
          </w:tcPr>
          <w:p w14:paraId="5802B97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生活污水</w:t>
            </w:r>
          </w:p>
        </w:tc>
        <w:tc>
          <w:tcPr>
            <w:tcW w:w="1545" w:type="pct"/>
            <w:noWrap w:val="0"/>
            <w:vAlign w:val="center"/>
          </w:tcPr>
          <w:p w14:paraId="0448096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COD、BOD</w:t>
            </w:r>
            <w:r>
              <w:rPr>
                <w:rFonts w:hint="eastAsia" w:ascii="Times New Roman" w:hAnsi="Times New Roman" w:cs="Times New Roman"/>
                <w:color w:val="000000" w:themeColor="text1"/>
                <w:szCs w:val="21"/>
                <w:vertAlign w:val="subscript"/>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、SS、氨氮</w:t>
            </w:r>
          </w:p>
        </w:tc>
        <w:tc>
          <w:tcPr>
            <w:tcW w:w="944" w:type="pct"/>
            <w:noWrap w:val="0"/>
            <w:vAlign w:val="center"/>
          </w:tcPr>
          <w:p w14:paraId="71629E6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r>
      <w:tr w14:paraId="3FAC1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2C8D234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41ADA8E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w:t>
            </w:r>
            <w:r>
              <w:rPr>
                <w:rFonts w:hint="default" w:ascii="Times New Roman" w:hAnsi="Times New Roman" w:cs="Times New Roman"/>
                <w:color w:val="000000" w:themeColor="text1"/>
                <w:szCs w:val="21"/>
                <w14:textFill>
                  <w14:solidFill>
                    <w14:schemeClr w14:val="tx1"/>
                  </w14:solidFill>
                </w14:textFill>
              </w:rPr>
              <w:t>3</w:t>
            </w:r>
          </w:p>
        </w:tc>
        <w:tc>
          <w:tcPr>
            <w:tcW w:w="1713" w:type="pct"/>
            <w:noWrap w:val="0"/>
            <w:vAlign w:val="center"/>
          </w:tcPr>
          <w:p w14:paraId="1BC924CA">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废石堆场</w:t>
            </w:r>
          </w:p>
        </w:tc>
        <w:tc>
          <w:tcPr>
            <w:tcW w:w="1545" w:type="pct"/>
            <w:noWrap w:val="0"/>
            <w:vAlign w:val="center"/>
          </w:tcPr>
          <w:p w14:paraId="2E9A1C9F">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砷</w:t>
            </w:r>
          </w:p>
        </w:tc>
        <w:tc>
          <w:tcPr>
            <w:tcW w:w="944" w:type="pct"/>
            <w:noWrap w:val="0"/>
            <w:vAlign w:val="center"/>
          </w:tcPr>
          <w:p w14:paraId="4DB25BC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淋溶废水</w:t>
            </w:r>
          </w:p>
        </w:tc>
      </w:tr>
      <w:tr w14:paraId="76742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restart"/>
            <w:noWrap w:val="0"/>
            <w:vAlign w:val="center"/>
          </w:tcPr>
          <w:p w14:paraId="33AB85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噪声污染</w:t>
            </w:r>
          </w:p>
        </w:tc>
        <w:tc>
          <w:tcPr>
            <w:tcW w:w="376" w:type="pct"/>
            <w:noWrap w:val="0"/>
            <w:vAlign w:val="center"/>
          </w:tcPr>
          <w:p w14:paraId="291474F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N1</w:t>
            </w:r>
          </w:p>
        </w:tc>
        <w:tc>
          <w:tcPr>
            <w:tcW w:w="1713" w:type="pct"/>
            <w:noWrap w:val="0"/>
            <w:vAlign w:val="center"/>
          </w:tcPr>
          <w:p w14:paraId="2DB2ECD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凿岩爆破</w:t>
            </w:r>
          </w:p>
        </w:tc>
        <w:tc>
          <w:tcPr>
            <w:tcW w:w="1545" w:type="pct"/>
            <w:noWrap w:val="0"/>
            <w:vAlign w:val="center"/>
          </w:tcPr>
          <w:p w14:paraId="6C402DD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噪声</w:t>
            </w:r>
          </w:p>
        </w:tc>
        <w:tc>
          <w:tcPr>
            <w:tcW w:w="944" w:type="pct"/>
            <w:noWrap w:val="0"/>
            <w:vAlign w:val="center"/>
          </w:tcPr>
          <w:p w14:paraId="2727BE1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采矿机械、爆破</w:t>
            </w:r>
          </w:p>
        </w:tc>
      </w:tr>
      <w:tr w14:paraId="0779D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702F93E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4EE5408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N2</w:t>
            </w:r>
          </w:p>
        </w:tc>
        <w:tc>
          <w:tcPr>
            <w:tcW w:w="1713" w:type="pct"/>
            <w:noWrap w:val="0"/>
            <w:vAlign w:val="center"/>
          </w:tcPr>
          <w:p w14:paraId="48FE752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运矿</w:t>
            </w:r>
          </w:p>
        </w:tc>
        <w:tc>
          <w:tcPr>
            <w:tcW w:w="1545" w:type="pct"/>
            <w:noWrap w:val="0"/>
            <w:vAlign w:val="center"/>
          </w:tcPr>
          <w:p w14:paraId="4812A9B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噪声</w:t>
            </w:r>
          </w:p>
        </w:tc>
        <w:tc>
          <w:tcPr>
            <w:tcW w:w="944" w:type="pct"/>
            <w:noWrap w:val="0"/>
            <w:vAlign w:val="center"/>
          </w:tcPr>
          <w:p w14:paraId="05C1BF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装卸、运输设备</w:t>
            </w:r>
          </w:p>
        </w:tc>
      </w:tr>
      <w:tr w14:paraId="074EA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63F5E35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4D8F29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N3</w:t>
            </w:r>
          </w:p>
        </w:tc>
        <w:tc>
          <w:tcPr>
            <w:tcW w:w="1713" w:type="pct"/>
            <w:noWrap w:val="0"/>
            <w:vAlign w:val="center"/>
          </w:tcPr>
          <w:p w14:paraId="71021C1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井下排水</w:t>
            </w:r>
          </w:p>
        </w:tc>
        <w:tc>
          <w:tcPr>
            <w:tcW w:w="1545" w:type="pct"/>
            <w:noWrap w:val="0"/>
            <w:vAlign w:val="center"/>
          </w:tcPr>
          <w:p w14:paraId="7A2BB95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噪声</w:t>
            </w:r>
          </w:p>
        </w:tc>
        <w:tc>
          <w:tcPr>
            <w:tcW w:w="944" w:type="pct"/>
            <w:noWrap w:val="0"/>
            <w:vAlign w:val="center"/>
          </w:tcPr>
          <w:p w14:paraId="1535F5B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水泵</w:t>
            </w:r>
          </w:p>
        </w:tc>
      </w:tr>
      <w:tr w14:paraId="2AF16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1ED5538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3146DA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N4</w:t>
            </w:r>
          </w:p>
        </w:tc>
        <w:tc>
          <w:tcPr>
            <w:tcW w:w="1713" w:type="pct"/>
            <w:noWrap w:val="0"/>
            <w:vAlign w:val="center"/>
          </w:tcPr>
          <w:p w14:paraId="21CFABC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通风</w:t>
            </w:r>
          </w:p>
        </w:tc>
        <w:tc>
          <w:tcPr>
            <w:tcW w:w="1545" w:type="pct"/>
            <w:noWrap w:val="0"/>
            <w:vAlign w:val="center"/>
          </w:tcPr>
          <w:p w14:paraId="3D53C3F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噪声</w:t>
            </w:r>
          </w:p>
        </w:tc>
        <w:tc>
          <w:tcPr>
            <w:tcW w:w="944" w:type="pct"/>
            <w:noWrap w:val="0"/>
            <w:vAlign w:val="center"/>
          </w:tcPr>
          <w:p w14:paraId="7B56969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风扇机</w:t>
            </w:r>
          </w:p>
        </w:tc>
      </w:tr>
      <w:tr w14:paraId="78DCA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5CF90AF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045AC79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N5</w:t>
            </w:r>
          </w:p>
        </w:tc>
        <w:tc>
          <w:tcPr>
            <w:tcW w:w="1713" w:type="pct"/>
            <w:noWrap w:val="0"/>
            <w:vAlign w:val="center"/>
          </w:tcPr>
          <w:p w14:paraId="29FB8B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原矿堆放</w:t>
            </w:r>
          </w:p>
        </w:tc>
        <w:tc>
          <w:tcPr>
            <w:tcW w:w="1545" w:type="pct"/>
            <w:noWrap w:val="0"/>
            <w:vAlign w:val="center"/>
          </w:tcPr>
          <w:p w14:paraId="76C8239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噪声</w:t>
            </w:r>
          </w:p>
        </w:tc>
        <w:tc>
          <w:tcPr>
            <w:tcW w:w="944" w:type="pct"/>
            <w:noWrap w:val="0"/>
            <w:vAlign w:val="center"/>
          </w:tcPr>
          <w:p w14:paraId="7E4085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装卸、运输设备</w:t>
            </w:r>
          </w:p>
        </w:tc>
      </w:tr>
      <w:tr w14:paraId="6B00B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698F70F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080E3EC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N6</w:t>
            </w:r>
          </w:p>
        </w:tc>
        <w:tc>
          <w:tcPr>
            <w:tcW w:w="1713" w:type="pct"/>
            <w:noWrap w:val="0"/>
            <w:vAlign w:val="center"/>
          </w:tcPr>
          <w:p w14:paraId="689B1E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废石堆放</w:t>
            </w:r>
          </w:p>
        </w:tc>
        <w:tc>
          <w:tcPr>
            <w:tcW w:w="1545" w:type="pct"/>
            <w:noWrap w:val="0"/>
            <w:vAlign w:val="center"/>
          </w:tcPr>
          <w:p w14:paraId="33624CC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噪声</w:t>
            </w:r>
          </w:p>
        </w:tc>
        <w:tc>
          <w:tcPr>
            <w:tcW w:w="944" w:type="pct"/>
            <w:noWrap w:val="0"/>
            <w:vAlign w:val="center"/>
          </w:tcPr>
          <w:p w14:paraId="73B21E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装卸、运输设备</w:t>
            </w:r>
          </w:p>
        </w:tc>
      </w:tr>
      <w:tr w14:paraId="00983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restart"/>
            <w:noWrap w:val="0"/>
            <w:vAlign w:val="center"/>
          </w:tcPr>
          <w:p w14:paraId="2E88843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固体废物</w:t>
            </w:r>
          </w:p>
        </w:tc>
        <w:tc>
          <w:tcPr>
            <w:tcW w:w="376" w:type="pct"/>
            <w:noWrap w:val="0"/>
            <w:vAlign w:val="center"/>
          </w:tcPr>
          <w:p w14:paraId="65EE0D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S1</w:t>
            </w:r>
          </w:p>
        </w:tc>
        <w:tc>
          <w:tcPr>
            <w:tcW w:w="1713" w:type="pct"/>
            <w:noWrap w:val="0"/>
            <w:vAlign w:val="center"/>
          </w:tcPr>
          <w:p w14:paraId="7F468D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井下开采</w:t>
            </w:r>
          </w:p>
        </w:tc>
        <w:tc>
          <w:tcPr>
            <w:tcW w:w="1545" w:type="pct"/>
            <w:noWrap w:val="0"/>
            <w:vAlign w:val="center"/>
          </w:tcPr>
          <w:p w14:paraId="5D99EE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w:t>
            </w:r>
          </w:p>
        </w:tc>
        <w:tc>
          <w:tcPr>
            <w:tcW w:w="944" w:type="pct"/>
            <w:vMerge w:val="restart"/>
            <w:noWrap w:val="0"/>
            <w:vAlign w:val="center"/>
          </w:tcPr>
          <w:p w14:paraId="63ADB2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一般</w:t>
            </w:r>
            <w:r>
              <w:rPr>
                <w:rFonts w:hint="eastAsia" w:cs="Times New Roman"/>
                <w:color w:val="000000" w:themeColor="text1"/>
                <w:szCs w:val="21"/>
                <w:lang w:eastAsia="zh-CN"/>
                <w14:textFill>
                  <w14:solidFill>
                    <w14:schemeClr w14:val="tx1"/>
                  </w14:solidFill>
                </w14:textFill>
              </w:rPr>
              <w:t>工业</w:t>
            </w:r>
            <w:r>
              <w:rPr>
                <w:rFonts w:hint="eastAsia" w:ascii="Times New Roman" w:hAnsi="Times New Roman" w:cs="Times New Roman"/>
                <w:color w:val="000000" w:themeColor="text1"/>
                <w:szCs w:val="21"/>
                <w14:textFill>
                  <w14:solidFill>
                    <w14:schemeClr w14:val="tx1"/>
                  </w14:solidFill>
                </w14:textFill>
              </w:rPr>
              <w:t>固体废物</w:t>
            </w:r>
          </w:p>
        </w:tc>
      </w:tr>
      <w:tr w14:paraId="4CA5F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16CD4F8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21CAEDA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S2</w:t>
            </w:r>
          </w:p>
        </w:tc>
        <w:tc>
          <w:tcPr>
            <w:tcW w:w="1713" w:type="pct"/>
            <w:noWrap w:val="0"/>
            <w:vAlign w:val="center"/>
          </w:tcPr>
          <w:p w14:paraId="266B890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沉淀池</w:t>
            </w:r>
          </w:p>
        </w:tc>
        <w:tc>
          <w:tcPr>
            <w:tcW w:w="1545" w:type="pct"/>
            <w:noWrap w:val="0"/>
            <w:vAlign w:val="center"/>
          </w:tcPr>
          <w:p w14:paraId="1F04525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底泥</w:t>
            </w:r>
          </w:p>
        </w:tc>
        <w:tc>
          <w:tcPr>
            <w:tcW w:w="944" w:type="pct"/>
            <w:vMerge w:val="continue"/>
            <w:noWrap w:val="0"/>
            <w:vAlign w:val="center"/>
          </w:tcPr>
          <w:p w14:paraId="3516C28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r>
      <w:tr w14:paraId="605B1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4F06A2E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341D1D2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S3</w:t>
            </w:r>
          </w:p>
        </w:tc>
        <w:tc>
          <w:tcPr>
            <w:tcW w:w="1713" w:type="pct"/>
            <w:noWrap w:val="0"/>
            <w:vAlign w:val="center"/>
          </w:tcPr>
          <w:p w14:paraId="238052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生活污水处理站</w:t>
            </w:r>
          </w:p>
        </w:tc>
        <w:tc>
          <w:tcPr>
            <w:tcW w:w="1545" w:type="pct"/>
            <w:noWrap w:val="0"/>
            <w:vAlign w:val="center"/>
          </w:tcPr>
          <w:p w14:paraId="25C749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底泥</w:t>
            </w:r>
          </w:p>
        </w:tc>
        <w:tc>
          <w:tcPr>
            <w:tcW w:w="944" w:type="pct"/>
            <w:vMerge w:val="continue"/>
            <w:noWrap w:val="0"/>
            <w:vAlign w:val="center"/>
          </w:tcPr>
          <w:p w14:paraId="25E2EC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1684F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6386525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3E4F29F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S4</w:t>
            </w:r>
          </w:p>
        </w:tc>
        <w:tc>
          <w:tcPr>
            <w:tcW w:w="1713" w:type="pct"/>
            <w:noWrap w:val="0"/>
            <w:vAlign w:val="center"/>
          </w:tcPr>
          <w:p w14:paraId="7050EE3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生活垃圾</w:t>
            </w:r>
          </w:p>
        </w:tc>
        <w:tc>
          <w:tcPr>
            <w:tcW w:w="1545" w:type="pct"/>
            <w:noWrap w:val="0"/>
            <w:vAlign w:val="center"/>
          </w:tcPr>
          <w:p w14:paraId="703640A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果皮、纸张、塑料等</w:t>
            </w:r>
          </w:p>
        </w:tc>
        <w:tc>
          <w:tcPr>
            <w:tcW w:w="944" w:type="pct"/>
            <w:noWrap w:val="0"/>
            <w:vAlign w:val="center"/>
          </w:tcPr>
          <w:p w14:paraId="35E6B1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生活垃圾</w:t>
            </w:r>
          </w:p>
        </w:tc>
      </w:tr>
      <w:tr w14:paraId="4B2E6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vMerge w:val="continue"/>
            <w:noWrap w:val="0"/>
            <w:vAlign w:val="center"/>
          </w:tcPr>
          <w:p w14:paraId="605E668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c>
          <w:tcPr>
            <w:tcW w:w="376" w:type="pct"/>
            <w:noWrap w:val="0"/>
            <w:vAlign w:val="center"/>
          </w:tcPr>
          <w:p w14:paraId="2FDB633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S</w:t>
            </w:r>
            <w:r>
              <w:rPr>
                <w:rFonts w:hint="default" w:ascii="Times New Roman" w:hAnsi="Times New Roman" w:cs="Times New Roman"/>
                <w:color w:val="000000" w:themeColor="text1"/>
                <w:szCs w:val="21"/>
                <w14:textFill>
                  <w14:solidFill>
                    <w14:schemeClr w14:val="tx1"/>
                  </w14:solidFill>
                </w14:textFill>
              </w:rPr>
              <w:t>5</w:t>
            </w:r>
          </w:p>
        </w:tc>
        <w:tc>
          <w:tcPr>
            <w:tcW w:w="1713" w:type="pct"/>
            <w:noWrap w:val="0"/>
            <w:vAlign w:val="center"/>
          </w:tcPr>
          <w:p w14:paraId="5D9E794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机修废物</w:t>
            </w:r>
          </w:p>
        </w:tc>
        <w:tc>
          <w:tcPr>
            <w:tcW w:w="1545" w:type="pct"/>
            <w:noWrap w:val="0"/>
            <w:vAlign w:val="center"/>
          </w:tcPr>
          <w:p w14:paraId="3688BF2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废矿物油</w:t>
            </w:r>
            <w:r>
              <w:rPr>
                <w:rFonts w:hint="eastAsia"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废油桶</w:t>
            </w:r>
          </w:p>
        </w:tc>
        <w:tc>
          <w:tcPr>
            <w:tcW w:w="944" w:type="pct"/>
            <w:noWrap w:val="0"/>
            <w:vAlign w:val="center"/>
          </w:tcPr>
          <w:p w14:paraId="6D81ED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危险废物</w:t>
            </w:r>
          </w:p>
        </w:tc>
      </w:tr>
      <w:tr w14:paraId="446A8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0" w:type="pct"/>
            <w:noWrap w:val="0"/>
            <w:vAlign w:val="center"/>
          </w:tcPr>
          <w:p w14:paraId="08C38D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生态环境</w:t>
            </w:r>
          </w:p>
        </w:tc>
        <w:tc>
          <w:tcPr>
            <w:tcW w:w="376" w:type="pct"/>
            <w:noWrap w:val="0"/>
            <w:vAlign w:val="center"/>
          </w:tcPr>
          <w:p w14:paraId="3200442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1713" w:type="pct"/>
            <w:noWrap w:val="0"/>
            <w:vAlign w:val="center"/>
          </w:tcPr>
          <w:p w14:paraId="3471CC4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原矿开采</w:t>
            </w:r>
          </w:p>
        </w:tc>
        <w:tc>
          <w:tcPr>
            <w:tcW w:w="1545" w:type="pct"/>
            <w:noWrap w:val="0"/>
            <w:vAlign w:val="center"/>
          </w:tcPr>
          <w:p w14:paraId="6E0F777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地表沉陷、植被破坏、水土流失</w:t>
            </w:r>
          </w:p>
        </w:tc>
        <w:tc>
          <w:tcPr>
            <w:tcW w:w="944" w:type="pct"/>
            <w:noWrap w:val="0"/>
            <w:vAlign w:val="center"/>
          </w:tcPr>
          <w:p w14:paraId="531A4EF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开采作业区</w:t>
            </w:r>
          </w:p>
        </w:tc>
      </w:tr>
    </w:tbl>
    <w:p w14:paraId="1B6A860B">
      <w:pPr>
        <w:pStyle w:val="4"/>
        <w:spacing w:before="60" w:after="60" w:line="480" w:lineRule="exact"/>
        <w:rPr>
          <w:color w:val="000000" w:themeColor="text1"/>
          <w:kern w:val="2"/>
          <w14:textFill>
            <w14:solidFill>
              <w14:schemeClr w14:val="tx1"/>
            </w14:solidFill>
          </w14:textFill>
        </w:rPr>
      </w:pPr>
      <w:bookmarkStart w:id="313" w:name="_Toc17221"/>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施工期</w:t>
      </w:r>
      <w:r>
        <w:rPr>
          <w:rFonts w:hint="eastAsia"/>
          <w:color w:val="000000" w:themeColor="text1"/>
          <w14:textFill>
            <w14:solidFill>
              <w14:schemeClr w14:val="tx1"/>
            </w14:solidFill>
          </w14:textFill>
        </w:rPr>
        <w:t>污染源分析</w:t>
      </w:r>
      <w:bookmarkEnd w:id="313"/>
    </w:p>
    <w:p w14:paraId="4E6820C0">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.1大气污染</w:t>
      </w:r>
    </w:p>
    <w:p w14:paraId="0D8CCD9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（1）施工扬尘</w:t>
      </w:r>
    </w:p>
    <w:p w14:paraId="586A309A">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施工期的大气污染源主要为施工场地裸露地表在大风气象条件下的风蚀扬尘，建筑材料运输、装卸中的扬尘，基础工程土方开挖扬尘，土方运输车辆</w:t>
      </w:r>
      <w:r>
        <w:rPr>
          <w:rFonts w:hint="eastAsia"/>
          <w:color w:val="000000" w:themeColor="text1"/>
          <w:sz w:val="24"/>
          <w:szCs w:val="28"/>
          <w14:textFill>
            <w14:solidFill>
              <w14:schemeClr w14:val="tx1"/>
            </w14:solidFill>
          </w14:textFill>
        </w:rPr>
        <w:t>行驶</w:t>
      </w:r>
      <w:r>
        <w:rPr>
          <w:color w:val="000000" w:themeColor="text1"/>
          <w:sz w:val="24"/>
          <w:szCs w:val="28"/>
          <w14:textFill>
            <w14:solidFill>
              <w14:schemeClr w14:val="tx1"/>
            </w14:solidFill>
          </w14:textFill>
        </w:rPr>
        <w:t>产生的扬尘，临时物料堆场产生的风蚀扬尘等。污染物大多为无组织排放，类比同类型项目施工期有关监测资料，施工扬尘不采取防治措施，平均风速下影响至施工边界外200m内TSP浓度超标3～5倍，采取防治措施情况下一般可以达标。</w:t>
      </w:r>
    </w:p>
    <w:p w14:paraId="3935CBF2">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（2）施工机械尾气</w:t>
      </w:r>
    </w:p>
    <w:p w14:paraId="6C7DED83">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在施工期间，施工运输设备和一些动力设备运行将排放尾气，尾气中主要污染物为CO、NOx、THC等。</w:t>
      </w:r>
    </w:p>
    <w:p w14:paraId="1505D139">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.2水污染</w:t>
      </w:r>
    </w:p>
    <w:p w14:paraId="255373F8">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施工期水污染源主要为施工废水和生活污水，其中施工废水包括施工过程中产生的少量泥浆废水、施工区的冲洗与设备清洗废水等。</w:t>
      </w:r>
    </w:p>
    <w:p w14:paraId="70D3D131">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（1）施工废水</w:t>
      </w:r>
    </w:p>
    <w:p w14:paraId="0527AC12">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施工中产生的泥浆废水中泥沙含量较高，主要污染物为SS；施工区的冲洗水和设备清洗废水主要污染物为SS，施工废水收集处理后循环使用。</w:t>
      </w:r>
    </w:p>
    <w:p w14:paraId="2A8907C0">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w:t>
      </w:r>
      <w:r>
        <w:rPr>
          <w:color w:val="000000" w:themeColor="text1"/>
          <w:sz w:val="24"/>
          <w:szCs w:val="28"/>
          <w14:textFill>
            <w14:solidFill>
              <w14:schemeClr w14:val="tx1"/>
            </w14:solidFill>
          </w14:textFill>
        </w:rPr>
        <w:t>生活污水</w:t>
      </w:r>
    </w:p>
    <w:p w14:paraId="2E79CFCA">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项目建设高峰期施工人员约50人，生活用水按照</w:t>
      </w:r>
      <w:r>
        <w:rPr>
          <w:rFonts w:hint="eastAsia"/>
          <w:color w:val="000000" w:themeColor="text1"/>
          <w:sz w:val="24"/>
          <w:szCs w:val="28"/>
          <w14:textFill>
            <w14:solidFill>
              <w14:schemeClr w14:val="tx1"/>
            </w14:solidFill>
          </w14:textFill>
        </w:rPr>
        <w:t>10</w:t>
      </w:r>
      <w:r>
        <w:rPr>
          <w:color w:val="000000" w:themeColor="text1"/>
          <w:sz w:val="24"/>
          <w:szCs w:val="28"/>
          <w14:textFill>
            <w14:solidFill>
              <w14:schemeClr w14:val="tx1"/>
            </w14:solidFill>
          </w14:textFill>
        </w:rPr>
        <w:t>0L/人</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d计，污水产生量按用水量的80%计，以此估算生活污水产生量为</w:t>
      </w:r>
      <w:r>
        <w:rPr>
          <w:rFonts w:hint="eastAsia"/>
          <w:color w:val="000000" w:themeColor="text1"/>
          <w:sz w:val="24"/>
          <w:szCs w:val="28"/>
          <w14:textFill>
            <w14:solidFill>
              <w14:schemeClr w14:val="tx1"/>
            </w14:solidFill>
          </w14:textFill>
        </w:rPr>
        <w:t>4.0</w:t>
      </w:r>
      <w:r>
        <w:rPr>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/d。生活污水主要为洗漱废水</w:t>
      </w:r>
      <w:r>
        <w:rPr>
          <w:rFonts w:hint="eastAsia"/>
          <w:color w:val="000000" w:themeColor="text1"/>
          <w:sz w:val="24"/>
          <w:szCs w:val="28"/>
          <w14:textFill>
            <w14:solidFill>
              <w14:schemeClr w14:val="tx1"/>
            </w14:solidFill>
          </w14:textFill>
        </w:rPr>
        <w:t>和粪污水</w:t>
      </w:r>
      <w:r>
        <w:rPr>
          <w:color w:val="000000" w:themeColor="text1"/>
          <w:sz w:val="24"/>
          <w:szCs w:val="28"/>
          <w14:textFill>
            <w14:solidFill>
              <w14:schemeClr w14:val="tx1"/>
            </w14:solidFill>
          </w14:textFill>
        </w:rPr>
        <w:t>，主要污染物为SS、BOD</w:t>
      </w:r>
      <w:r>
        <w:rPr>
          <w:color w:val="000000" w:themeColor="text1"/>
          <w:sz w:val="24"/>
          <w:szCs w:val="28"/>
          <w:vertAlign w:val="subscript"/>
          <w14:textFill>
            <w14:solidFill>
              <w14:schemeClr w14:val="tx1"/>
            </w14:solidFill>
          </w14:textFill>
        </w:rPr>
        <w:t>5</w:t>
      </w:r>
      <w:r>
        <w:rPr>
          <w:color w:val="000000" w:themeColor="text1"/>
          <w:sz w:val="24"/>
          <w:szCs w:val="28"/>
          <w14:textFill>
            <w14:solidFill>
              <w14:schemeClr w14:val="tx1"/>
            </w14:solidFill>
          </w14:textFill>
        </w:rPr>
        <w:t>、COD</w:t>
      </w:r>
      <w:r>
        <w:rPr>
          <w:rFonts w:hint="eastAsia"/>
          <w:color w:val="000000" w:themeColor="text1"/>
          <w:sz w:val="24"/>
          <w:szCs w:val="28"/>
          <w14:textFill>
            <w14:solidFill>
              <w14:schemeClr w14:val="tx1"/>
            </w14:solidFill>
          </w14:textFill>
        </w:rPr>
        <w:t>、氨氮</w:t>
      </w:r>
      <w:r>
        <w:rPr>
          <w:color w:val="000000" w:themeColor="text1"/>
          <w:sz w:val="24"/>
          <w:szCs w:val="28"/>
          <w14:textFill>
            <w14:solidFill>
              <w14:schemeClr w14:val="tx1"/>
            </w14:solidFill>
          </w14:textFill>
        </w:rPr>
        <w:t>等，各污染物浓度较低，施工期</w:t>
      </w:r>
      <w:r>
        <w:rPr>
          <w:rFonts w:hint="eastAsia"/>
          <w:color w:val="000000" w:themeColor="text1"/>
          <w:sz w:val="24"/>
          <w:szCs w:val="28"/>
          <w14:textFill>
            <w14:solidFill>
              <w14:schemeClr w14:val="tx1"/>
            </w14:solidFill>
          </w14:textFill>
        </w:rPr>
        <w:t>施工人员生活依托矿区现有办公生活区</w:t>
      </w:r>
      <w:r>
        <w:rPr>
          <w:color w:val="000000" w:themeColor="text1"/>
          <w:sz w:val="24"/>
          <w:szCs w:val="28"/>
          <w14:textFill>
            <w14:solidFill>
              <w14:schemeClr w14:val="tx1"/>
            </w14:solidFill>
          </w14:textFill>
        </w:rPr>
        <w:t>。</w:t>
      </w:r>
    </w:p>
    <w:p w14:paraId="360E0E4C">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噪声</w:t>
      </w:r>
    </w:p>
    <w:p w14:paraId="691531C5">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工程施工期噪声主要来自两个方面，一是建筑施工活动和工程施工机械噪声，二是运输车辆的交通噪声；此外，在设备安装过程也有可能产生噪声污染。机械噪声源主要包括挖掘机、吊车、装载机、</w:t>
      </w:r>
      <w:r>
        <w:rPr>
          <w:rFonts w:hint="eastAsia"/>
          <w:color w:val="000000" w:themeColor="text1"/>
          <w:sz w:val="24"/>
          <w:szCs w:val="28"/>
          <w14:textFill>
            <w14:solidFill>
              <w14:schemeClr w14:val="tx1"/>
            </w14:solidFill>
          </w14:textFill>
        </w:rPr>
        <w:t>混凝土搅拌机</w:t>
      </w:r>
      <w:r>
        <w:rPr>
          <w:color w:val="000000" w:themeColor="text1"/>
          <w:sz w:val="24"/>
          <w:szCs w:val="28"/>
          <w14:textFill>
            <w14:solidFill>
              <w14:schemeClr w14:val="tx1"/>
            </w14:solidFill>
          </w14:textFill>
        </w:rPr>
        <w:t>等，其声级在75~90dB</w:t>
      </w:r>
      <w:r>
        <w:rPr>
          <w:rFonts w:hint="eastAsia"/>
          <w:color w:val="000000" w:themeColor="text1"/>
          <w:sz w:val="24"/>
          <w:szCs w:val="28"/>
          <w:lang w:eastAsia="zh-CN"/>
          <w14:textFill>
            <w14:solidFill>
              <w14:schemeClr w14:val="tx1"/>
            </w14:solidFill>
          </w14:textFill>
        </w:rPr>
        <w:t>（</w:t>
      </w:r>
      <w:r>
        <w:rPr>
          <w:color w:val="000000" w:themeColor="text1"/>
          <w:sz w:val="24"/>
          <w:szCs w:val="28"/>
          <w14:textFill>
            <w14:solidFill>
              <w14:schemeClr w14:val="tx1"/>
            </w14:solidFill>
          </w14:textFill>
        </w:rPr>
        <w:t>A</w:t>
      </w:r>
      <w:r>
        <w:rPr>
          <w:rFonts w:hint="eastAsia"/>
          <w:color w:val="000000" w:themeColor="text1"/>
          <w:sz w:val="24"/>
          <w:szCs w:val="28"/>
          <w:lang w:eastAsia="zh-CN"/>
          <w14:textFill>
            <w14:solidFill>
              <w14:schemeClr w14:val="tx1"/>
            </w14:solidFill>
          </w14:textFill>
        </w:rPr>
        <w:t>）</w:t>
      </w:r>
      <w:r>
        <w:rPr>
          <w:color w:val="000000" w:themeColor="text1"/>
          <w:sz w:val="24"/>
          <w:szCs w:val="28"/>
          <w14:textFill>
            <w14:solidFill>
              <w14:schemeClr w14:val="tx1"/>
            </w14:solidFill>
          </w14:textFill>
        </w:rPr>
        <w:t>之间，具有点声源的特点，车辆噪声源包括载重汽车等，其声级强度在75~90dB</w:t>
      </w:r>
      <w:r>
        <w:rPr>
          <w:rFonts w:hint="eastAsia"/>
          <w:color w:val="000000" w:themeColor="text1"/>
          <w:sz w:val="24"/>
          <w:szCs w:val="28"/>
          <w:lang w:eastAsia="zh-CN"/>
          <w14:textFill>
            <w14:solidFill>
              <w14:schemeClr w14:val="tx1"/>
            </w14:solidFill>
          </w14:textFill>
        </w:rPr>
        <w:t>（</w:t>
      </w:r>
      <w:r>
        <w:rPr>
          <w:color w:val="000000" w:themeColor="text1"/>
          <w:sz w:val="24"/>
          <w:szCs w:val="28"/>
          <w14:textFill>
            <w14:solidFill>
              <w14:schemeClr w14:val="tx1"/>
            </w14:solidFill>
          </w14:textFill>
        </w:rPr>
        <w:t>A</w:t>
      </w:r>
      <w:r>
        <w:rPr>
          <w:rFonts w:hint="eastAsia"/>
          <w:color w:val="000000" w:themeColor="text1"/>
          <w:sz w:val="24"/>
          <w:szCs w:val="28"/>
          <w:lang w:eastAsia="zh-CN"/>
          <w14:textFill>
            <w14:solidFill>
              <w14:schemeClr w14:val="tx1"/>
            </w14:solidFill>
          </w14:textFill>
        </w:rPr>
        <w:t>）</w:t>
      </w:r>
      <w:r>
        <w:rPr>
          <w:color w:val="000000" w:themeColor="text1"/>
          <w:sz w:val="24"/>
          <w:szCs w:val="28"/>
          <w14:textFill>
            <w14:solidFill>
              <w14:schemeClr w14:val="tx1"/>
            </w14:solidFill>
          </w14:textFill>
        </w:rPr>
        <w:t>，具有线声源和流动源的特点。施工机械均为间歇运行，噪声持续时间较短，随着施工活动的结束，施工期的噪声影响随即消失。</w:t>
      </w:r>
    </w:p>
    <w:p w14:paraId="4BD5EBFA">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施工期主要噪声源及声级强度见表</w:t>
      </w:r>
      <w:r>
        <w:rPr>
          <w:rFonts w:hint="eastAsia"/>
          <w:color w:val="000000" w:themeColor="text1"/>
          <w:sz w:val="24"/>
          <w:szCs w:val="28"/>
          <w14:textFill>
            <w14:solidFill>
              <w14:schemeClr w14:val="tx1"/>
            </w14:solidFill>
          </w14:textFill>
        </w:rPr>
        <w:t>3.</w:t>
      </w:r>
      <w:r>
        <w:rPr>
          <w:color w:val="000000" w:themeColor="text1"/>
          <w:sz w:val="24"/>
          <w:szCs w:val="28"/>
          <w14:textFill>
            <w14:solidFill>
              <w14:schemeClr w14:val="tx1"/>
            </w14:solidFill>
          </w14:textFill>
        </w:rPr>
        <w:t>3-5。</w:t>
      </w:r>
    </w:p>
    <w:p w14:paraId="29A95917">
      <w:pPr>
        <w:pStyle w:val="18"/>
        <w:spacing w:line="480" w:lineRule="exact"/>
        <w:ind w:firstLine="0" w:firstLineChars="0"/>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w:t>
      </w:r>
      <w:r>
        <w:rPr>
          <w:rFonts w:hint="eastAsia"/>
          <w:b/>
          <w:bCs/>
          <w:color w:val="000000" w:themeColor="text1"/>
          <w:sz w:val="24"/>
          <w:szCs w:val="28"/>
          <w14:textFill>
            <w14:solidFill>
              <w14:schemeClr w14:val="tx1"/>
            </w14:solidFill>
          </w14:textFill>
        </w:rPr>
        <w:t>3.</w:t>
      </w:r>
      <w:r>
        <w:rPr>
          <w:b/>
          <w:bCs/>
          <w:color w:val="000000" w:themeColor="text1"/>
          <w:sz w:val="24"/>
          <w:szCs w:val="28"/>
          <w14:textFill>
            <w14:solidFill>
              <w14:schemeClr w14:val="tx1"/>
            </w14:solidFill>
          </w14:textFill>
        </w:rPr>
        <w:t>3-5</w:t>
      </w:r>
      <w:r>
        <w:rPr>
          <w:rFonts w:hint="eastAsia"/>
          <w:b/>
          <w:bCs/>
          <w:color w:val="000000" w:themeColor="text1"/>
          <w:sz w:val="24"/>
          <w:szCs w:val="28"/>
          <w14:textFill>
            <w14:solidFill>
              <w14:schemeClr w14:val="tx1"/>
            </w14:solidFill>
          </w14:textFill>
        </w:rPr>
        <w:t xml:space="preserve">    施工期主要噪声源及声级强度一览表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2519"/>
        <w:gridCol w:w="3460"/>
        <w:gridCol w:w="1270"/>
      </w:tblGrid>
      <w:tr w14:paraId="0AE7F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745" w:type="pct"/>
            <w:noWrap w:val="0"/>
            <w:vAlign w:val="center"/>
          </w:tcPr>
          <w:p w14:paraId="6CA16EE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序号</w:t>
            </w:r>
          </w:p>
        </w:tc>
        <w:tc>
          <w:tcPr>
            <w:tcW w:w="1478" w:type="pct"/>
            <w:noWrap w:val="0"/>
            <w:vAlign w:val="center"/>
          </w:tcPr>
          <w:p w14:paraId="395EA74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设备名称</w:t>
            </w:r>
          </w:p>
        </w:tc>
        <w:tc>
          <w:tcPr>
            <w:tcW w:w="2030" w:type="pct"/>
            <w:noWrap w:val="0"/>
            <w:vAlign w:val="center"/>
          </w:tcPr>
          <w:p w14:paraId="623556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声级强度（dB）</w:t>
            </w:r>
          </w:p>
        </w:tc>
        <w:tc>
          <w:tcPr>
            <w:tcW w:w="745" w:type="pct"/>
            <w:noWrap w:val="0"/>
            <w:vAlign w:val="center"/>
          </w:tcPr>
          <w:p w14:paraId="14AD6B5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特征</w:t>
            </w:r>
          </w:p>
        </w:tc>
      </w:tr>
      <w:tr w14:paraId="6EF56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4B4E7D5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478" w:type="pct"/>
            <w:noWrap w:val="0"/>
            <w:vAlign w:val="center"/>
          </w:tcPr>
          <w:p w14:paraId="2E405D7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空压机</w:t>
            </w:r>
          </w:p>
        </w:tc>
        <w:tc>
          <w:tcPr>
            <w:tcW w:w="2030" w:type="pct"/>
            <w:noWrap w:val="0"/>
            <w:vAlign w:val="center"/>
          </w:tcPr>
          <w:p w14:paraId="4E523E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90</w:t>
            </w:r>
          </w:p>
        </w:tc>
        <w:tc>
          <w:tcPr>
            <w:tcW w:w="745" w:type="pct"/>
            <w:noWrap w:val="0"/>
            <w:vAlign w:val="center"/>
          </w:tcPr>
          <w:p w14:paraId="1F9CDB6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连续</w:t>
            </w:r>
          </w:p>
        </w:tc>
      </w:tr>
      <w:tr w14:paraId="48BD5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7D47471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1478" w:type="pct"/>
            <w:noWrap w:val="0"/>
            <w:vAlign w:val="center"/>
          </w:tcPr>
          <w:p w14:paraId="3991FD0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挖掘机</w:t>
            </w:r>
          </w:p>
        </w:tc>
        <w:tc>
          <w:tcPr>
            <w:tcW w:w="2030" w:type="pct"/>
            <w:noWrap w:val="0"/>
            <w:vAlign w:val="center"/>
          </w:tcPr>
          <w:p w14:paraId="220561B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90</w:t>
            </w:r>
          </w:p>
        </w:tc>
        <w:tc>
          <w:tcPr>
            <w:tcW w:w="745" w:type="pct"/>
            <w:noWrap w:val="0"/>
            <w:vAlign w:val="center"/>
          </w:tcPr>
          <w:p w14:paraId="0F761FC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w:t>
            </w:r>
          </w:p>
        </w:tc>
      </w:tr>
      <w:tr w14:paraId="0BD3C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67C17D7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1478" w:type="pct"/>
            <w:noWrap w:val="0"/>
            <w:vAlign w:val="center"/>
          </w:tcPr>
          <w:p w14:paraId="5A06EC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装载机</w:t>
            </w:r>
          </w:p>
        </w:tc>
        <w:tc>
          <w:tcPr>
            <w:tcW w:w="2030" w:type="pct"/>
            <w:noWrap w:val="0"/>
            <w:vAlign w:val="center"/>
          </w:tcPr>
          <w:p w14:paraId="00ADB7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90</w:t>
            </w:r>
          </w:p>
        </w:tc>
        <w:tc>
          <w:tcPr>
            <w:tcW w:w="745" w:type="pct"/>
            <w:noWrap w:val="0"/>
            <w:vAlign w:val="center"/>
          </w:tcPr>
          <w:p w14:paraId="75B0B24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w:t>
            </w:r>
          </w:p>
        </w:tc>
      </w:tr>
      <w:tr w14:paraId="098F3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58441B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1478" w:type="pct"/>
            <w:noWrap w:val="0"/>
            <w:vAlign w:val="center"/>
          </w:tcPr>
          <w:p w14:paraId="0A88AE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载重汽车</w:t>
            </w:r>
          </w:p>
        </w:tc>
        <w:tc>
          <w:tcPr>
            <w:tcW w:w="2030" w:type="pct"/>
            <w:noWrap w:val="0"/>
            <w:vAlign w:val="center"/>
          </w:tcPr>
          <w:p w14:paraId="5CBA9F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75~85</w:t>
            </w:r>
          </w:p>
        </w:tc>
        <w:tc>
          <w:tcPr>
            <w:tcW w:w="745" w:type="pct"/>
            <w:noWrap w:val="0"/>
            <w:vAlign w:val="center"/>
          </w:tcPr>
          <w:p w14:paraId="494DED8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w:t>
            </w:r>
          </w:p>
        </w:tc>
      </w:tr>
      <w:tr w14:paraId="10D2C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1B6C9D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1478" w:type="pct"/>
            <w:noWrap w:val="0"/>
            <w:vAlign w:val="center"/>
          </w:tcPr>
          <w:p w14:paraId="1A5EBB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振捣棒</w:t>
            </w:r>
          </w:p>
        </w:tc>
        <w:tc>
          <w:tcPr>
            <w:tcW w:w="2030" w:type="pct"/>
            <w:noWrap w:val="0"/>
            <w:vAlign w:val="center"/>
          </w:tcPr>
          <w:p w14:paraId="43EAFA6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90</w:t>
            </w:r>
          </w:p>
        </w:tc>
        <w:tc>
          <w:tcPr>
            <w:tcW w:w="745" w:type="pct"/>
            <w:noWrap w:val="0"/>
            <w:vAlign w:val="center"/>
          </w:tcPr>
          <w:p w14:paraId="7DE02BC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w:t>
            </w:r>
          </w:p>
        </w:tc>
      </w:tr>
      <w:tr w14:paraId="4CB6D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29E0BB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1478" w:type="pct"/>
            <w:noWrap w:val="0"/>
            <w:vAlign w:val="center"/>
          </w:tcPr>
          <w:p w14:paraId="2FA6B1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电锯</w:t>
            </w:r>
          </w:p>
        </w:tc>
        <w:tc>
          <w:tcPr>
            <w:tcW w:w="2030" w:type="pct"/>
            <w:noWrap w:val="0"/>
            <w:vAlign w:val="center"/>
          </w:tcPr>
          <w:p w14:paraId="75BDDFF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88</w:t>
            </w:r>
          </w:p>
        </w:tc>
        <w:tc>
          <w:tcPr>
            <w:tcW w:w="745" w:type="pct"/>
            <w:noWrap w:val="0"/>
            <w:vAlign w:val="center"/>
          </w:tcPr>
          <w:p w14:paraId="36541B8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w:t>
            </w:r>
          </w:p>
        </w:tc>
      </w:tr>
      <w:tr w14:paraId="4A3CA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0AAF28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p>
        </w:tc>
        <w:tc>
          <w:tcPr>
            <w:tcW w:w="1478" w:type="pct"/>
            <w:noWrap w:val="0"/>
            <w:vAlign w:val="center"/>
          </w:tcPr>
          <w:p w14:paraId="6272D4F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切割机</w:t>
            </w:r>
          </w:p>
        </w:tc>
        <w:tc>
          <w:tcPr>
            <w:tcW w:w="2030" w:type="pct"/>
            <w:noWrap w:val="0"/>
            <w:vAlign w:val="center"/>
          </w:tcPr>
          <w:p w14:paraId="0C1D1D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88</w:t>
            </w:r>
          </w:p>
        </w:tc>
        <w:tc>
          <w:tcPr>
            <w:tcW w:w="745" w:type="pct"/>
            <w:noWrap w:val="0"/>
            <w:vAlign w:val="center"/>
          </w:tcPr>
          <w:p w14:paraId="6E922BD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w:t>
            </w:r>
          </w:p>
        </w:tc>
      </w:tr>
      <w:tr w14:paraId="52051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73A3C50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w:t>
            </w:r>
          </w:p>
        </w:tc>
        <w:tc>
          <w:tcPr>
            <w:tcW w:w="1478" w:type="pct"/>
            <w:shd w:val="clear" w:color="auto" w:fill="auto"/>
            <w:noWrap w:val="0"/>
            <w:vAlign w:val="center"/>
          </w:tcPr>
          <w:p w14:paraId="0C0B8F8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焊接机</w:t>
            </w:r>
          </w:p>
        </w:tc>
        <w:tc>
          <w:tcPr>
            <w:tcW w:w="2030" w:type="pct"/>
            <w:shd w:val="clear" w:color="auto" w:fill="auto"/>
            <w:noWrap w:val="0"/>
            <w:vAlign w:val="center"/>
          </w:tcPr>
          <w:p w14:paraId="4C89330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75~80</w:t>
            </w:r>
          </w:p>
        </w:tc>
        <w:tc>
          <w:tcPr>
            <w:tcW w:w="745" w:type="pct"/>
            <w:shd w:val="clear" w:color="auto" w:fill="auto"/>
            <w:noWrap w:val="0"/>
            <w:vAlign w:val="center"/>
          </w:tcPr>
          <w:p w14:paraId="1C55D5D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w:t>
            </w:r>
          </w:p>
        </w:tc>
      </w:tr>
      <w:tr w14:paraId="256E9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noWrap w:val="0"/>
            <w:vAlign w:val="center"/>
          </w:tcPr>
          <w:p w14:paraId="685D1B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p>
        </w:tc>
        <w:tc>
          <w:tcPr>
            <w:tcW w:w="1478" w:type="pct"/>
            <w:shd w:val="clear" w:color="auto" w:fill="auto"/>
            <w:noWrap w:val="0"/>
            <w:vAlign w:val="center"/>
          </w:tcPr>
          <w:p w14:paraId="7249262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液压起重机</w:t>
            </w:r>
          </w:p>
        </w:tc>
        <w:tc>
          <w:tcPr>
            <w:tcW w:w="2030" w:type="pct"/>
            <w:shd w:val="clear" w:color="auto" w:fill="auto"/>
            <w:noWrap w:val="0"/>
            <w:vAlign w:val="center"/>
          </w:tcPr>
          <w:p w14:paraId="31537EF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90</w:t>
            </w:r>
          </w:p>
        </w:tc>
        <w:tc>
          <w:tcPr>
            <w:tcW w:w="745" w:type="pct"/>
            <w:shd w:val="clear" w:color="auto" w:fill="auto"/>
            <w:noWrap w:val="0"/>
            <w:vAlign w:val="center"/>
          </w:tcPr>
          <w:p w14:paraId="6C61BC4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间断</w:t>
            </w:r>
          </w:p>
        </w:tc>
      </w:tr>
    </w:tbl>
    <w:p w14:paraId="028D96BB">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.4固体废物</w:t>
      </w:r>
    </w:p>
    <w:p w14:paraId="1B611D91">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本项目施工期产生固体废物主要为井巷开拓产生的掘进废石、建构筑物建设过程产生的建筑垃圾和施工人员生活垃圾等。</w:t>
      </w:r>
    </w:p>
    <w:p w14:paraId="1ED93B49">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rFonts w:hint="eastAsia"/>
          <w:color w:val="000000" w:themeColor="text1"/>
          <w:sz w:val="24"/>
          <w:szCs w:val="28"/>
          <w:lang w:val="en-US" w:eastAsia="zh-CN"/>
          <w14:textFill>
            <w14:solidFill>
              <w14:schemeClr w14:val="tx1"/>
            </w14:solidFill>
          </w14:textFill>
        </w:rPr>
        <w:t>基建期</w:t>
      </w:r>
      <w:r>
        <w:rPr>
          <w:rFonts w:hint="eastAsia"/>
          <w:color w:val="000000" w:themeColor="text1"/>
          <w:sz w:val="24"/>
          <w:szCs w:val="28"/>
          <w14:textFill>
            <w14:solidFill>
              <w14:schemeClr w14:val="tx1"/>
            </w14:solidFill>
          </w14:textFill>
        </w:rPr>
        <w:t>废石</w:t>
      </w:r>
    </w:p>
    <w:p w14:paraId="07F13DED">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井下施工期掘进废石产生量约</w:t>
      </w:r>
      <w:r>
        <w:rPr>
          <w:color w:val="000000" w:themeColor="text1"/>
          <w:sz w:val="24"/>
          <w14:textFill>
            <w14:solidFill>
              <w14:schemeClr w14:val="tx1"/>
            </w14:solidFill>
          </w14:textFill>
        </w:rPr>
        <w:t>22.13</w:t>
      </w:r>
      <w:r>
        <w:rPr>
          <w:rFonts w:hint="eastAsia"/>
          <w:color w:val="000000" w:themeColor="text1"/>
          <w:sz w:val="24"/>
          <w14:textFill>
            <w14:solidFill>
              <w14:schemeClr w14:val="tx1"/>
            </w14:solidFill>
          </w14:textFill>
        </w:rPr>
        <w:t>×10</w:t>
      </w:r>
      <w:r>
        <w:rPr>
          <w:rFonts w:hint="eastAsia"/>
          <w:color w:val="000000" w:themeColor="text1"/>
          <w:sz w:val="24"/>
          <w:vertAlign w:val="superscript"/>
          <w14:textFill>
            <w14:solidFill>
              <w14:schemeClr w14:val="tx1"/>
            </w14:solidFill>
          </w14:textFill>
        </w:rPr>
        <w:t>4</w:t>
      </w:r>
      <w:r>
        <w:rPr>
          <w:rFonts w:hint="eastAsia"/>
          <w:color w:val="000000" w:themeColor="text1"/>
          <w:sz w:val="24"/>
          <w14:textFill>
            <w14:solidFill>
              <w14:schemeClr w14:val="tx1"/>
            </w14:solidFill>
          </w14:textFill>
        </w:rPr>
        <w:t>t</w:t>
      </w:r>
      <w:r>
        <w:rPr>
          <w:rFonts w:hint="eastAsia"/>
          <w:color w:val="000000" w:themeColor="text1"/>
          <w:sz w:val="24"/>
          <w:szCs w:val="28"/>
          <w14:textFill>
            <w14:solidFill>
              <w14:schemeClr w14:val="tx1"/>
            </w14:solidFill>
          </w14:textFill>
        </w:rPr>
        <w:t>，最终堆放体积</w:t>
      </w:r>
      <w:r>
        <w:rPr>
          <w:rFonts w:hint="eastAsia"/>
          <w:color w:val="000000" w:themeColor="text1"/>
          <w:sz w:val="24"/>
          <w:szCs w:val="28"/>
          <w:lang w:val="en-US" w:eastAsia="zh-CN"/>
          <w14:textFill>
            <w14:solidFill>
              <w14:schemeClr w14:val="tx1"/>
            </w14:solidFill>
          </w14:textFill>
        </w:rPr>
        <w:t>约5.993万m</w:t>
      </w:r>
      <w:r>
        <w:rPr>
          <w:rFonts w:hint="eastAsia"/>
          <w:color w:val="000000" w:themeColor="text1"/>
          <w:sz w:val="24"/>
          <w:szCs w:val="28"/>
          <w:vertAlign w:val="superscript"/>
          <w:lang w:val="en-US" w:eastAsia="zh-CN"/>
          <w14:textFill>
            <w14:solidFill>
              <w14:schemeClr w14:val="tx1"/>
            </w14:solidFill>
          </w14:textFill>
        </w:rPr>
        <w:t>3</w:t>
      </w:r>
      <w:r>
        <w:rPr>
          <w:rFonts w:hint="eastAsia"/>
          <w:color w:val="000000" w:themeColor="text1"/>
          <w:sz w:val="24"/>
          <w:szCs w:val="28"/>
          <w:lang w:val="en-US" w:eastAsia="zh-CN"/>
          <w14:textFill>
            <w14:solidFill>
              <w14:schemeClr w14:val="tx1"/>
            </w14:solidFill>
          </w14:textFill>
        </w:rPr>
        <w:t>，</w:t>
      </w:r>
      <w:r>
        <w:rPr>
          <w:rFonts w:hint="eastAsia"/>
          <w:color w:val="000000" w:themeColor="text1"/>
          <w:sz w:val="24"/>
          <w:szCs w:val="28"/>
          <w14:textFill>
            <w14:solidFill>
              <w14:schemeClr w14:val="tx1"/>
            </w14:solidFill>
          </w14:textFill>
        </w:rPr>
        <w:t>废石堆存于规划新建的</w:t>
      </w:r>
      <w:r>
        <w:rPr>
          <w:rFonts w:hint="eastAsia"/>
          <w:color w:val="000000" w:themeColor="text1"/>
          <w:sz w:val="24"/>
          <w:szCs w:val="28"/>
          <w:lang w:val="en-US" w:eastAsia="zh-CN"/>
          <w14:textFill>
            <w14:solidFill>
              <w14:schemeClr w14:val="tx1"/>
            </w14:solidFill>
          </w14:textFill>
        </w:rPr>
        <w:t>1号</w:t>
      </w:r>
      <w:r>
        <w:rPr>
          <w:rFonts w:hint="eastAsia"/>
          <w:color w:val="000000" w:themeColor="text1"/>
          <w:sz w:val="24"/>
          <w:szCs w:val="28"/>
          <w14:textFill>
            <w14:solidFill>
              <w14:schemeClr w14:val="tx1"/>
            </w14:solidFill>
          </w14:textFill>
        </w:rPr>
        <w:t>废石堆场排弃。</w:t>
      </w:r>
    </w:p>
    <w:p w14:paraId="4632F6B7">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（2）建筑垃圾</w:t>
      </w:r>
    </w:p>
    <w:p w14:paraId="3ED0053E">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建构筑物建设过程产生的建筑垃圾约为</w:t>
      </w:r>
      <w:r>
        <w:rPr>
          <w:color w:val="000000" w:themeColor="text1"/>
          <w:sz w:val="24"/>
          <w:szCs w:val="28"/>
          <w14:textFill>
            <w14:solidFill>
              <w14:schemeClr w14:val="tx1"/>
            </w14:solidFill>
          </w14:textFill>
        </w:rPr>
        <w:t>5t</w:t>
      </w:r>
      <w:r>
        <w:rPr>
          <w:rFonts w:hint="eastAsia"/>
          <w:color w:val="000000" w:themeColor="text1"/>
          <w:sz w:val="24"/>
          <w:szCs w:val="28"/>
          <w14:textFill>
            <w14:solidFill>
              <w14:schemeClr w14:val="tx1"/>
            </w14:solidFill>
          </w14:textFill>
        </w:rPr>
        <w:t>，其中可利用部分回收利用、不可利用部分运至</w:t>
      </w:r>
      <w:r>
        <w:rPr>
          <w:rFonts w:hint="eastAsia"/>
          <w:color w:val="000000" w:themeColor="text1"/>
          <w:sz w:val="24"/>
          <w:szCs w:val="28"/>
          <w:lang w:val="en-US" w:eastAsia="zh-CN"/>
          <w14:textFill>
            <w14:solidFill>
              <w14:schemeClr w14:val="tx1"/>
            </w14:solidFill>
          </w14:textFill>
        </w:rPr>
        <w:t>当地环卫部门指定场所处置</w:t>
      </w:r>
      <w:r>
        <w:rPr>
          <w:rFonts w:hint="eastAsia"/>
          <w:color w:val="000000" w:themeColor="text1"/>
          <w:sz w:val="24"/>
          <w:szCs w:val="28"/>
          <w14:textFill>
            <w14:solidFill>
              <w14:schemeClr w14:val="tx1"/>
            </w14:solidFill>
          </w14:textFill>
        </w:rPr>
        <w:t>。</w:t>
      </w:r>
    </w:p>
    <w:p w14:paraId="6238EB7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（3）生活垃圾</w:t>
      </w:r>
    </w:p>
    <w:p w14:paraId="37E90986">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施工人员人均日产生活垃圾量为</w:t>
      </w:r>
      <w:r>
        <w:rPr>
          <w:color w:val="000000" w:themeColor="text1"/>
          <w:sz w:val="24"/>
          <w:szCs w:val="28"/>
          <w14:textFill>
            <w14:solidFill>
              <w14:schemeClr w14:val="tx1"/>
            </w14:solidFill>
          </w14:textFill>
        </w:rPr>
        <w:t>0.5kg/</w:t>
      </w:r>
      <w:r>
        <w:rPr>
          <w:rFonts w:hint="eastAsia"/>
          <w:color w:val="000000" w:themeColor="text1"/>
          <w:sz w:val="24"/>
          <w:szCs w:val="28"/>
          <w14:textFill>
            <w14:solidFill>
              <w14:schemeClr w14:val="tx1"/>
            </w14:solidFill>
          </w14:textFill>
        </w:rPr>
        <w:t>人·</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，施工高峰日生活垃圾产生量约</w:t>
      </w:r>
      <w:r>
        <w:rPr>
          <w:color w:val="000000" w:themeColor="text1"/>
          <w:sz w:val="24"/>
          <w:szCs w:val="28"/>
          <w14:textFill>
            <w14:solidFill>
              <w14:schemeClr w14:val="tx1"/>
            </w14:solidFill>
          </w14:textFill>
        </w:rPr>
        <w:t>0.025t/d</w:t>
      </w:r>
      <w:r>
        <w:rPr>
          <w:rFonts w:hint="eastAsia"/>
          <w:color w:val="000000" w:themeColor="text1"/>
          <w:sz w:val="24"/>
          <w:szCs w:val="28"/>
          <w14:textFill>
            <w14:solidFill>
              <w14:schemeClr w14:val="tx1"/>
            </w14:solidFill>
          </w14:textFill>
        </w:rPr>
        <w:t>，收集后</w:t>
      </w:r>
      <w:r>
        <w:rPr>
          <w:color w:val="000000" w:themeColor="text1"/>
          <w:sz w:val="24"/>
          <w14:textFill>
            <w14:solidFill>
              <w14:schemeClr w14:val="tx1"/>
            </w14:solidFill>
          </w14:textFill>
        </w:rPr>
        <w:t>定期</w:t>
      </w:r>
      <w:r>
        <w:rPr>
          <w:rFonts w:hint="eastAsia"/>
          <w:color w:val="000000" w:themeColor="text1"/>
          <w:sz w:val="24"/>
          <w14:textFill>
            <w14:solidFill>
              <w14:schemeClr w14:val="tx1"/>
            </w14:solidFill>
          </w14:textFill>
        </w:rPr>
        <w:t>运至雅满苏镇生活垃圾填埋场处置。</w:t>
      </w:r>
    </w:p>
    <w:p w14:paraId="409829F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.5生态影响</w:t>
      </w:r>
    </w:p>
    <w:p w14:paraId="361DD62D">
      <w:pPr>
        <w:pStyle w:val="18"/>
        <w:keepNext w:val="0"/>
        <w:keepLines w:val="0"/>
        <w:pageBreakBefore w:val="0"/>
        <w:widowControl w:val="0"/>
        <w:kinsoku/>
        <w:wordWrap/>
        <w:overflowPunct w:val="0"/>
        <w:topLinePunct/>
        <w:autoSpaceDE/>
        <w:autoSpaceDN/>
        <w:bidi w:val="0"/>
        <w:adjustRightInd/>
        <w:snapToGrid/>
        <w:spacing w:line="480" w:lineRule="exact"/>
        <w:ind w:firstLine="480"/>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本项目在</w:t>
      </w:r>
      <w:r>
        <w:rPr>
          <w:rFonts w:hint="eastAsia"/>
          <w:color w:val="000000" w:themeColor="text1"/>
          <w:sz w:val="24"/>
          <w:szCs w:val="28"/>
          <w14:textFill>
            <w14:solidFill>
              <w14:schemeClr w14:val="tx1"/>
            </w14:solidFill>
          </w14:textFill>
        </w:rPr>
        <w:t>现有矿山基础上进行建设，地表工程主要包括</w:t>
      </w:r>
      <w:r>
        <w:rPr>
          <w:rFonts w:hint="eastAsia"/>
          <w:color w:val="000000" w:themeColor="text1"/>
          <w:sz w:val="24"/>
          <w:lang w:bidi="ar"/>
          <w14:textFill>
            <w14:solidFill>
              <w14:schemeClr w14:val="tx1"/>
            </w14:solidFill>
          </w14:textFill>
        </w:rPr>
        <w:t>现有工程和拟建工程，现有工程包括办公生活区、主竖井工业广场、副竖井工业广场、变电站、选矿厂、尾矿库、爆破器材库、辅助生产区、2处废石堆、2处矿石堆、已建矿山道路；拟建工程包括2处废石堆场、2处西风井工业场地及矿山道路，新增占地面积为1</w:t>
      </w:r>
      <w:r>
        <w:rPr>
          <w:color w:val="000000" w:themeColor="text1"/>
          <w:sz w:val="24"/>
          <w:lang w:bidi="ar"/>
          <w14:textFill>
            <w14:solidFill>
              <w14:schemeClr w14:val="tx1"/>
            </w14:solidFill>
          </w14:textFill>
        </w:rPr>
        <w:t>4.41</w:t>
      </w:r>
      <w:r>
        <w:rPr>
          <w:rFonts w:hint="eastAsia"/>
          <w:color w:val="000000" w:themeColor="text1"/>
          <w:sz w:val="24"/>
          <w:lang w:bidi="ar"/>
          <w14:textFill>
            <w14:solidFill>
              <w14:schemeClr w14:val="tx1"/>
            </w14:solidFill>
          </w14:textFill>
        </w:rPr>
        <w:t>hm</w:t>
      </w:r>
      <w:r>
        <w:rPr>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w:t>
      </w:r>
    </w:p>
    <w:p w14:paraId="5B0DDA52">
      <w:pPr>
        <w:pStyle w:val="18"/>
        <w:keepNext w:val="0"/>
        <w:keepLines w:val="0"/>
        <w:pageBreakBefore w:val="0"/>
        <w:widowControl w:val="0"/>
        <w:kinsoku/>
        <w:wordWrap/>
        <w:overflowPunct w:val="0"/>
        <w:topLinePunct/>
        <w:autoSpaceDE/>
        <w:autoSpaceDN/>
        <w:bidi w:val="0"/>
        <w:adjustRightInd/>
        <w:snapToGrid/>
        <w:spacing w:line="480" w:lineRule="exact"/>
        <w:ind w:firstLine="480"/>
        <w:textAlignment w:val="auto"/>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矿山的</w:t>
      </w:r>
      <w:r>
        <w:rPr>
          <w:rFonts w:hint="eastAsia"/>
          <w:color w:val="000000" w:themeColor="text1"/>
          <w:sz w:val="24"/>
          <w:szCs w:val="28"/>
          <w:lang w:eastAsia="zh-CN"/>
          <w14:textFill>
            <w14:solidFill>
              <w14:schemeClr w14:val="tx1"/>
            </w14:solidFill>
          </w14:textFill>
        </w:rPr>
        <w:t>掘进</w:t>
      </w:r>
      <w:r>
        <w:rPr>
          <w:rFonts w:hint="eastAsia"/>
          <w:color w:val="000000" w:themeColor="text1"/>
          <w:sz w:val="24"/>
          <w:szCs w:val="28"/>
          <w14:textFill>
            <w14:solidFill>
              <w14:schemeClr w14:val="tx1"/>
            </w14:solidFill>
          </w14:textFill>
        </w:rPr>
        <w:t>及压占土地，辅助工程的建设开挖与占地，改变地表形态和生态景观，破坏地表植被，引发新的水土流失。同时还将改变土地利用类型，造成土地利用结构和功能的变化。</w:t>
      </w:r>
    </w:p>
    <w:p w14:paraId="32098D25">
      <w:pPr>
        <w:pStyle w:val="18"/>
        <w:keepNext w:val="0"/>
        <w:keepLines w:val="0"/>
        <w:pageBreakBefore w:val="0"/>
        <w:widowControl w:val="0"/>
        <w:kinsoku/>
        <w:wordWrap/>
        <w:overflowPunct w:val="0"/>
        <w:topLinePunct/>
        <w:autoSpaceDE/>
        <w:autoSpaceDN/>
        <w:bidi w:val="0"/>
        <w:adjustRightInd/>
        <w:snapToGrid/>
        <w:spacing w:line="480" w:lineRule="exact"/>
        <w:ind w:firstLine="480"/>
        <w:textAlignment w:val="auto"/>
        <w:rPr>
          <w:rFonts w:hint="eastAsia" w:eastAsia="宋体"/>
          <w:color w:val="000000" w:themeColor="text1"/>
          <w:sz w:val="24"/>
          <w:szCs w:val="28"/>
          <w:lang w:eastAsia="zh-CN"/>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在施工期，表土剥离导致一定面积的植被完全破坏，野生植物丧失，剥离物占用土地，从而导致土壤侵蚀和景观格局的改变</w:t>
      </w:r>
      <w:r>
        <w:rPr>
          <w:rFonts w:hint="eastAsia"/>
          <w:color w:val="000000" w:themeColor="text1"/>
          <w:sz w:val="24"/>
          <w:szCs w:val="28"/>
          <w:lang w:eastAsia="zh-CN"/>
          <w14:textFill>
            <w14:solidFill>
              <w14:schemeClr w14:val="tx1"/>
            </w14:solidFill>
          </w14:textFill>
        </w:rPr>
        <w:t>。</w:t>
      </w:r>
    </w:p>
    <w:p w14:paraId="71780852">
      <w:pPr>
        <w:pStyle w:val="18"/>
        <w:keepNext w:val="0"/>
        <w:keepLines w:val="0"/>
        <w:pageBreakBefore w:val="0"/>
        <w:widowControl w:val="0"/>
        <w:kinsoku/>
        <w:wordWrap/>
        <w:overflowPunct w:val="0"/>
        <w:topLinePunct/>
        <w:autoSpaceDE/>
        <w:autoSpaceDN/>
        <w:bidi w:val="0"/>
        <w:adjustRightInd/>
        <w:snapToGrid/>
        <w:spacing w:line="480" w:lineRule="exact"/>
        <w:ind w:firstLine="480"/>
        <w:textAlignment w:val="auto"/>
        <w:rPr>
          <w:rFonts w:hint="eastAsia" w:eastAsia="宋体"/>
          <w:color w:val="000000" w:themeColor="text1"/>
          <w:sz w:val="24"/>
          <w:szCs w:val="28"/>
          <w:lang w:eastAsia="zh-CN"/>
          <w14:textFill>
            <w14:solidFill>
              <w14:schemeClr w14:val="tx1"/>
            </w14:solidFill>
          </w14:textFill>
        </w:rPr>
      </w:pPr>
      <w:r>
        <w:rPr>
          <w:rFonts w:hint="eastAsia"/>
          <w:color w:val="000000" w:themeColor="text1"/>
          <w:sz w:val="24"/>
          <w:szCs w:val="28"/>
          <w14:textFill>
            <w14:solidFill>
              <w14:schemeClr w14:val="tx1"/>
            </w14:solidFill>
          </w14:textFill>
        </w:rPr>
        <w:t>（2）</w:t>
      </w:r>
      <w:r>
        <w:rPr>
          <w:color w:val="000000" w:themeColor="text1"/>
          <w:sz w:val="24"/>
          <w:szCs w:val="28"/>
          <w14:textFill>
            <w14:solidFill>
              <w14:schemeClr w14:val="tx1"/>
            </w14:solidFill>
          </w14:textFill>
        </w:rPr>
        <w:t>施工期间地表剥离及剥离物的运输、排弃，将形成新的水土流失。废石堆场排弃的剥离物在原始地形上形成松散的土岩堆体，废石堆场表层的松散土粒易被大风吹走，造成水土流失</w:t>
      </w:r>
      <w:r>
        <w:rPr>
          <w:rFonts w:hint="eastAsia"/>
          <w:color w:val="000000" w:themeColor="text1"/>
          <w:sz w:val="24"/>
          <w:szCs w:val="28"/>
          <w:lang w:eastAsia="zh-CN"/>
          <w14:textFill>
            <w14:solidFill>
              <w14:schemeClr w14:val="tx1"/>
            </w14:solidFill>
          </w14:textFill>
        </w:rPr>
        <w:t>。</w:t>
      </w:r>
    </w:p>
    <w:p w14:paraId="368BF256">
      <w:pPr>
        <w:pStyle w:val="18"/>
        <w:keepNext w:val="0"/>
        <w:keepLines w:val="0"/>
        <w:pageBreakBefore w:val="0"/>
        <w:widowControl w:val="0"/>
        <w:kinsoku/>
        <w:wordWrap/>
        <w:overflowPunct w:val="0"/>
        <w:topLinePunct/>
        <w:autoSpaceDE/>
        <w:autoSpaceDN/>
        <w:bidi w:val="0"/>
        <w:adjustRightInd/>
        <w:snapToGrid/>
        <w:spacing w:line="480" w:lineRule="exact"/>
        <w:ind w:firstLine="480"/>
        <w:textAlignment w:val="auto"/>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（3）</w:t>
      </w:r>
      <w:r>
        <w:rPr>
          <w:color w:val="000000" w:themeColor="text1"/>
          <w:sz w:val="24"/>
          <w:szCs w:val="28"/>
          <w14:textFill>
            <w14:solidFill>
              <w14:schemeClr w14:val="tx1"/>
            </w14:solidFill>
          </w14:textFill>
        </w:rPr>
        <w:t>工业场地、废石堆场及道路改造建设都将压占土地，破坏原有地表植被。</w:t>
      </w:r>
    </w:p>
    <w:p w14:paraId="7164F38A">
      <w:pPr>
        <w:pStyle w:val="18"/>
        <w:keepNext w:val="0"/>
        <w:keepLines w:val="0"/>
        <w:pageBreakBefore w:val="0"/>
        <w:widowControl w:val="0"/>
        <w:kinsoku/>
        <w:wordWrap/>
        <w:overflowPunct w:val="0"/>
        <w:topLinePunct/>
        <w:autoSpaceDE/>
        <w:autoSpaceDN/>
        <w:bidi w:val="0"/>
        <w:adjustRightInd/>
        <w:snapToGrid/>
        <w:spacing w:line="480" w:lineRule="exact"/>
        <w:ind w:firstLine="480"/>
        <w:textAlignment w:val="auto"/>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（4）</w:t>
      </w:r>
      <w:r>
        <w:rPr>
          <w:color w:val="000000" w:themeColor="text1"/>
          <w:sz w:val="24"/>
          <w:szCs w:val="28"/>
          <w14:textFill>
            <w14:solidFill>
              <w14:schemeClr w14:val="tx1"/>
            </w14:solidFill>
          </w14:textFill>
        </w:rPr>
        <w:t>施工期的建筑材料运输、装卸，基础工程土方开挖等产生的扬尘，会对周边地表植被生长造成影响。</w:t>
      </w:r>
    </w:p>
    <w:p w14:paraId="3D6C18E3">
      <w:pPr>
        <w:pStyle w:val="4"/>
        <w:spacing w:before="60" w:after="60" w:line="480" w:lineRule="exact"/>
        <w:rPr>
          <w:color w:val="000000" w:themeColor="text1"/>
          <w:kern w:val="2"/>
          <w14:textFill>
            <w14:solidFill>
              <w14:schemeClr w14:val="tx1"/>
            </w14:solidFill>
          </w14:textFill>
        </w:rPr>
      </w:pPr>
      <w:bookmarkStart w:id="314" w:name="_Toc24074"/>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4</w:t>
      </w:r>
      <w:r>
        <w:rPr>
          <w:rFonts w:hint="eastAsia"/>
          <w:color w:val="000000" w:themeColor="text1"/>
          <w:kern w:val="2"/>
          <w14:textFill>
            <w14:solidFill>
              <w14:schemeClr w14:val="tx1"/>
            </w14:solidFill>
          </w14:textFill>
        </w:rPr>
        <w:t>运营期污染源分析</w:t>
      </w:r>
      <w:bookmarkEnd w:id="314"/>
    </w:p>
    <w:p w14:paraId="06DE7C34">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4</w:t>
      </w:r>
      <w:r>
        <w:rPr>
          <w:rFonts w:hint="eastAsia" w:ascii="Times New Roman" w:hAnsi="Times New Roman"/>
          <w:bCs w:val="0"/>
          <w:color w:val="000000" w:themeColor="text1"/>
          <w:kern w:val="2"/>
          <w:szCs w:val="24"/>
          <w14:textFill>
            <w14:solidFill>
              <w14:schemeClr w14:val="tx1"/>
            </w14:solidFill>
          </w14:textFill>
        </w:rPr>
        <w:t>.1大气污染源及污染物排放情况</w:t>
      </w:r>
    </w:p>
    <w:p w14:paraId="51B4A842">
      <w:pPr>
        <w:pStyle w:val="18"/>
        <w:spacing w:line="480" w:lineRule="exact"/>
        <w:ind w:firstLine="480"/>
        <w:rPr>
          <w:rFonts w:hint="default" w:eastAsia="宋体"/>
          <w:color w:val="000000" w:themeColor="text1"/>
          <w:sz w:val="24"/>
          <w:szCs w:val="28"/>
          <w:lang w:val="en-US" w:eastAsia="zh-CN"/>
          <w14:textFill>
            <w14:solidFill>
              <w14:schemeClr w14:val="tx1"/>
            </w14:solidFill>
          </w14:textFill>
        </w:rPr>
      </w:pPr>
      <w:r>
        <w:rPr>
          <w:rFonts w:hint="eastAsia"/>
          <w:color w:val="000000" w:themeColor="text1"/>
          <w:sz w:val="24"/>
          <w:szCs w:val="28"/>
          <w14:textFill>
            <w14:solidFill>
              <w14:schemeClr w14:val="tx1"/>
            </w14:solidFill>
          </w14:textFill>
        </w:rPr>
        <w:t>本项目运营期大气污染源主要来自原矿开采过程产生的凿岩爆破废气、原矿和废石井下装载及运输过程产生的粉尘、废石堆场扬尘、道路运输扬尘、柴油燃烧废气等。</w:t>
      </w:r>
      <w:r>
        <w:rPr>
          <w:rFonts w:hint="eastAsia"/>
          <w:color w:val="000000" w:themeColor="text1"/>
          <w:sz w:val="24"/>
          <w:szCs w:val="28"/>
          <w:lang w:val="en-US" w:eastAsia="zh-CN"/>
          <w14:textFill>
            <w14:solidFill>
              <w14:schemeClr w14:val="tx1"/>
            </w14:solidFill>
          </w14:textFill>
        </w:rPr>
        <w:t>本项目现有矿石堆场计划封场，本次评价不对现有矿石堆场大气污染源进行核算。</w:t>
      </w:r>
    </w:p>
    <w:p w14:paraId="31F0AC0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（1）凿岩爆破废气</w:t>
      </w:r>
    </w:p>
    <w:p w14:paraId="1CDA7190">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①凿岩爆破粉尘</w:t>
      </w:r>
    </w:p>
    <w:p w14:paraId="2D802FA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井下开采过程中，由于凿岩、爆破、放矿等原因，各落料点会产生无组织粉尘，采矿时，打眼、放炮过程中会产生扬尘，地下开采采用湿式凿岩工艺，喷雾洒水降尘，控制粉尘产生。地下开采粉尘和烟气排放分为爆破瞬时排放和正常通风排放，根据本项目开发利用方案，开采期炸药用量为</w:t>
      </w:r>
      <w:r>
        <w:rPr>
          <w:color w:val="000000" w:themeColor="text1"/>
          <w:sz w:val="24"/>
          <w:szCs w:val="28"/>
          <w14:textFill>
            <w14:solidFill>
              <w14:schemeClr w14:val="tx1"/>
            </w14:solidFill>
          </w14:textFill>
        </w:rPr>
        <w:t>240</w:t>
      </w:r>
      <w:r>
        <w:rPr>
          <w:rFonts w:hint="eastAsia"/>
          <w:color w:val="000000" w:themeColor="text1"/>
          <w:sz w:val="24"/>
          <w:szCs w:val="28"/>
          <w14:textFill>
            <w14:solidFill>
              <w14:schemeClr w14:val="tx1"/>
            </w14:solidFill>
          </w14:textFill>
        </w:rPr>
        <w:t>t/a，根据&lt;张兴凯、李怀宇.露天矿爆破粉尘排放量的计算分析〔J〕.金属矿山，1996年第3期&gt;一文，爆破粉尘排放强度为54.2kg/t（炸药量），爆破瞬时粉尘可达300mg/m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，强制通风后外排地面大气中的粉尘浓度低于120mg/m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经计算，</w:t>
      </w:r>
      <w:r>
        <w:rPr>
          <w:rFonts w:hint="eastAsia"/>
          <w:color w:val="000000" w:themeColor="text1"/>
          <w:sz w:val="24"/>
          <w:szCs w:val="28"/>
          <w14:textFill>
            <w14:solidFill>
              <w14:schemeClr w14:val="tx1"/>
            </w14:solidFill>
          </w14:textFill>
        </w:rPr>
        <w:t>粉尘产生量为</w:t>
      </w:r>
      <w:r>
        <w:rPr>
          <w:rFonts w:hint="eastAsia"/>
          <w:color w:val="000000" w:themeColor="text1"/>
          <w:sz w:val="24"/>
          <w:szCs w:val="28"/>
          <w:lang w:val="en-US" w:eastAsia="zh-CN"/>
          <w14:textFill>
            <w14:solidFill>
              <w14:schemeClr w14:val="tx1"/>
            </w14:solidFill>
          </w14:textFill>
        </w:rPr>
        <w:t>13.01</w:t>
      </w:r>
      <w:r>
        <w:rPr>
          <w:rFonts w:hint="eastAsia"/>
          <w:color w:val="000000" w:themeColor="text1"/>
          <w:sz w:val="24"/>
          <w:szCs w:val="28"/>
          <w14:textFill>
            <w14:solidFill>
              <w14:schemeClr w14:val="tx1"/>
            </w14:solidFill>
          </w14:textFill>
        </w:rPr>
        <w:t>t/a（</w:t>
      </w:r>
      <w:r>
        <w:rPr>
          <w:rFonts w:hint="eastAsia"/>
          <w:color w:val="000000" w:themeColor="text1"/>
          <w:sz w:val="24"/>
          <w:szCs w:val="28"/>
          <w:lang w:val="en-US" w:eastAsia="zh-CN"/>
          <w14:textFill>
            <w14:solidFill>
              <w14:schemeClr w14:val="tx1"/>
            </w14:solidFill>
          </w14:textFill>
        </w:rPr>
        <w:t>2.168</w:t>
      </w:r>
      <w:r>
        <w:rPr>
          <w:rFonts w:hint="eastAsia"/>
          <w:color w:val="000000" w:themeColor="text1"/>
          <w:sz w:val="24"/>
          <w:szCs w:val="28"/>
          <w14:textFill>
            <w14:solidFill>
              <w14:schemeClr w14:val="tx1"/>
            </w14:solidFill>
          </w14:textFill>
        </w:rPr>
        <w:t>kg/h）</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根据本项目开发利用方案，矿井总风量为</w:t>
      </w:r>
      <w:r>
        <w:rPr>
          <w:color w:val="000000" w:themeColor="text1"/>
          <w:sz w:val="24"/>
          <w:szCs w:val="28"/>
          <w14:textFill>
            <w14:solidFill>
              <w14:schemeClr w14:val="tx1"/>
            </w14:solidFill>
          </w14:textFill>
        </w:rPr>
        <w:t>98.92</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/s，</w:t>
      </w:r>
      <w:r>
        <w:rPr>
          <w:rFonts w:hint="eastAsia"/>
          <w:color w:val="000000" w:themeColor="text1"/>
          <w:sz w:val="24"/>
          <w:szCs w:val="28"/>
          <w:lang w:val="en-US" w:eastAsia="zh-CN"/>
          <w14:textFill>
            <w14:solidFill>
              <w14:schemeClr w14:val="tx1"/>
            </w14:solidFill>
          </w14:textFill>
        </w:rPr>
        <w:t>则计算出粉尘</w:t>
      </w:r>
      <w:r>
        <w:rPr>
          <w:rFonts w:hint="eastAsia"/>
          <w:color w:val="000000" w:themeColor="text1"/>
          <w:sz w:val="24"/>
          <w:szCs w:val="28"/>
          <w14:textFill>
            <w14:solidFill>
              <w14:schemeClr w14:val="tx1"/>
            </w14:solidFill>
          </w14:textFill>
        </w:rPr>
        <w:t>含量为</w:t>
      </w:r>
      <w:r>
        <w:rPr>
          <w:rFonts w:hint="eastAsia"/>
          <w:color w:val="000000" w:themeColor="text1"/>
          <w:sz w:val="24"/>
          <w:szCs w:val="28"/>
          <w:lang w:val="en-US" w:eastAsia="zh-CN"/>
          <w14:textFill>
            <w14:solidFill>
              <w14:schemeClr w14:val="tx1"/>
            </w14:solidFill>
          </w14:textFill>
        </w:rPr>
        <w:t>6.09</w:t>
      </w:r>
      <w:r>
        <w:rPr>
          <w:rFonts w:hint="eastAsia"/>
          <w:color w:val="000000" w:themeColor="text1"/>
          <w:sz w:val="24"/>
          <w:szCs w:val="28"/>
          <w14:textFill>
            <w14:solidFill>
              <w14:schemeClr w14:val="tx1"/>
            </w14:solidFill>
          </w14:textFill>
        </w:rPr>
        <w:t>mg/m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，井下开采过程采用湿式凿岩</w:t>
      </w:r>
      <w:r>
        <w:rPr>
          <w:rFonts w:hint="eastAsia"/>
          <w:color w:val="000000" w:themeColor="text1"/>
          <w:sz w:val="24"/>
          <w:szCs w:val="28"/>
          <w:lang w:eastAsia="zh-CN"/>
          <w14:textFill>
            <w14:solidFill>
              <w14:schemeClr w14:val="tx1"/>
            </w14:solidFill>
          </w14:textFill>
        </w:rPr>
        <w:t>的</w:t>
      </w:r>
      <w:r>
        <w:rPr>
          <w:rFonts w:hint="eastAsia"/>
          <w:color w:val="000000" w:themeColor="text1"/>
          <w:sz w:val="24"/>
          <w:szCs w:val="28"/>
          <w:lang w:val="en-US" w:eastAsia="zh-CN"/>
          <w14:textFill>
            <w14:solidFill>
              <w14:schemeClr w14:val="tx1"/>
            </w14:solidFill>
          </w14:textFill>
        </w:rPr>
        <w:t>降尘措施</w:t>
      </w:r>
      <w:r>
        <w:rPr>
          <w:rFonts w:hint="eastAsia"/>
          <w:color w:val="000000" w:themeColor="text1"/>
          <w:sz w:val="24"/>
          <w:szCs w:val="28"/>
          <w14:textFill>
            <w14:solidFill>
              <w14:schemeClr w14:val="tx1"/>
            </w14:solidFill>
          </w14:textFill>
        </w:rPr>
        <w:t>，粉尘排放量为</w:t>
      </w:r>
      <w:r>
        <w:rPr>
          <w:rFonts w:hint="eastAsia"/>
          <w:color w:val="000000" w:themeColor="text1"/>
          <w:sz w:val="24"/>
          <w:szCs w:val="28"/>
          <w:lang w:val="en-US" w:eastAsia="zh-CN"/>
          <w14:textFill>
            <w14:solidFill>
              <w14:schemeClr w14:val="tx1"/>
            </w14:solidFill>
          </w14:textFill>
        </w:rPr>
        <w:t>2.60</w:t>
      </w:r>
      <w:r>
        <w:rPr>
          <w:rFonts w:hint="eastAsia"/>
          <w:color w:val="000000" w:themeColor="text1"/>
          <w:sz w:val="24"/>
          <w:szCs w:val="28"/>
          <w14:textFill>
            <w14:solidFill>
              <w14:schemeClr w14:val="tx1"/>
            </w14:solidFill>
          </w14:textFill>
        </w:rPr>
        <w:t>t/a。</w:t>
      </w:r>
      <w:r>
        <w:rPr>
          <w:rFonts w:hint="eastAsia"/>
          <w:color w:val="000000" w:themeColor="text1"/>
          <w:sz w:val="24"/>
          <w:szCs w:val="28"/>
          <w:lang w:val="en-US" w:eastAsia="zh-CN"/>
          <w14:textFill>
            <w14:solidFill>
              <w14:schemeClr w14:val="tx1"/>
            </w14:solidFill>
          </w14:textFill>
        </w:rPr>
        <w:t>井下废气</w:t>
      </w:r>
      <w:r>
        <w:rPr>
          <w:rFonts w:hint="eastAsia"/>
          <w:color w:val="000000" w:themeColor="text1"/>
          <w:sz w:val="24"/>
          <w:szCs w:val="28"/>
          <w14:textFill>
            <w14:solidFill>
              <w14:schemeClr w14:val="tx1"/>
            </w14:solidFill>
          </w14:textFill>
        </w:rPr>
        <w:t>由风机</w:t>
      </w:r>
      <w:r>
        <w:rPr>
          <w:rFonts w:hint="eastAsia"/>
          <w:color w:val="000000" w:themeColor="text1"/>
          <w:sz w:val="24"/>
          <w:szCs w:val="28"/>
          <w:lang w:val="en-US" w:eastAsia="zh-CN"/>
          <w14:textFill>
            <w14:solidFill>
              <w14:schemeClr w14:val="tx1"/>
            </w14:solidFill>
          </w14:textFill>
        </w:rPr>
        <w:t>输送至</w:t>
      </w:r>
      <w:r>
        <w:rPr>
          <w:rFonts w:hint="eastAsia"/>
          <w:color w:val="000000" w:themeColor="text1"/>
          <w:sz w:val="24"/>
          <w:szCs w:val="28"/>
          <w14:textFill>
            <w14:solidFill>
              <w14:schemeClr w14:val="tx1"/>
            </w14:solidFill>
          </w14:textFill>
        </w:rPr>
        <w:t>矿井上部，最终排至地表大气中。</w:t>
      </w:r>
    </w:p>
    <w:p w14:paraId="4A9E08F7">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②爆破废气</w:t>
      </w:r>
    </w:p>
    <w:p w14:paraId="1CC20511">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本项目铁矿在地采过程中需要使用炸药和雷管进行爆破。根据黄忆龙《工程爆破中的灾害及其控制》，岩石爆破产生的CO量为6.3g/kg炸药、NOx为14.6g/kg炸药，本项目炸药使用量为</w:t>
      </w:r>
      <w:r>
        <w:rPr>
          <w:color w:val="000000" w:themeColor="text1"/>
          <w:sz w:val="24"/>
          <w:szCs w:val="28"/>
          <w14:textFill>
            <w14:solidFill>
              <w14:schemeClr w14:val="tx1"/>
            </w14:solidFill>
          </w14:textFill>
        </w:rPr>
        <w:t>24</w:t>
      </w:r>
      <w:r>
        <w:rPr>
          <w:rFonts w:hint="eastAsia"/>
          <w:color w:val="000000" w:themeColor="text1"/>
          <w:sz w:val="24"/>
          <w:szCs w:val="28"/>
          <w14:textFill>
            <w14:solidFill>
              <w14:schemeClr w14:val="tx1"/>
            </w14:solidFill>
          </w14:textFill>
        </w:rPr>
        <w:t>0t/a，则爆破产生CO的产生量为</w:t>
      </w:r>
      <w:r>
        <w:rPr>
          <w:color w:val="000000" w:themeColor="text1"/>
          <w:sz w:val="24"/>
          <w:szCs w:val="28"/>
          <w14:textFill>
            <w14:solidFill>
              <w14:schemeClr w14:val="tx1"/>
            </w14:solidFill>
          </w14:textFill>
        </w:rPr>
        <w:t>1.512</w:t>
      </w:r>
      <w:r>
        <w:rPr>
          <w:rFonts w:hint="eastAsia"/>
          <w:color w:val="000000" w:themeColor="text1"/>
          <w:sz w:val="24"/>
          <w:szCs w:val="28"/>
          <w14:textFill>
            <w14:solidFill>
              <w14:schemeClr w14:val="tx1"/>
            </w14:solidFill>
          </w14:textFill>
        </w:rPr>
        <w:t>t/a，排放速率为</w:t>
      </w:r>
      <w:r>
        <w:rPr>
          <w:color w:val="000000" w:themeColor="text1"/>
          <w:sz w:val="24"/>
          <w:szCs w:val="28"/>
          <w14:textFill>
            <w14:solidFill>
              <w14:schemeClr w14:val="tx1"/>
            </w14:solidFill>
          </w14:textFill>
        </w:rPr>
        <w:t>0.252</w:t>
      </w:r>
      <w:r>
        <w:rPr>
          <w:rFonts w:hint="eastAsia"/>
          <w:color w:val="000000" w:themeColor="text1"/>
          <w:sz w:val="24"/>
          <w:szCs w:val="28"/>
          <w14:textFill>
            <w14:solidFill>
              <w14:schemeClr w14:val="tx1"/>
            </w14:solidFill>
          </w14:textFill>
        </w:rPr>
        <w:t>kg/h；NOx产生量为</w:t>
      </w:r>
      <w:r>
        <w:rPr>
          <w:color w:val="000000" w:themeColor="text1"/>
          <w:sz w:val="24"/>
          <w:szCs w:val="28"/>
          <w14:textFill>
            <w14:solidFill>
              <w14:schemeClr w14:val="tx1"/>
            </w14:solidFill>
          </w14:textFill>
        </w:rPr>
        <w:t>3.504</w:t>
      </w:r>
      <w:r>
        <w:rPr>
          <w:rFonts w:hint="eastAsia"/>
          <w:color w:val="000000" w:themeColor="text1"/>
          <w:sz w:val="24"/>
          <w:szCs w:val="28"/>
          <w14:textFill>
            <w14:solidFill>
              <w14:schemeClr w14:val="tx1"/>
            </w14:solidFill>
          </w14:textFill>
        </w:rPr>
        <w:t>t/a，排放速率为</w:t>
      </w:r>
      <w:r>
        <w:rPr>
          <w:color w:val="000000" w:themeColor="text1"/>
          <w:sz w:val="24"/>
          <w:szCs w:val="28"/>
          <w14:textFill>
            <w14:solidFill>
              <w14:schemeClr w14:val="tx1"/>
            </w14:solidFill>
          </w14:textFill>
        </w:rPr>
        <w:t>0.584</w:t>
      </w:r>
      <w:r>
        <w:rPr>
          <w:rFonts w:hint="eastAsia"/>
          <w:color w:val="000000" w:themeColor="text1"/>
          <w:sz w:val="24"/>
          <w:szCs w:val="28"/>
          <w14:textFill>
            <w14:solidFill>
              <w14:schemeClr w14:val="tx1"/>
            </w14:solidFill>
          </w14:textFill>
        </w:rPr>
        <w:t>kg/h。井下爆破是间歇性排放，爆破废气经新鲜风稀释后排出，对大气环境影响不大。</w:t>
      </w:r>
    </w:p>
    <w:p w14:paraId="126B3781">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2</w:t>
      </w:r>
      <w:r>
        <w:rPr>
          <w:rFonts w:hint="eastAsia"/>
          <w:color w:val="000000" w:themeColor="text1"/>
          <w:sz w:val="24"/>
          <w:szCs w:val="28"/>
          <w14:textFill>
            <w14:solidFill>
              <w14:schemeClr w14:val="tx1"/>
            </w14:solidFill>
          </w14:textFill>
        </w:rPr>
        <w:t>）原矿、废石井下装载粉尘</w:t>
      </w:r>
    </w:p>
    <w:p w14:paraId="2703A8AA">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原矿、废石在井下</w:t>
      </w:r>
      <w:r>
        <w:rPr>
          <w:color w:val="000000" w:themeColor="text1"/>
          <w:sz w:val="24"/>
          <w14:textFill>
            <w14:solidFill>
              <w14:schemeClr w14:val="tx1"/>
            </w14:solidFill>
          </w14:textFill>
        </w:rPr>
        <w:t>溜矿、装车</w:t>
      </w:r>
      <w:r>
        <w:rPr>
          <w:rFonts w:hint="eastAsia"/>
          <w:color w:val="000000" w:themeColor="text1"/>
          <w:sz w:val="24"/>
          <w14:textFill>
            <w14:solidFill>
              <w14:schemeClr w14:val="tx1"/>
            </w14:solidFill>
          </w14:textFill>
        </w:rPr>
        <w:t>等作业地点采取</w:t>
      </w:r>
      <w:r>
        <w:rPr>
          <w:color w:val="000000" w:themeColor="text1"/>
          <w:sz w:val="24"/>
          <w14:textFill>
            <w14:solidFill>
              <w14:schemeClr w14:val="tx1"/>
            </w14:solidFill>
          </w14:textFill>
        </w:rPr>
        <w:t>洒水喷雾降尘措施，</w:t>
      </w:r>
      <w:r>
        <w:rPr>
          <w:rFonts w:hint="eastAsia"/>
          <w:color w:val="000000" w:themeColor="text1"/>
          <w:sz w:val="24"/>
          <w14:textFill>
            <w14:solidFill>
              <w14:schemeClr w14:val="tx1"/>
            </w14:solidFill>
          </w14:textFill>
        </w:rPr>
        <w:t>粉尘排放量较小，本次评价不对其进行定量分析评价。</w:t>
      </w:r>
    </w:p>
    <w:p w14:paraId="49F62F22">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3</w:t>
      </w:r>
      <w:r>
        <w:rPr>
          <w:rFonts w:hint="eastAsia"/>
          <w:color w:val="000000" w:themeColor="text1"/>
          <w:sz w:val="24"/>
          <w:szCs w:val="28"/>
          <w14:textFill>
            <w14:solidFill>
              <w14:schemeClr w14:val="tx1"/>
            </w14:solidFill>
          </w14:textFill>
        </w:rPr>
        <w:t>）废石堆场扬尘</w:t>
      </w:r>
    </w:p>
    <w:p w14:paraId="42D84FFB">
      <w:pPr>
        <w:pStyle w:val="18"/>
        <w:spacing w:line="480" w:lineRule="exact"/>
        <w:ind w:firstLine="480"/>
        <w:rPr>
          <w:rFonts w:hint="eastAsia" w:eastAsia="宋体"/>
          <w:color w:val="000000" w:themeColor="text1"/>
          <w:sz w:val="24"/>
          <w:szCs w:val="28"/>
          <w:highlight w:val="none"/>
          <w:lang w:val="en-US" w:eastAsia="zh-CN"/>
          <w14:textFill>
            <w14:solidFill>
              <w14:schemeClr w14:val="tx1"/>
            </w14:solidFill>
          </w14:textFill>
        </w:rPr>
      </w:pPr>
      <w:r>
        <w:rPr>
          <w:color w:val="000000" w:themeColor="text1"/>
          <w:sz w:val="24"/>
          <w:szCs w:val="28"/>
          <w:highlight w:val="none"/>
          <w14:textFill>
            <w14:solidFill>
              <w14:schemeClr w14:val="tx1"/>
            </w14:solidFill>
          </w14:textFill>
        </w:rPr>
        <w:t>废石由2</w:t>
      </w:r>
      <w:r>
        <w:rPr>
          <w:rFonts w:hint="eastAsia"/>
          <w:color w:val="000000" w:themeColor="text1"/>
          <w:sz w:val="24"/>
          <w:szCs w:val="28"/>
          <w:highlight w:val="none"/>
          <w14:textFill>
            <w14:solidFill>
              <w14:schemeClr w14:val="tx1"/>
            </w14:solidFill>
          </w14:textFill>
        </w:rPr>
        <w:t>辆</w:t>
      </w:r>
      <w:r>
        <w:rPr>
          <w:color w:val="000000" w:themeColor="text1"/>
          <w:sz w:val="24"/>
          <w:szCs w:val="28"/>
          <w:highlight w:val="none"/>
          <w14:textFill>
            <w14:solidFill>
              <w14:schemeClr w14:val="tx1"/>
            </w14:solidFill>
          </w14:textFill>
        </w:rPr>
        <w:t>10t自卸汽车运输至废石堆场排弃</w:t>
      </w:r>
      <w:r>
        <w:rPr>
          <w:rFonts w:hint="eastAsia"/>
          <w:color w:val="000000" w:themeColor="text1"/>
          <w:sz w:val="24"/>
          <w:szCs w:val="28"/>
          <w:highlight w:val="none"/>
          <w14:textFill>
            <w14:solidFill>
              <w14:schemeClr w14:val="tx1"/>
            </w14:solidFill>
          </w14:textFill>
        </w:rPr>
        <w:t>。废石堆放的先后顺序依次为1号废石堆场、2号废石堆场，同一个时间点废石只运往1个</w:t>
      </w:r>
      <w:r>
        <w:rPr>
          <w:rFonts w:hint="eastAsia"/>
          <w:color w:val="000000" w:themeColor="text1"/>
          <w:sz w:val="24"/>
          <w:szCs w:val="28"/>
          <w:highlight w:val="none"/>
          <w:lang w:eastAsia="zh-CN"/>
          <w14:textFill>
            <w14:solidFill>
              <w14:schemeClr w14:val="tx1"/>
            </w14:solidFill>
          </w14:textFill>
        </w:rPr>
        <w:t>废石堆场</w:t>
      </w:r>
      <w:r>
        <w:rPr>
          <w:rFonts w:hint="eastAsia"/>
          <w:color w:val="000000" w:themeColor="text1"/>
          <w:sz w:val="24"/>
          <w:szCs w:val="28"/>
          <w:highlight w:val="none"/>
          <w14:textFill>
            <w14:solidFill>
              <w14:schemeClr w14:val="tx1"/>
            </w14:solidFill>
          </w14:textFill>
        </w:rPr>
        <w:t>，1号废石堆场堆满后再堆放至2号废石堆场。</w:t>
      </w:r>
    </w:p>
    <w:p w14:paraId="10B41DEB">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废石堆场在起风天气会造成不同程度的扬尘影响。废石堆场废石堆放产生的扬尘量按照《固体物料堆存颗粒物产排污核算系数手册》中的公式计算。</w:t>
      </w:r>
    </w:p>
    <w:p w14:paraId="4E99B488">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颗粒物产生量核算公式：</w:t>
      </w:r>
    </w:p>
    <w:p w14:paraId="5DB708A3">
      <w:pPr>
        <w:pStyle w:val="18"/>
        <w:ind w:firstLine="0" w:firstLineChars="0"/>
        <w:jc w:val="center"/>
        <w:rPr>
          <w:rFonts w:hint="eastAsia"/>
          <w:color w:val="000000" w:themeColor="text1"/>
          <w:sz w:val="24"/>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914775" cy="438150"/>
            <wp:effectExtent l="0" t="0" r="9525" b="0"/>
            <wp:docPr id="1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8"/>
                    <pic:cNvPicPr>
                      <a:picLocks noChangeAspect="1"/>
                    </pic:cNvPicPr>
                  </pic:nvPicPr>
                  <pic:blipFill>
                    <a:blip r:embed="rId42"/>
                    <a:stretch>
                      <a:fillRect/>
                    </a:stretch>
                  </pic:blipFill>
                  <pic:spPr>
                    <a:xfrm>
                      <a:off x="0" y="0"/>
                      <a:ext cx="3914775" cy="438150"/>
                    </a:xfrm>
                    <a:prstGeom prst="rect">
                      <a:avLst/>
                    </a:prstGeom>
                    <a:noFill/>
                    <a:ln>
                      <a:noFill/>
                    </a:ln>
                  </pic:spPr>
                </pic:pic>
              </a:graphicData>
            </a:graphic>
          </wp:inline>
        </w:drawing>
      </w:r>
    </w:p>
    <w:p w14:paraId="3D0F8A1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计算参数：P——颗粒物产生量（t）；</w:t>
      </w:r>
    </w:p>
    <w:p w14:paraId="7B1A3BF2">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ZC</w:t>
      </w:r>
      <w:r>
        <w:rPr>
          <w:rFonts w:hint="eastAsia"/>
          <w:color w:val="000000" w:themeColor="text1"/>
          <w:sz w:val="24"/>
          <w:szCs w:val="28"/>
          <w:vertAlign w:val="subscript"/>
          <w14:textFill>
            <w14:solidFill>
              <w14:schemeClr w14:val="tx1"/>
            </w14:solidFill>
          </w14:textFill>
        </w:rPr>
        <w:t>y</w:t>
      </w:r>
      <w:r>
        <w:rPr>
          <w:rFonts w:hint="eastAsia"/>
          <w:color w:val="000000" w:themeColor="text1"/>
          <w:sz w:val="24"/>
          <w:szCs w:val="28"/>
          <w14:textFill>
            <w14:solidFill>
              <w14:schemeClr w14:val="tx1"/>
            </w14:solidFill>
          </w14:textFill>
        </w:rPr>
        <w:t>——装卸扬尘产生量（t）；</w:t>
      </w:r>
    </w:p>
    <w:p w14:paraId="3BB7BC93">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FC</w:t>
      </w:r>
      <w:r>
        <w:rPr>
          <w:rFonts w:hint="eastAsia"/>
          <w:color w:val="000000" w:themeColor="text1"/>
          <w:sz w:val="24"/>
          <w:szCs w:val="28"/>
          <w:vertAlign w:val="subscript"/>
          <w14:textFill>
            <w14:solidFill>
              <w14:schemeClr w14:val="tx1"/>
            </w14:solidFill>
          </w14:textFill>
        </w:rPr>
        <w:t>y</w:t>
      </w:r>
      <w:r>
        <w:rPr>
          <w:rFonts w:hint="eastAsia"/>
          <w:color w:val="000000" w:themeColor="text1"/>
          <w:sz w:val="24"/>
          <w:szCs w:val="28"/>
          <w14:textFill>
            <w14:solidFill>
              <w14:schemeClr w14:val="tx1"/>
            </w14:solidFill>
          </w14:textFill>
        </w:rPr>
        <w:t>——风蚀扬尘产生量（t）；</w:t>
      </w:r>
    </w:p>
    <w:p w14:paraId="683830B4">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Nc——年物料运载车次（车）；</w:t>
      </w:r>
    </w:p>
    <w:p w14:paraId="00067B01">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D——单车平均运载量（t/车）；</w:t>
      </w:r>
    </w:p>
    <w:p w14:paraId="3A5540F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（a/b）——装卸扬尘概化系数（kg/t），a指各省风速概化系数（查表取0.0011），b指物料含水率概化系数（查表取0.0084）；</w:t>
      </w:r>
    </w:p>
    <w:p w14:paraId="7103670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E</w:t>
      </w:r>
      <w:r>
        <w:rPr>
          <w:rFonts w:hint="eastAsia"/>
          <w:color w:val="000000" w:themeColor="text1"/>
          <w:sz w:val="24"/>
          <w:szCs w:val="28"/>
          <w:vertAlign w:val="subscript"/>
          <w14:textFill>
            <w14:solidFill>
              <w14:schemeClr w14:val="tx1"/>
            </w14:solidFill>
          </w14:textFill>
        </w:rPr>
        <w:t>f</w:t>
      </w:r>
      <w:r>
        <w:rPr>
          <w:rFonts w:hint="eastAsia"/>
          <w:color w:val="000000" w:themeColor="text1"/>
          <w:sz w:val="24"/>
          <w:szCs w:val="28"/>
          <w14:textFill>
            <w14:solidFill>
              <w14:schemeClr w14:val="tx1"/>
            </w14:solidFill>
          </w14:textFill>
        </w:rPr>
        <w:t>——堆场风蚀扬尘概化系数（查表取0）；</w:t>
      </w:r>
    </w:p>
    <w:p w14:paraId="75EAFD09">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S——堆场占地面积（m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w:t>
      </w:r>
    </w:p>
    <w:p w14:paraId="78461418">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1号废石堆场占地面积3.12hm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，2号废石堆场占地面积2.24hm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vertAlign w:val="baseline"/>
          <w:lang w:eastAsia="zh-CN"/>
          <w14:textFill>
            <w14:solidFill>
              <w14:schemeClr w14:val="tx1"/>
            </w14:solidFill>
          </w14:textFill>
        </w:rPr>
        <w:t>，</w:t>
      </w:r>
      <w:r>
        <w:rPr>
          <w:rFonts w:hint="eastAsia"/>
          <w:color w:val="000000" w:themeColor="text1"/>
          <w:sz w:val="24"/>
          <w:szCs w:val="28"/>
          <w14:textFill>
            <w14:solidFill>
              <w14:schemeClr w14:val="tx1"/>
            </w14:solidFill>
          </w14:textFill>
        </w:rPr>
        <w:t>废石量为</w:t>
      </w:r>
      <w:r>
        <w:rPr>
          <w:color w:val="000000" w:themeColor="text1"/>
          <w:sz w:val="24"/>
          <w:szCs w:val="28"/>
          <w14:textFill>
            <w14:solidFill>
              <w14:schemeClr w14:val="tx1"/>
            </w14:solidFill>
          </w14:textFill>
        </w:rPr>
        <w:t>13.97</w:t>
      </w:r>
      <w:r>
        <w:rPr>
          <w:rFonts w:hint="eastAsia"/>
          <w:color w:val="000000" w:themeColor="text1"/>
          <w:sz w:val="24"/>
          <w:szCs w:val="28"/>
          <w14:textFill>
            <w14:solidFill>
              <w14:schemeClr w14:val="tx1"/>
            </w14:solidFill>
          </w14:textFill>
        </w:rPr>
        <w:t>万t/a。经计算，</w:t>
      </w:r>
      <w:r>
        <w:rPr>
          <w:rFonts w:hint="eastAsia"/>
          <w:color w:val="000000" w:themeColor="text1"/>
          <w:sz w:val="24"/>
          <w:szCs w:val="28"/>
          <w:lang w:val="en-US" w:eastAsia="zh-CN"/>
          <w14:textFill>
            <w14:solidFill>
              <w14:schemeClr w14:val="tx1"/>
            </w14:solidFill>
          </w14:textFill>
        </w:rPr>
        <w:t>1号</w:t>
      </w:r>
      <w:r>
        <w:rPr>
          <w:rFonts w:hint="eastAsia"/>
          <w:color w:val="000000" w:themeColor="text1"/>
          <w:sz w:val="24"/>
          <w:szCs w:val="28"/>
          <w14:textFill>
            <w14:solidFill>
              <w14:schemeClr w14:val="tx1"/>
            </w14:solidFill>
          </w14:textFill>
        </w:rPr>
        <w:t>废石堆场扬尘产生量为1</w:t>
      </w:r>
      <w:r>
        <w:rPr>
          <w:color w:val="000000" w:themeColor="text1"/>
          <w:sz w:val="24"/>
          <w:szCs w:val="28"/>
          <w14:textFill>
            <w14:solidFill>
              <w14:schemeClr w14:val="tx1"/>
            </w14:solidFill>
          </w14:textFill>
        </w:rPr>
        <w:t>8.29</w:t>
      </w:r>
      <w:r>
        <w:rPr>
          <w:rFonts w:hint="eastAsia"/>
          <w:color w:val="000000" w:themeColor="text1"/>
          <w:sz w:val="24"/>
          <w14:textFill>
            <w14:solidFill>
              <w14:schemeClr w14:val="tx1"/>
            </w14:solidFill>
          </w14:textFill>
        </w:rPr>
        <w:t>t/a（</w:t>
      </w:r>
      <w:r>
        <w:rPr>
          <w:color w:val="000000" w:themeColor="text1"/>
          <w:sz w:val="24"/>
          <w14:textFill>
            <w14:solidFill>
              <w14:schemeClr w14:val="tx1"/>
            </w14:solidFill>
          </w14:textFill>
        </w:rPr>
        <w:t>3.05</w:t>
      </w:r>
      <w:r>
        <w:rPr>
          <w:rFonts w:hint="eastAsia"/>
          <w:color w:val="000000" w:themeColor="text1"/>
          <w:sz w:val="24"/>
          <w14:textFill>
            <w14:solidFill>
              <w14:schemeClr w14:val="tx1"/>
            </w14:solidFill>
          </w14:textFill>
        </w:rPr>
        <w:t>kg/h）</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2号废石堆场扬尘产生量为</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8.29</w:t>
      </w:r>
      <w:r>
        <w:rPr>
          <w:rFonts w:hint="eastAsia"/>
          <w:color w:val="000000" w:themeColor="text1"/>
          <w:sz w:val="24"/>
          <w14:textFill>
            <w14:solidFill>
              <w14:schemeClr w14:val="tx1"/>
            </w14:solidFill>
          </w14:textFill>
        </w:rPr>
        <w:t>t/a（</w:t>
      </w:r>
      <w:r>
        <w:rPr>
          <w:color w:val="000000" w:themeColor="text1"/>
          <w:sz w:val="24"/>
          <w14:textFill>
            <w14:solidFill>
              <w14:schemeClr w14:val="tx1"/>
            </w14:solidFill>
          </w14:textFill>
        </w:rPr>
        <w:t>3.05</w:t>
      </w:r>
      <w:r>
        <w:rPr>
          <w:rFonts w:hint="eastAsia"/>
          <w:color w:val="000000" w:themeColor="text1"/>
          <w:sz w:val="24"/>
          <w14:textFill>
            <w14:solidFill>
              <w14:schemeClr w14:val="tx1"/>
            </w14:solidFill>
          </w14:textFill>
        </w:rPr>
        <w:t>kg/h）</w:t>
      </w:r>
      <w:r>
        <w:rPr>
          <w:rFonts w:hint="eastAsia"/>
          <w:color w:val="000000" w:themeColor="text1"/>
          <w:sz w:val="24"/>
          <w:lang w:eastAsia="zh-CN"/>
          <w14:textFill>
            <w14:solidFill>
              <w14:schemeClr w14:val="tx1"/>
            </w14:solidFill>
          </w14:textFill>
        </w:rPr>
        <w:t>。</w:t>
      </w:r>
      <w:r>
        <w:rPr>
          <w:rFonts w:hint="eastAsia"/>
          <w:color w:val="000000" w:themeColor="text1"/>
          <w:sz w:val="24"/>
          <w:szCs w:val="28"/>
          <w14:textFill>
            <w14:solidFill>
              <w14:schemeClr w14:val="tx1"/>
            </w14:solidFill>
          </w14:textFill>
        </w:rPr>
        <w:t>向废石表面洒水，废石装卸时进行洒水抑尘，</w:t>
      </w:r>
      <w:r>
        <w:rPr>
          <w:rFonts w:hint="eastAsia"/>
          <w:color w:val="000000" w:themeColor="text1"/>
          <w:sz w:val="24"/>
          <w14:textFill>
            <w14:solidFill>
              <w14:schemeClr w14:val="tx1"/>
            </w14:solidFill>
          </w14:textFill>
        </w:rPr>
        <w:t>可将</w:t>
      </w:r>
      <w:r>
        <w:rPr>
          <w:rFonts w:hint="eastAsia"/>
          <w:color w:val="000000" w:themeColor="text1"/>
          <w:sz w:val="24"/>
          <w:szCs w:val="28"/>
          <w14:textFill>
            <w14:solidFill>
              <w14:schemeClr w14:val="tx1"/>
            </w14:solidFill>
          </w14:textFill>
        </w:rPr>
        <w:t>废石堆场扬尘无组织逸散量减少</w:t>
      </w:r>
      <w:r>
        <w:rPr>
          <w:rFonts w:hint="eastAsia"/>
          <w:color w:val="000000" w:themeColor="text1"/>
          <w:sz w:val="24"/>
          <w:szCs w:val="28"/>
          <w:lang w:val="en-US" w:eastAsia="zh-CN"/>
          <w14:textFill>
            <w14:solidFill>
              <w14:schemeClr w14:val="tx1"/>
            </w14:solidFill>
          </w14:textFill>
        </w:rPr>
        <w:t>74</w:t>
      </w:r>
      <w:r>
        <w:rPr>
          <w:rFonts w:hint="eastAsia"/>
          <w:color w:val="000000" w:themeColor="text1"/>
          <w:sz w:val="24"/>
          <w:szCs w:val="28"/>
          <w14:textFill>
            <w14:solidFill>
              <w14:schemeClr w14:val="tx1"/>
            </w14:solidFill>
          </w14:textFill>
        </w:rPr>
        <w:t>%以上，则废石堆场无组织扬尘排放量为</w:t>
      </w:r>
      <w:r>
        <w:rPr>
          <w:rFonts w:hint="eastAsia"/>
          <w:color w:val="000000" w:themeColor="text1"/>
          <w:sz w:val="24"/>
          <w:szCs w:val="28"/>
          <w:lang w:val="en-US" w:eastAsia="zh-CN"/>
          <w14:textFill>
            <w14:solidFill>
              <w14:schemeClr w14:val="tx1"/>
            </w14:solidFill>
          </w14:textFill>
        </w:rPr>
        <w:t>4.755</w:t>
      </w:r>
      <w:r>
        <w:rPr>
          <w:rFonts w:hint="eastAsia"/>
          <w:color w:val="000000" w:themeColor="text1"/>
          <w:sz w:val="24"/>
          <w:szCs w:val="28"/>
          <w14:textFill>
            <w14:solidFill>
              <w14:schemeClr w14:val="tx1"/>
            </w14:solidFill>
          </w14:textFill>
        </w:rPr>
        <w:t>t/a（0.</w:t>
      </w:r>
      <w:r>
        <w:rPr>
          <w:rFonts w:hint="eastAsia"/>
          <w:color w:val="000000" w:themeColor="text1"/>
          <w:sz w:val="24"/>
          <w:szCs w:val="28"/>
          <w:lang w:val="en-US" w:eastAsia="zh-CN"/>
          <w14:textFill>
            <w14:solidFill>
              <w14:schemeClr w14:val="tx1"/>
            </w14:solidFill>
          </w14:textFill>
        </w:rPr>
        <w:t>80</w:t>
      </w:r>
      <w:r>
        <w:rPr>
          <w:rFonts w:hint="eastAsia"/>
          <w:color w:val="000000" w:themeColor="text1"/>
          <w:sz w:val="24"/>
          <w:szCs w:val="28"/>
          <w14:textFill>
            <w14:solidFill>
              <w14:schemeClr w14:val="tx1"/>
            </w14:solidFill>
          </w14:textFill>
        </w:rPr>
        <w:t>kg/h）。</w:t>
      </w:r>
    </w:p>
    <w:p w14:paraId="55609CB9">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4</w:t>
      </w:r>
      <w:r>
        <w:rPr>
          <w:rFonts w:hint="eastAsia"/>
          <w:color w:val="000000" w:themeColor="text1"/>
          <w:sz w:val="24"/>
          <w:szCs w:val="28"/>
          <w14:textFill>
            <w14:solidFill>
              <w14:schemeClr w14:val="tx1"/>
            </w14:solidFill>
          </w14:textFill>
        </w:rPr>
        <w:t>）道路运输扬尘</w:t>
      </w:r>
    </w:p>
    <w:p w14:paraId="362F1195">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车辆在行驶过程中，造成道路扬尘和物料散落。</w:t>
      </w:r>
      <w:r>
        <w:rPr>
          <w:rFonts w:hint="eastAsia"/>
          <w:color w:val="000000" w:themeColor="text1"/>
          <w:sz w:val="24"/>
          <w:szCs w:val="28"/>
          <w14:textFill>
            <w14:solidFill>
              <w14:schemeClr w14:val="tx1"/>
            </w14:solidFill>
          </w14:textFill>
        </w:rPr>
        <w:t>矿石运距为1km，</w:t>
      </w:r>
      <w:r>
        <w:rPr>
          <w:color w:val="000000" w:themeColor="text1"/>
          <w:sz w:val="24"/>
          <w:szCs w:val="28"/>
          <w14:textFill>
            <w14:solidFill>
              <w14:schemeClr w14:val="tx1"/>
            </w14:solidFill>
          </w14:textFill>
        </w:rPr>
        <w:t>其运输过程中产生的扬尘量采用以下经验公式计算：</w:t>
      </w:r>
    </w:p>
    <w:p w14:paraId="252D80D0">
      <w:pPr>
        <w:pStyle w:val="18"/>
        <w:spacing w:line="480" w:lineRule="exact"/>
        <w:ind w:firstLine="0" w:firstLineChars="0"/>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Q</w:t>
      </w:r>
      <w:r>
        <w:rPr>
          <w:color w:val="000000" w:themeColor="text1"/>
          <w:sz w:val="24"/>
          <w:szCs w:val="28"/>
          <w:vertAlign w:val="subscript"/>
          <w14:textFill>
            <w14:solidFill>
              <w14:schemeClr w14:val="tx1"/>
            </w14:solidFill>
          </w14:textFill>
        </w:rPr>
        <w:t>p</w:t>
      </w:r>
      <w:r>
        <w:rPr>
          <w:color w:val="000000" w:themeColor="text1"/>
          <w:sz w:val="24"/>
          <w:szCs w:val="28"/>
          <w14:textFill>
            <w14:solidFill>
              <w14:schemeClr w14:val="tx1"/>
            </w14:solidFill>
          </w14:textFill>
        </w:rPr>
        <w:t>=0.123×（V/5）×（M/6.8）</w:t>
      </w:r>
      <w:r>
        <w:rPr>
          <w:color w:val="000000" w:themeColor="text1"/>
          <w:sz w:val="24"/>
          <w:szCs w:val="28"/>
          <w:vertAlign w:val="superscript"/>
          <w14:textFill>
            <w14:solidFill>
              <w14:schemeClr w14:val="tx1"/>
            </w14:solidFill>
          </w14:textFill>
        </w:rPr>
        <w:t>0.85</w:t>
      </w:r>
      <w:r>
        <w:rPr>
          <w:color w:val="000000" w:themeColor="text1"/>
          <w:sz w:val="24"/>
          <w:szCs w:val="28"/>
          <w14:textFill>
            <w14:solidFill>
              <w14:schemeClr w14:val="tx1"/>
            </w14:solidFill>
          </w14:textFill>
        </w:rPr>
        <w:t>×（P/0.5）</w:t>
      </w:r>
      <w:r>
        <w:rPr>
          <w:color w:val="000000" w:themeColor="text1"/>
          <w:sz w:val="24"/>
          <w:szCs w:val="28"/>
          <w:vertAlign w:val="superscript"/>
          <w14:textFill>
            <w14:solidFill>
              <w14:schemeClr w14:val="tx1"/>
            </w14:solidFill>
          </w14:textFill>
        </w:rPr>
        <w:t>0.72</w:t>
      </w:r>
    </w:p>
    <w:p w14:paraId="0BCB0ACB">
      <w:pPr>
        <w:pStyle w:val="18"/>
        <w:spacing w:line="480" w:lineRule="exact"/>
        <w:ind w:firstLine="0" w:firstLineChars="0"/>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Q</w:t>
      </w:r>
      <w:r>
        <w:rPr>
          <w:color w:val="000000" w:themeColor="text1"/>
          <w:sz w:val="24"/>
          <w:szCs w:val="28"/>
          <w:vertAlign w:val="subscript"/>
          <w14:textFill>
            <w14:solidFill>
              <w14:schemeClr w14:val="tx1"/>
            </w14:solidFill>
          </w14:textFill>
        </w:rPr>
        <w:t>p0</w:t>
      </w:r>
      <w:r>
        <w:rPr>
          <w:color w:val="000000" w:themeColor="text1"/>
          <w:sz w:val="24"/>
          <w:szCs w:val="28"/>
          <w14:textFill>
            <w14:solidFill>
              <w14:schemeClr w14:val="tx1"/>
            </w14:solidFill>
          </w14:textFill>
        </w:rPr>
        <w:t>=Q</w:t>
      </w:r>
      <w:r>
        <w:rPr>
          <w:color w:val="000000" w:themeColor="text1"/>
          <w:sz w:val="24"/>
          <w:szCs w:val="28"/>
          <w:vertAlign w:val="subscript"/>
          <w14:textFill>
            <w14:solidFill>
              <w14:schemeClr w14:val="tx1"/>
            </w14:solidFill>
          </w14:textFill>
        </w:rPr>
        <w:t>p</w:t>
      </w:r>
      <w:r>
        <w:rPr>
          <w:color w:val="000000" w:themeColor="text1"/>
          <w:sz w:val="24"/>
          <w:szCs w:val="28"/>
          <w14:textFill>
            <w14:solidFill>
              <w14:schemeClr w14:val="tx1"/>
            </w14:solidFill>
          </w14:textFill>
        </w:rPr>
        <w:t>×L×Q/M</w:t>
      </w:r>
    </w:p>
    <w:p w14:paraId="148FBAE1">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式中：Q</w:t>
      </w:r>
      <w:r>
        <w:rPr>
          <w:color w:val="000000" w:themeColor="text1"/>
          <w:sz w:val="24"/>
          <w:szCs w:val="28"/>
          <w:vertAlign w:val="subscript"/>
          <w14:textFill>
            <w14:solidFill>
              <w14:schemeClr w14:val="tx1"/>
            </w14:solidFill>
          </w14:textFill>
        </w:rPr>
        <w:t>p</w:t>
      </w:r>
      <w:r>
        <w:rPr>
          <w:color w:val="000000" w:themeColor="text1"/>
          <w:sz w:val="24"/>
          <w:szCs w:val="28"/>
          <w14:textFill>
            <w14:solidFill>
              <w14:schemeClr w14:val="tx1"/>
            </w14:solidFill>
          </w14:textFill>
        </w:rPr>
        <w:t>——道路扬尘量，kg/km·辆；</w:t>
      </w:r>
    </w:p>
    <w:p w14:paraId="038FE66A">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 xml:space="preserve">      Q</w:t>
      </w:r>
      <w:r>
        <w:rPr>
          <w:color w:val="000000" w:themeColor="text1"/>
          <w:sz w:val="24"/>
          <w:szCs w:val="28"/>
          <w:vertAlign w:val="subscript"/>
          <w14:textFill>
            <w14:solidFill>
              <w14:schemeClr w14:val="tx1"/>
            </w14:solidFill>
          </w14:textFill>
        </w:rPr>
        <w:t>p0</w:t>
      </w:r>
      <w:r>
        <w:rPr>
          <w:color w:val="000000" w:themeColor="text1"/>
          <w:sz w:val="24"/>
          <w:szCs w:val="28"/>
          <w14:textFill>
            <w14:solidFill>
              <w14:schemeClr w14:val="tx1"/>
            </w14:solidFill>
          </w14:textFill>
        </w:rPr>
        <w:t>——总扬尘量，kg/a；</w:t>
      </w:r>
    </w:p>
    <w:p w14:paraId="7318513F">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 xml:space="preserve">      V——车辆速度，</w:t>
      </w:r>
      <w:r>
        <w:rPr>
          <w:rFonts w:hint="eastAsia"/>
          <w:color w:val="000000" w:themeColor="text1"/>
          <w:sz w:val="24"/>
          <w:szCs w:val="28"/>
          <w14:textFill>
            <w14:solidFill>
              <w14:schemeClr w14:val="tx1"/>
            </w14:solidFill>
          </w14:textFill>
        </w:rPr>
        <w:t>20</w:t>
      </w:r>
      <w:r>
        <w:rPr>
          <w:color w:val="000000" w:themeColor="text1"/>
          <w:sz w:val="24"/>
          <w:szCs w:val="28"/>
          <w14:textFill>
            <w14:solidFill>
              <w14:schemeClr w14:val="tx1"/>
            </w14:solidFill>
          </w14:textFill>
        </w:rPr>
        <w:t>km/h；</w:t>
      </w:r>
    </w:p>
    <w:p w14:paraId="3B527205">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 xml:space="preserve">      M——车辆载重，10t/辆；</w:t>
      </w:r>
    </w:p>
    <w:p w14:paraId="5FEDB88D">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 xml:space="preserve">      P——路面灰土覆盖率，洒水后为0.5kg/m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w:t>
      </w:r>
    </w:p>
    <w:p w14:paraId="407F5E94">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 xml:space="preserve">      L——运距，km；</w:t>
      </w:r>
    </w:p>
    <w:p w14:paraId="152DBE72">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 xml:space="preserve">      Q——运输量，t/a。</w:t>
      </w:r>
    </w:p>
    <w:p w14:paraId="62400B92">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经上述公式计算，运输扬尘量为</w:t>
      </w:r>
      <w:r>
        <w:rPr>
          <w:color w:val="000000" w:themeColor="text1"/>
          <w:sz w:val="24"/>
          <w:szCs w:val="28"/>
          <w14:textFill>
            <w14:solidFill>
              <w14:schemeClr w14:val="tx1"/>
            </w14:solidFill>
          </w14:textFill>
        </w:rPr>
        <w:t>40.97</w:t>
      </w:r>
      <w:r>
        <w:rPr>
          <w:rFonts w:hint="eastAsia"/>
          <w:color w:val="000000" w:themeColor="text1"/>
          <w:sz w:val="24"/>
          <w:szCs w:val="28"/>
          <w14:textFill>
            <w14:solidFill>
              <w14:schemeClr w14:val="tx1"/>
            </w14:solidFill>
          </w14:textFill>
        </w:rPr>
        <w:t>t/a。在采取道路洒水降尘、道路路面铺碎石等措施后，可以抑制扬尘量约</w:t>
      </w:r>
      <w:r>
        <w:rPr>
          <w:rFonts w:hint="eastAsia"/>
          <w:color w:val="000000" w:themeColor="text1"/>
          <w:sz w:val="24"/>
          <w:szCs w:val="28"/>
          <w:lang w:val="en-US" w:eastAsia="zh-CN"/>
          <w14:textFill>
            <w14:solidFill>
              <w14:schemeClr w14:val="tx1"/>
            </w14:solidFill>
          </w14:textFill>
        </w:rPr>
        <w:t>74</w:t>
      </w:r>
      <w:r>
        <w:rPr>
          <w:rFonts w:hint="eastAsia"/>
          <w:color w:val="000000" w:themeColor="text1"/>
          <w:sz w:val="24"/>
          <w:szCs w:val="28"/>
          <w14:textFill>
            <w14:solidFill>
              <w14:schemeClr w14:val="tx1"/>
            </w14:solidFill>
          </w14:textFill>
        </w:rPr>
        <w:t>%，采取措施后运输扬尘量为</w:t>
      </w:r>
      <w:r>
        <w:rPr>
          <w:rFonts w:hint="eastAsia"/>
          <w:color w:val="000000" w:themeColor="text1"/>
          <w:sz w:val="24"/>
          <w:szCs w:val="28"/>
          <w:lang w:val="en-US" w:eastAsia="zh-CN"/>
          <w14:textFill>
            <w14:solidFill>
              <w14:schemeClr w14:val="tx1"/>
            </w14:solidFill>
          </w14:textFill>
        </w:rPr>
        <w:t>10.65</w:t>
      </w:r>
      <w:r>
        <w:rPr>
          <w:rFonts w:hint="eastAsia"/>
          <w:color w:val="000000" w:themeColor="text1"/>
          <w:sz w:val="24"/>
          <w:szCs w:val="28"/>
          <w14:textFill>
            <w14:solidFill>
              <w14:schemeClr w14:val="tx1"/>
            </w14:solidFill>
          </w14:textFill>
        </w:rPr>
        <w:t>t/a。</w:t>
      </w:r>
    </w:p>
    <w:p w14:paraId="7B8D5807">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5</w:t>
      </w:r>
      <w:r>
        <w:rPr>
          <w:rFonts w:hint="eastAsia"/>
          <w:color w:val="000000" w:themeColor="text1"/>
          <w:sz w:val="24"/>
          <w:szCs w:val="28"/>
          <w14:textFill>
            <w14:solidFill>
              <w14:schemeClr w14:val="tx1"/>
            </w14:solidFill>
          </w14:textFill>
        </w:rPr>
        <w:t>）柴油燃烧废气</w:t>
      </w:r>
    </w:p>
    <w:p w14:paraId="60D71E12">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凿岩机、空压机、柴油发电机</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备用</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、铲运机、挖土机等产生的燃烧烟气主要含CO、NOx、THC、SO</w:t>
      </w:r>
      <w:r>
        <w:rPr>
          <w:rFonts w:hint="eastAsia"/>
          <w:color w:val="000000" w:themeColor="text1"/>
          <w:sz w:val="24"/>
          <w:szCs w:val="28"/>
          <w:vertAlign w:val="subscript"/>
          <w14:textFill>
            <w14:solidFill>
              <w14:schemeClr w14:val="tx1"/>
            </w14:solidFill>
          </w14:textFill>
        </w:rPr>
        <w:t>2</w:t>
      </w:r>
      <w:r>
        <w:rPr>
          <w:rFonts w:hint="eastAsia"/>
          <w:color w:val="000000" w:themeColor="text1"/>
          <w:sz w:val="24"/>
          <w:szCs w:val="28"/>
          <w14:textFill>
            <w14:solidFill>
              <w14:schemeClr w14:val="tx1"/>
            </w14:solidFill>
          </w14:textFill>
        </w:rPr>
        <w:t>等。</w:t>
      </w:r>
      <w:r>
        <w:rPr>
          <w:rFonts w:hint="eastAsia"/>
          <w:color w:val="000000" w:themeColor="text1"/>
          <w:sz w:val="24"/>
          <w:szCs w:val="28"/>
          <w:lang w:eastAsia="zh-CN"/>
          <w14:textFill>
            <w14:solidFill>
              <w14:schemeClr w14:val="tx1"/>
            </w14:solidFill>
          </w14:textFill>
        </w:rPr>
        <w:t>本项目</w:t>
      </w:r>
      <w:r>
        <w:rPr>
          <w:rFonts w:hint="eastAsia"/>
          <w:color w:val="000000" w:themeColor="text1"/>
          <w:sz w:val="24"/>
          <w:szCs w:val="28"/>
          <w14:textFill>
            <w14:solidFill>
              <w14:schemeClr w14:val="tx1"/>
            </w14:solidFill>
          </w14:textFill>
        </w:rPr>
        <w:t>年耗柴油量为</w:t>
      </w:r>
      <w:r>
        <w:rPr>
          <w:color w:val="000000" w:themeColor="text1"/>
          <w:sz w:val="24"/>
          <w:szCs w:val="28"/>
          <w14:textFill>
            <w14:solidFill>
              <w14:schemeClr w14:val="tx1"/>
            </w14:solidFill>
          </w14:textFill>
        </w:rPr>
        <w:t>408010</w:t>
      </w:r>
      <w:r>
        <w:rPr>
          <w:rFonts w:hint="eastAsia"/>
          <w:color w:val="000000" w:themeColor="text1"/>
          <w:sz w:val="24"/>
          <w:szCs w:val="28"/>
          <w14:textFill>
            <w14:solidFill>
              <w14:schemeClr w14:val="tx1"/>
            </w14:solidFill>
          </w14:textFill>
        </w:rPr>
        <w:t>kg/a，</w:t>
      </w:r>
      <w:r>
        <w:rPr>
          <w:rFonts w:hint="eastAsia"/>
          <w:color w:val="000000" w:themeColor="text1"/>
          <w:sz w:val="24"/>
          <w:szCs w:val="28"/>
          <w:lang w:val="en-US" w:eastAsia="zh-CN"/>
          <w14:textFill>
            <w14:solidFill>
              <w14:schemeClr w14:val="tx1"/>
            </w14:solidFill>
          </w14:textFill>
        </w:rPr>
        <w:t>根</w:t>
      </w:r>
      <w:r>
        <w:rPr>
          <w:rFonts w:hint="eastAsia"/>
          <w:color w:val="000000" w:themeColor="text1"/>
          <w:sz w:val="24"/>
          <w:szCs w:val="28"/>
          <w14:textFill>
            <w14:solidFill>
              <w14:schemeClr w14:val="tx1"/>
            </w14:solidFill>
          </w14:textFill>
        </w:rPr>
        <w:t>据</w:t>
      </w:r>
      <w:r>
        <w:rPr>
          <w:color w:val="000000" w:themeColor="text1"/>
          <w:sz w:val="24"/>
          <w14:textFill>
            <w14:solidFill>
              <w14:schemeClr w14:val="tx1"/>
            </w14:solidFill>
          </w14:textFill>
        </w:rPr>
        <w:t>《环境统计手册》，燃烧1t柴油产生的SO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的量为柴油含硫量的2倍，柴油中含硫量为0.2%。据此柴油机运转过程中排入大气的CO、NOx、THC以及SO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的量可用下式计算。</w:t>
      </w:r>
    </w:p>
    <w:p w14:paraId="6FC39766">
      <w:pPr>
        <w:spacing w:line="360" w:lineRule="auto"/>
        <w:ind w:firstLine="480"/>
        <w:jc w:val="center"/>
        <w:rPr>
          <w:color w:val="000000" w:themeColor="text1"/>
          <w:sz w:val="24"/>
          <w:szCs w:val="24"/>
          <w14:textFill>
            <w14:solidFill>
              <w14:schemeClr w14:val="tx1"/>
            </w14:solidFill>
          </w14:textFill>
        </w:rPr>
      </w:pPr>
      <w:r>
        <w:rPr>
          <w:color w:val="000000" w:themeColor="text1"/>
          <w:position w:val="-24"/>
          <w:sz w:val="24"/>
          <w:szCs w:val="24"/>
          <w14:textFill>
            <w14:solidFill>
              <w14:schemeClr w14:val="tx1"/>
            </w14:solidFill>
          </w14:textFill>
        </w:rPr>
        <w:object>
          <v:shape id="_x0000_i1028" o:spt="75" type="#_x0000_t75" style="height:31pt;width:85.95pt;" o:ole="t" filled="f" o:preferrelative="t" stroked="f" coordsize="21600,21600">
            <v:path/>
            <v:fill on="f" focussize="0,0"/>
            <v:stroke on="f"/>
            <v:imagedata r:id="rId44" o:title=""/>
            <o:lock v:ext="edit" grouping="f" rotation="f" text="f" aspectratio="t"/>
            <w10:wrap type="none"/>
            <w10:anchorlock/>
          </v:shape>
          <o:OLEObject Type="Embed" ProgID="Equation.3" ShapeID="_x0000_i1028" DrawAspect="Content" ObjectID="_1468075728" r:id="rId43">
            <o:LockedField>false</o:LockedField>
          </o:OLEObject>
        </w:object>
      </w:r>
    </w:p>
    <w:p w14:paraId="1AB7ED3F">
      <w:pPr>
        <w:spacing w:line="360" w:lineRule="auto"/>
        <w:ind w:firstLine="480"/>
        <w:jc w:val="center"/>
        <w:rPr>
          <w:color w:val="000000" w:themeColor="text1"/>
          <w:sz w:val="24"/>
          <w:szCs w:val="24"/>
          <w14:textFill>
            <w14:solidFill>
              <w14:schemeClr w14:val="tx1"/>
            </w14:solidFill>
          </w14:textFill>
        </w:rPr>
      </w:pPr>
      <w:r>
        <w:rPr>
          <w:color w:val="000000" w:themeColor="text1"/>
          <w:position w:val="-24"/>
          <w:sz w:val="24"/>
          <w:szCs w:val="24"/>
          <w14:textFill>
            <w14:solidFill>
              <w14:schemeClr w14:val="tx1"/>
            </w14:solidFill>
          </w14:textFill>
        </w:rPr>
        <w:object>
          <v:shape id="_x0000_i1029" o:spt="75" type="#_x0000_t75" style="height:30.25pt;width:93.6pt;" o:ole="t" filled="f" o:preferrelative="t" stroked="f" coordsize="21600,21600">
            <v:path/>
            <v:fill on="f" focussize="0,0"/>
            <v:stroke on="f"/>
            <v:imagedata r:id="rId46" o:title=""/>
            <o:lock v:ext="edit" grouping="f" rotation="f" text="f" aspectratio="t"/>
            <w10:wrap type="none"/>
            <w10:anchorlock/>
          </v:shape>
          <o:OLEObject Type="Embed" ProgID="Equation.3" ShapeID="_x0000_i1029" DrawAspect="Content" ObjectID="_1468075729" r:id="rId45">
            <o:LockedField>false</o:LockedField>
          </o:OLEObject>
        </w:object>
      </w:r>
    </w:p>
    <w:p w14:paraId="0A8C656F">
      <w:pPr>
        <w:spacing w:line="360" w:lineRule="auto"/>
        <w:ind w:firstLine="480"/>
        <w:jc w:val="center"/>
        <w:rPr>
          <w:color w:val="000000" w:themeColor="text1"/>
          <w:sz w:val="24"/>
          <w:szCs w:val="24"/>
          <w14:textFill>
            <w14:solidFill>
              <w14:schemeClr w14:val="tx1"/>
            </w14:solidFill>
          </w14:textFill>
        </w:rPr>
      </w:pPr>
      <w:r>
        <w:rPr>
          <w:color w:val="000000" w:themeColor="text1"/>
          <w:position w:val="-24"/>
          <w:sz w:val="24"/>
          <w:szCs w:val="24"/>
          <w14:textFill>
            <w14:solidFill>
              <w14:schemeClr w14:val="tx1"/>
            </w14:solidFill>
          </w14:textFill>
        </w:rPr>
        <w:object>
          <v:shape id="_x0000_i1030" o:spt="75" type="#_x0000_t75" style="height:29.4pt;width:85.15pt;" o:ole="t" filled="f" o:preferrelative="t" stroked="f" coordsize="21600,21600">
            <v:path/>
            <v:fill on="f" alignshape="1" focussize="0,0"/>
            <v:stroke on="f"/>
            <v:imagedata r:id="rId48" o:title=""/>
            <o:lock v:ext="edit" aspectratio="t"/>
            <w10:wrap type="none"/>
            <w10:anchorlock/>
          </v:shape>
          <o:OLEObject Type="Embed" ProgID="Equation.3" ShapeID="_x0000_i1030" DrawAspect="Content" ObjectID="_1468075730" r:id="rId47">
            <o:LockedField>false</o:LockedField>
          </o:OLEObject>
        </w:object>
      </w:r>
    </w:p>
    <w:p w14:paraId="20230F4A">
      <w:pPr>
        <w:spacing w:line="360" w:lineRule="auto"/>
        <w:ind w:firstLine="48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SO2</w:t>
      </w:r>
      <w:r>
        <w:rPr>
          <w:color w:val="000000" w:themeColor="text1"/>
          <w:sz w:val="24"/>
          <w:szCs w:val="24"/>
          <w14:textFill>
            <w14:solidFill>
              <w14:schemeClr w14:val="tx1"/>
            </w14:solidFill>
          </w14:textFill>
        </w:rPr>
        <w:t>=2×0.002×m</w:t>
      </w:r>
    </w:p>
    <w:p w14:paraId="06F077EC">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式中：Q—污染物排放量，kg；</w:t>
      </w:r>
    </w:p>
    <w:p w14:paraId="610E4B9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 xml:space="preserve">      m—柴油机消耗柴油量，kg；</w:t>
      </w:r>
    </w:p>
    <w:p w14:paraId="4E049097">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柴油燃烧废气污染物产生情况见表3.</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6</w:t>
      </w:r>
      <w:r>
        <w:rPr>
          <w:rFonts w:hint="eastAsia"/>
          <w:color w:val="000000" w:themeColor="text1"/>
          <w:sz w:val="24"/>
          <w:szCs w:val="28"/>
          <w14:textFill>
            <w14:solidFill>
              <w14:schemeClr w14:val="tx1"/>
            </w14:solidFill>
          </w14:textFill>
        </w:rPr>
        <w:t>。</w:t>
      </w:r>
    </w:p>
    <w:p w14:paraId="541CFF95">
      <w:pPr>
        <w:pStyle w:val="18"/>
        <w:spacing w:line="480" w:lineRule="exact"/>
        <w:ind w:firstLine="0" w:firstLineChars="0"/>
        <w:jc w:val="center"/>
        <w:rPr>
          <w:color w:val="000000" w:themeColor="text1"/>
          <w:sz w:val="24"/>
          <w:szCs w:val="28"/>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3-6    柴油燃烧废气污染物产生一览表</w:t>
      </w:r>
    </w:p>
    <w:tbl>
      <w:tblPr>
        <w:tblStyle w:val="79"/>
        <w:tblW w:w="4907" w:type="pct"/>
        <w:tblInd w:w="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63"/>
        <w:gridCol w:w="4300"/>
      </w:tblGrid>
      <w:tr w14:paraId="2147A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9" w:type="pct"/>
            <w:noWrap w:val="0"/>
            <w:vAlign w:val="center"/>
          </w:tcPr>
          <w:p w14:paraId="2A8201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污染物名称</w:t>
            </w:r>
          </w:p>
        </w:tc>
        <w:tc>
          <w:tcPr>
            <w:tcW w:w="2570" w:type="pct"/>
            <w:noWrap w:val="0"/>
            <w:vAlign w:val="center"/>
          </w:tcPr>
          <w:p w14:paraId="225D5AA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产生量（t/a）</w:t>
            </w:r>
          </w:p>
        </w:tc>
      </w:tr>
      <w:tr w14:paraId="58E9C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9" w:type="pct"/>
            <w:noWrap w:val="0"/>
            <w:vAlign w:val="center"/>
          </w:tcPr>
          <w:p w14:paraId="55AC35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2570" w:type="pct"/>
            <w:noWrap w:val="0"/>
            <w:vAlign w:val="center"/>
          </w:tcPr>
          <w:p w14:paraId="67A4A48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r>
      <w:tr w14:paraId="7B52F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9" w:type="pct"/>
            <w:noWrap w:val="0"/>
            <w:vAlign w:val="center"/>
          </w:tcPr>
          <w:p w14:paraId="5B4CE99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X</w:t>
            </w:r>
          </w:p>
        </w:tc>
        <w:tc>
          <w:tcPr>
            <w:tcW w:w="2570" w:type="pct"/>
            <w:noWrap w:val="0"/>
            <w:vAlign w:val="center"/>
          </w:tcPr>
          <w:p w14:paraId="48BF6A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25.62</w:t>
            </w:r>
          </w:p>
        </w:tc>
      </w:tr>
      <w:tr w14:paraId="6C419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9" w:type="pct"/>
            <w:noWrap w:val="0"/>
            <w:vAlign w:val="center"/>
          </w:tcPr>
          <w:p w14:paraId="3685BC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THC</w:t>
            </w:r>
          </w:p>
        </w:tc>
        <w:tc>
          <w:tcPr>
            <w:tcW w:w="2570" w:type="pct"/>
            <w:noWrap w:val="0"/>
            <w:vAlign w:val="center"/>
          </w:tcPr>
          <w:p w14:paraId="36555F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9.51</w:t>
            </w:r>
          </w:p>
        </w:tc>
      </w:tr>
      <w:tr w14:paraId="08C57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29" w:type="pct"/>
            <w:noWrap w:val="0"/>
            <w:vAlign w:val="center"/>
          </w:tcPr>
          <w:p w14:paraId="589CEA9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2570" w:type="pct"/>
            <w:noWrap w:val="0"/>
            <w:vAlign w:val="center"/>
          </w:tcPr>
          <w:p w14:paraId="77C4A19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p>
        </w:tc>
      </w:tr>
    </w:tbl>
    <w:p w14:paraId="2A39E53F">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本项目废气污染物产排情况统计见表3.</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7</w:t>
      </w:r>
      <w:r>
        <w:rPr>
          <w:rFonts w:hint="eastAsia"/>
          <w:color w:val="000000" w:themeColor="text1"/>
          <w:sz w:val="24"/>
          <w:szCs w:val="28"/>
          <w14:textFill>
            <w14:solidFill>
              <w14:schemeClr w14:val="tx1"/>
            </w14:solidFill>
          </w14:textFill>
        </w:rPr>
        <w:t>。</w:t>
      </w:r>
    </w:p>
    <w:p w14:paraId="0839FE00">
      <w:pPr>
        <w:pStyle w:val="18"/>
        <w:spacing w:line="480" w:lineRule="exact"/>
        <w:ind w:firstLine="0" w:firstLineChars="0"/>
        <w:jc w:val="center"/>
        <w:rPr>
          <w:rFonts w:hint="default" w:eastAsia="宋体"/>
          <w:b/>
          <w:color w:val="000000" w:themeColor="text1"/>
          <w:sz w:val="24"/>
          <w:lang w:val="en-US" w:eastAsia="zh-CN"/>
          <w14:textFill>
            <w14:solidFill>
              <w14:schemeClr w14:val="tx1"/>
            </w14:solidFill>
          </w14:textFill>
        </w:rPr>
      </w:pPr>
      <w:r>
        <w:rPr>
          <w:rFonts w:hint="eastAsia"/>
          <w:b/>
          <w:color w:val="000000" w:themeColor="text1"/>
          <w:sz w:val="24"/>
          <w14:textFill>
            <w14:solidFill>
              <w14:schemeClr w14:val="tx1"/>
            </w14:solidFill>
          </w14:textFill>
        </w:rPr>
        <w:t>表3.</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 xml:space="preserve">    本项目废气污染物产排情况统计表</w:t>
      </w:r>
      <w:r>
        <w:rPr>
          <w:rFonts w:hint="eastAsia"/>
          <w:b/>
          <w:color w:val="000000" w:themeColor="text1"/>
          <w:sz w:val="24"/>
          <w:lang w:val="en-US" w:eastAsia="zh-CN"/>
          <w14:textFill>
            <w14:solidFill>
              <w14:schemeClr w14:val="tx1"/>
            </w14:solidFill>
          </w14:textFill>
        </w:rPr>
        <w:t xml:space="preserve">  单位：t/a</w:t>
      </w:r>
    </w:p>
    <w:tbl>
      <w:tblPr>
        <w:tblStyle w:val="7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2001"/>
        <w:gridCol w:w="1582"/>
        <w:gridCol w:w="1642"/>
        <w:gridCol w:w="1537"/>
        <w:gridCol w:w="1574"/>
      </w:tblGrid>
      <w:tr w14:paraId="398B26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tblHeader/>
          <w:jc w:val="center"/>
        </w:trPr>
        <w:tc>
          <w:tcPr>
            <w:tcW w:w="1200" w:type="pct"/>
            <w:noWrap w:val="0"/>
            <w:vAlign w:val="center"/>
          </w:tcPr>
          <w:p w14:paraId="72E46E77">
            <w:pPr>
              <w:pStyle w:val="475"/>
              <w:keepNext w:val="0"/>
              <w:keepLines w:val="0"/>
              <w:suppressLineNumbers w:val="0"/>
              <w:spacing w:before="78" w:beforeAutospacing="0" w:after="78" w:afterAutospacing="0" w:line="360" w:lineRule="exact"/>
              <w:ind w:left="0" w:right="0" w:firstLine="422"/>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污染源</w:t>
            </w:r>
          </w:p>
        </w:tc>
        <w:tc>
          <w:tcPr>
            <w:tcW w:w="949" w:type="pct"/>
            <w:noWrap w:val="0"/>
            <w:vAlign w:val="center"/>
          </w:tcPr>
          <w:p w14:paraId="689D9182">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污染物名称</w:t>
            </w:r>
          </w:p>
        </w:tc>
        <w:tc>
          <w:tcPr>
            <w:tcW w:w="985" w:type="pct"/>
            <w:noWrap w:val="0"/>
            <w:vAlign w:val="center"/>
          </w:tcPr>
          <w:p w14:paraId="13CBD79F">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项目产生量</w:t>
            </w:r>
          </w:p>
        </w:tc>
        <w:tc>
          <w:tcPr>
            <w:tcW w:w="922" w:type="pct"/>
            <w:noWrap w:val="0"/>
            <w:vAlign w:val="center"/>
          </w:tcPr>
          <w:p w14:paraId="24FBB40F">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项目削减量</w:t>
            </w:r>
          </w:p>
        </w:tc>
        <w:tc>
          <w:tcPr>
            <w:tcW w:w="944" w:type="pct"/>
            <w:noWrap w:val="0"/>
            <w:vAlign w:val="center"/>
          </w:tcPr>
          <w:p w14:paraId="119A5B63">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项目排放量</w:t>
            </w:r>
          </w:p>
        </w:tc>
      </w:tr>
      <w:tr w14:paraId="239D23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vMerge w:val="restart"/>
            <w:noWrap w:val="0"/>
            <w:vAlign w:val="center"/>
          </w:tcPr>
          <w:p w14:paraId="77C0EBC6">
            <w:pPr>
              <w:pStyle w:val="475"/>
              <w:keepNext w:val="0"/>
              <w:keepLines w:val="0"/>
              <w:suppressLineNumbers w:val="0"/>
              <w:spacing w:before="78" w:beforeAutospacing="0" w:after="78"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爆破废气</w:t>
            </w:r>
          </w:p>
        </w:tc>
        <w:tc>
          <w:tcPr>
            <w:tcW w:w="949" w:type="pct"/>
            <w:noWrap w:val="0"/>
            <w:vAlign w:val="center"/>
          </w:tcPr>
          <w:p w14:paraId="0F9DEF6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985" w:type="pct"/>
            <w:noWrap w:val="0"/>
            <w:vAlign w:val="center"/>
          </w:tcPr>
          <w:p w14:paraId="3CE62D5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13.01</w:t>
            </w:r>
          </w:p>
        </w:tc>
        <w:tc>
          <w:tcPr>
            <w:tcW w:w="922" w:type="pct"/>
            <w:noWrap w:val="0"/>
            <w:vAlign w:val="center"/>
          </w:tcPr>
          <w:p w14:paraId="1C2D57C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10.41</w:t>
            </w:r>
          </w:p>
        </w:tc>
        <w:tc>
          <w:tcPr>
            <w:tcW w:w="944" w:type="pct"/>
            <w:noWrap w:val="0"/>
            <w:vAlign w:val="center"/>
          </w:tcPr>
          <w:p w14:paraId="7CDDE0F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2.60</w:t>
            </w:r>
          </w:p>
        </w:tc>
      </w:tr>
      <w:tr w14:paraId="23E9DD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vMerge w:val="continue"/>
            <w:noWrap w:val="0"/>
            <w:vAlign w:val="center"/>
          </w:tcPr>
          <w:p w14:paraId="00C4F31F">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49" w:type="pct"/>
            <w:noWrap w:val="0"/>
            <w:vAlign w:val="center"/>
          </w:tcPr>
          <w:p w14:paraId="7D69332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CO</w:t>
            </w:r>
          </w:p>
        </w:tc>
        <w:tc>
          <w:tcPr>
            <w:tcW w:w="985" w:type="pct"/>
            <w:noWrap w:val="0"/>
            <w:vAlign w:val="center"/>
          </w:tcPr>
          <w:p w14:paraId="30B14D13">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1.512</w:t>
            </w:r>
          </w:p>
        </w:tc>
        <w:tc>
          <w:tcPr>
            <w:tcW w:w="922" w:type="pct"/>
            <w:noWrap w:val="0"/>
            <w:vAlign w:val="center"/>
          </w:tcPr>
          <w:p w14:paraId="04DA66D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0</w:t>
            </w:r>
          </w:p>
        </w:tc>
        <w:tc>
          <w:tcPr>
            <w:tcW w:w="944" w:type="pct"/>
            <w:noWrap w:val="0"/>
            <w:vAlign w:val="center"/>
          </w:tcPr>
          <w:p w14:paraId="69E71A1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1.512</w:t>
            </w:r>
          </w:p>
        </w:tc>
      </w:tr>
      <w:tr w14:paraId="128325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vMerge w:val="continue"/>
            <w:noWrap w:val="0"/>
            <w:vAlign w:val="center"/>
          </w:tcPr>
          <w:p w14:paraId="66687A17">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49" w:type="pct"/>
            <w:noWrap w:val="0"/>
            <w:vAlign w:val="center"/>
          </w:tcPr>
          <w:p w14:paraId="00A3520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NOx</w:t>
            </w:r>
          </w:p>
        </w:tc>
        <w:tc>
          <w:tcPr>
            <w:tcW w:w="985" w:type="pct"/>
            <w:noWrap w:val="0"/>
            <w:vAlign w:val="center"/>
          </w:tcPr>
          <w:p w14:paraId="6D7C1A3E">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3.504</w:t>
            </w:r>
          </w:p>
        </w:tc>
        <w:tc>
          <w:tcPr>
            <w:tcW w:w="922" w:type="pct"/>
            <w:noWrap w:val="0"/>
            <w:vAlign w:val="center"/>
          </w:tcPr>
          <w:p w14:paraId="0B37B2E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0</w:t>
            </w:r>
          </w:p>
        </w:tc>
        <w:tc>
          <w:tcPr>
            <w:tcW w:w="944" w:type="pct"/>
            <w:noWrap w:val="0"/>
            <w:vAlign w:val="center"/>
          </w:tcPr>
          <w:p w14:paraId="64B90FF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3.504</w:t>
            </w:r>
          </w:p>
        </w:tc>
      </w:tr>
      <w:tr w14:paraId="00B1F4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noWrap w:val="0"/>
            <w:vAlign w:val="center"/>
          </w:tcPr>
          <w:p w14:paraId="00BD8845">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井下装载粉尘</w:t>
            </w:r>
          </w:p>
        </w:tc>
        <w:tc>
          <w:tcPr>
            <w:tcW w:w="949" w:type="pct"/>
            <w:noWrap w:val="0"/>
            <w:vAlign w:val="center"/>
          </w:tcPr>
          <w:p w14:paraId="28A4D91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985" w:type="pct"/>
            <w:noWrap w:val="0"/>
            <w:vAlign w:val="center"/>
          </w:tcPr>
          <w:p w14:paraId="7CE305F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少量</w:t>
            </w:r>
          </w:p>
        </w:tc>
        <w:tc>
          <w:tcPr>
            <w:tcW w:w="922" w:type="pct"/>
            <w:noWrap w:val="0"/>
            <w:vAlign w:val="center"/>
          </w:tcPr>
          <w:p w14:paraId="4528389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少量</w:t>
            </w:r>
          </w:p>
        </w:tc>
        <w:tc>
          <w:tcPr>
            <w:tcW w:w="944" w:type="pct"/>
            <w:noWrap w:val="0"/>
            <w:vAlign w:val="center"/>
          </w:tcPr>
          <w:p w14:paraId="2C9AC53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少量</w:t>
            </w:r>
          </w:p>
        </w:tc>
      </w:tr>
      <w:tr w14:paraId="3A5505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noWrap w:val="0"/>
            <w:vAlign w:val="center"/>
          </w:tcPr>
          <w:p w14:paraId="2FF32719">
            <w:pPr>
              <w:pStyle w:val="475"/>
              <w:keepNext w:val="0"/>
              <w:keepLines w:val="0"/>
              <w:suppressLineNumbers w:val="0"/>
              <w:spacing w:before="0" w:beforeLines="0" w:beforeAutospacing="0" w:after="0" w:afterLines="0" w:afterAutospacing="0" w:line="360" w:lineRule="exact"/>
              <w:ind w:left="0" w:right="0" w:firstLine="0" w:firstLineChars="0"/>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废石堆场扬尘</w:t>
            </w:r>
          </w:p>
        </w:tc>
        <w:tc>
          <w:tcPr>
            <w:tcW w:w="949" w:type="pct"/>
            <w:noWrap w:val="0"/>
            <w:vAlign w:val="center"/>
          </w:tcPr>
          <w:p w14:paraId="04E2F11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985" w:type="pct"/>
            <w:noWrap w:val="0"/>
            <w:vAlign w:val="center"/>
          </w:tcPr>
          <w:p w14:paraId="5FBC823E">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18.29</w:t>
            </w:r>
          </w:p>
        </w:tc>
        <w:tc>
          <w:tcPr>
            <w:tcW w:w="922" w:type="pct"/>
            <w:noWrap w:val="0"/>
            <w:vAlign w:val="center"/>
          </w:tcPr>
          <w:p w14:paraId="73E7AF7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13.535</w:t>
            </w:r>
          </w:p>
        </w:tc>
        <w:tc>
          <w:tcPr>
            <w:tcW w:w="944" w:type="pct"/>
            <w:noWrap w:val="0"/>
            <w:vAlign w:val="center"/>
          </w:tcPr>
          <w:p w14:paraId="350D2BF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4.755</w:t>
            </w:r>
          </w:p>
        </w:tc>
      </w:tr>
      <w:tr w14:paraId="7D7D9D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283" w:hRule="atLeast"/>
          <w:jc w:val="center"/>
        </w:trPr>
        <w:tc>
          <w:tcPr>
            <w:tcW w:w="1200" w:type="pct"/>
            <w:noWrap w:val="0"/>
            <w:vAlign w:val="center"/>
          </w:tcPr>
          <w:p w14:paraId="1108D36B">
            <w:pPr>
              <w:pStyle w:val="475"/>
              <w:keepNext w:val="0"/>
              <w:keepLines w:val="0"/>
              <w:suppressLineNumbers w:val="0"/>
              <w:spacing w:before="0" w:beforeLines="0" w:beforeAutospacing="0" w:after="0" w:afterLines="0" w:afterAutospacing="0" w:line="360" w:lineRule="exact"/>
              <w:ind w:left="0" w:right="0" w:firstLine="0" w:firstLineChars="0"/>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道路运输扬尘</w:t>
            </w:r>
          </w:p>
        </w:tc>
        <w:tc>
          <w:tcPr>
            <w:tcW w:w="949" w:type="pct"/>
            <w:noWrap w:val="0"/>
            <w:vAlign w:val="center"/>
          </w:tcPr>
          <w:p w14:paraId="2980C6D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985" w:type="pct"/>
            <w:noWrap w:val="0"/>
            <w:vAlign w:val="center"/>
          </w:tcPr>
          <w:p w14:paraId="220065D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40.97</w:t>
            </w:r>
          </w:p>
        </w:tc>
        <w:tc>
          <w:tcPr>
            <w:tcW w:w="922" w:type="pct"/>
            <w:noWrap w:val="0"/>
            <w:vAlign w:val="center"/>
          </w:tcPr>
          <w:p w14:paraId="44E0CA6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w:t>
            </w:r>
            <w:r>
              <w:rPr>
                <w:rFonts w:hint="eastAsia" w:cs="Times New Roman"/>
                <w:bCs/>
                <w:color w:val="000000" w:themeColor="text1"/>
                <w:lang w:val="en-US" w:eastAsia="zh-CN"/>
                <w14:textFill>
                  <w14:solidFill>
                    <w14:schemeClr w14:val="tx1"/>
                  </w14:solidFill>
                </w14:textFill>
              </w:rPr>
              <w:t>0.32</w:t>
            </w:r>
          </w:p>
        </w:tc>
        <w:tc>
          <w:tcPr>
            <w:tcW w:w="944" w:type="pct"/>
            <w:noWrap w:val="0"/>
            <w:vAlign w:val="center"/>
          </w:tcPr>
          <w:p w14:paraId="325E781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10.65</w:t>
            </w:r>
          </w:p>
        </w:tc>
      </w:tr>
      <w:tr w14:paraId="33B580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vMerge w:val="restart"/>
            <w:noWrap w:val="0"/>
            <w:vAlign w:val="center"/>
          </w:tcPr>
          <w:p w14:paraId="56D9B5A5">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柴油燃烧废气</w:t>
            </w:r>
          </w:p>
        </w:tc>
        <w:tc>
          <w:tcPr>
            <w:tcW w:w="949" w:type="pct"/>
            <w:noWrap w:val="0"/>
            <w:vAlign w:val="center"/>
          </w:tcPr>
          <w:p w14:paraId="608816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985" w:type="pct"/>
            <w:noWrap w:val="0"/>
            <w:vAlign w:val="center"/>
          </w:tcPr>
          <w:p w14:paraId="27643471">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c>
          <w:tcPr>
            <w:tcW w:w="922" w:type="pct"/>
            <w:noWrap w:val="0"/>
            <w:vAlign w:val="center"/>
          </w:tcPr>
          <w:p w14:paraId="0258E6A9">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kern w:val="2"/>
                <w:sz w:val="21"/>
                <w:szCs w:val="21"/>
                <w:lang w:bidi="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bidi="zh-CN"/>
                <w14:textFill>
                  <w14:solidFill>
                    <w14:schemeClr w14:val="tx1"/>
                  </w14:solidFill>
                </w14:textFill>
              </w:rPr>
              <w:t>0</w:t>
            </w:r>
          </w:p>
        </w:tc>
        <w:tc>
          <w:tcPr>
            <w:tcW w:w="944" w:type="pct"/>
            <w:noWrap w:val="0"/>
            <w:vAlign w:val="center"/>
          </w:tcPr>
          <w:p w14:paraId="5E3CDA4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p>
        </w:tc>
      </w:tr>
      <w:tr w14:paraId="57ADCD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vMerge w:val="continue"/>
            <w:noWrap w:val="0"/>
            <w:vAlign w:val="center"/>
          </w:tcPr>
          <w:p w14:paraId="71A9D30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Cs/>
                <w:color w:val="000000" w:themeColor="text1"/>
                <w14:textFill>
                  <w14:solidFill>
                    <w14:schemeClr w14:val="tx1"/>
                  </w14:solidFill>
                </w14:textFill>
              </w:rPr>
            </w:pPr>
          </w:p>
        </w:tc>
        <w:tc>
          <w:tcPr>
            <w:tcW w:w="949" w:type="pct"/>
            <w:noWrap w:val="0"/>
            <w:vAlign w:val="center"/>
          </w:tcPr>
          <w:p w14:paraId="5947FC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X</w:t>
            </w:r>
          </w:p>
        </w:tc>
        <w:tc>
          <w:tcPr>
            <w:tcW w:w="985" w:type="pct"/>
            <w:noWrap w:val="0"/>
            <w:vAlign w:val="center"/>
          </w:tcPr>
          <w:p w14:paraId="758A7BD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25.62</w:t>
            </w:r>
          </w:p>
        </w:tc>
        <w:tc>
          <w:tcPr>
            <w:tcW w:w="922" w:type="pct"/>
            <w:noWrap w:val="0"/>
            <w:vAlign w:val="center"/>
          </w:tcPr>
          <w:p w14:paraId="66EB9FF3">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kern w:val="2"/>
                <w:sz w:val="21"/>
                <w:szCs w:val="21"/>
                <w:lang w:bidi="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bidi="zh-CN"/>
                <w14:textFill>
                  <w14:solidFill>
                    <w14:schemeClr w14:val="tx1"/>
                  </w14:solidFill>
                </w14:textFill>
              </w:rPr>
              <w:t>0</w:t>
            </w:r>
          </w:p>
        </w:tc>
        <w:tc>
          <w:tcPr>
            <w:tcW w:w="944" w:type="pct"/>
            <w:noWrap w:val="0"/>
            <w:vAlign w:val="center"/>
          </w:tcPr>
          <w:p w14:paraId="46E00BCD">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25.62</w:t>
            </w:r>
          </w:p>
        </w:tc>
      </w:tr>
      <w:tr w14:paraId="6A02F2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vMerge w:val="continue"/>
            <w:noWrap w:val="0"/>
            <w:vAlign w:val="center"/>
          </w:tcPr>
          <w:p w14:paraId="093F22A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Cs/>
                <w:color w:val="000000" w:themeColor="text1"/>
                <w14:textFill>
                  <w14:solidFill>
                    <w14:schemeClr w14:val="tx1"/>
                  </w14:solidFill>
                </w14:textFill>
              </w:rPr>
            </w:pPr>
          </w:p>
        </w:tc>
        <w:tc>
          <w:tcPr>
            <w:tcW w:w="949" w:type="pct"/>
            <w:noWrap w:val="0"/>
            <w:vAlign w:val="center"/>
          </w:tcPr>
          <w:p w14:paraId="6771B68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THC</w:t>
            </w:r>
          </w:p>
        </w:tc>
        <w:tc>
          <w:tcPr>
            <w:tcW w:w="985" w:type="pct"/>
            <w:noWrap w:val="0"/>
            <w:vAlign w:val="center"/>
          </w:tcPr>
          <w:p w14:paraId="6D6CEAF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9.51</w:t>
            </w:r>
          </w:p>
        </w:tc>
        <w:tc>
          <w:tcPr>
            <w:tcW w:w="922" w:type="pct"/>
            <w:noWrap w:val="0"/>
            <w:vAlign w:val="center"/>
          </w:tcPr>
          <w:p w14:paraId="157FA730">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kern w:val="2"/>
                <w:sz w:val="21"/>
                <w:szCs w:val="21"/>
                <w:lang w:bidi="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bidi="zh-CN"/>
                <w14:textFill>
                  <w14:solidFill>
                    <w14:schemeClr w14:val="tx1"/>
                  </w14:solidFill>
                </w14:textFill>
              </w:rPr>
              <w:t>0</w:t>
            </w:r>
          </w:p>
        </w:tc>
        <w:tc>
          <w:tcPr>
            <w:tcW w:w="944" w:type="pct"/>
            <w:noWrap w:val="0"/>
            <w:vAlign w:val="center"/>
          </w:tcPr>
          <w:p w14:paraId="5B6E6F2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9.51</w:t>
            </w:r>
          </w:p>
        </w:tc>
      </w:tr>
      <w:tr w14:paraId="34903E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cantSplit/>
          <w:trHeight w:val="283" w:hRule="atLeast"/>
          <w:jc w:val="center"/>
        </w:trPr>
        <w:tc>
          <w:tcPr>
            <w:tcW w:w="1200" w:type="pct"/>
            <w:vMerge w:val="continue"/>
            <w:noWrap w:val="0"/>
            <w:vAlign w:val="center"/>
          </w:tcPr>
          <w:p w14:paraId="1F9949C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Cs/>
                <w:color w:val="000000" w:themeColor="text1"/>
                <w14:textFill>
                  <w14:solidFill>
                    <w14:schemeClr w14:val="tx1"/>
                  </w14:solidFill>
                </w14:textFill>
              </w:rPr>
            </w:pPr>
          </w:p>
        </w:tc>
        <w:tc>
          <w:tcPr>
            <w:tcW w:w="949" w:type="pct"/>
            <w:noWrap w:val="0"/>
            <w:vAlign w:val="center"/>
          </w:tcPr>
          <w:p w14:paraId="27EF53B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985" w:type="pct"/>
            <w:noWrap w:val="0"/>
            <w:vAlign w:val="center"/>
          </w:tcPr>
          <w:p w14:paraId="391012DE">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p>
        </w:tc>
        <w:tc>
          <w:tcPr>
            <w:tcW w:w="922" w:type="pct"/>
            <w:noWrap w:val="0"/>
            <w:vAlign w:val="center"/>
          </w:tcPr>
          <w:p w14:paraId="41D0F2E9">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kern w:val="2"/>
                <w:sz w:val="21"/>
                <w:szCs w:val="21"/>
                <w:lang w:bidi="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bidi="zh-CN"/>
                <w14:textFill>
                  <w14:solidFill>
                    <w14:schemeClr w14:val="tx1"/>
                  </w14:solidFill>
                </w14:textFill>
              </w:rPr>
              <w:t>0</w:t>
            </w:r>
          </w:p>
        </w:tc>
        <w:tc>
          <w:tcPr>
            <w:tcW w:w="944" w:type="pct"/>
            <w:noWrap w:val="0"/>
            <w:vAlign w:val="center"/>
          </w:tcPr>
          <w:p w14:paraId="293583A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p>
        </w:tc>
      </w:tr>
    </w:tbl>
    <w:p w14:paraId="08311943">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4</w:t>
      </w:r>
      <w:r>
        <w:rPr>
          <w:rFonts w:hint="eastAsia" w:ascii="Times New Roman" w:hAnsi="Times New Roman"/>
          <w:bCs w:val="0"/>
          <w:color w:val="000000" w:themeColor="text1"/>
          <w:kern w:val="2"/>
          <w:szCs w:val="24"/>
          <w14:textFill>
            <w14:solidFill>
              <w14:schemeClr w14:val="tx1"/>
            </w14:solidFill>
          </w14:textFill>
        </w:rPr>
        <w:t>.2水污染源及污染物排放情况</w:t>
      </w:r>
    </w:p>
    <w:p w14:paraId="588E9620">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本项目运营期废水主要包括矿井涌水、生活污水以及废石堆场淋溶水。</w:t>
      </w:r>
    </w:p>
    <w:p w14:paraId="435C7721">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（1）矿井涌水</w:t>
      </w:r>
    </w:p>
    <w:p w14:paraId="792456E2">
      <w:pPr>
        <w:pStyle w:val="18"/>
        <w:spacing w:line="480" w:lineRule="exact"/>
        <w:ind w:firstLine="480"/>
        <w:rPr>
          <w:rFonts w:hint="eastAsia"/>
          <w:color w:val="000000" w:themeColor="text1"/>
          <w:sz w:val="24"/>
          <w:szCs w:val="28"/>
          <w14:textFill>
            <w14:solidFill>
              <w14:schemeClr w14:val="tx1"/>
            </w14:solidFill>
          </w14:textFill>
        </w:rPr>
      </w:pPr>
      <w:r>
        <w:rPr>
          <w:rFonts w:hint="eastAsia" w:cs="宋体"/>
          <w:color w:val="000000" w:themeColor="text1"/>
          <w:sz w:val="24"/>
          <w:szCs w:val="28"/>
          <w14:textFill>
            <w14:solidFill>
              <w14:schemeClr w14:val="tx1"/>
            </w14:solidFill>
          </w14:textFill>
        </w:rPr>
        <w:t>矿井涌水量与矿山所处的地理位置、气候、地质构造、开采深度和开采方法等因素有关。根据开发利用方案、</w:t>
      </w:r>
      <w:r>
        <w:rPr>
          <w:rFonts w:hint="eastAsia"/>
          <w:color w:val="000000" w:themeColor="text1"/>
          <w:sz w:val="24"/>
          <w:szCs w:val="28"/>
          <w14:textFill>
            <w14:solidFill>
              <w14:schemeClr w14:val="tx1"/>
            </w14:solidFill>
          </w14:textFill>
        </w:rPr>
        <w:t>矿山水文地质资料</w:t>
      </w:r>
      <w:r>
        <w:rPr>
          <w:rFonts w:hint="eastAsia" w:cs="宋体"/>
          <w:color w:val="000000" w:themeColor="text1"/>
          <w:sz w:val="24"/>
          <w:szCs w:val="28"/>
          <w14:textFill>
            <w14:solidFill>
              <w14:schemeClr w14:val="tx1"/>
            </w14:solidFill>
          </w14:textFill>
        </w:rPr>
        <w:t>，</w:t>
      </w:r>
      <w:r>
        <w:rPr>
          <w:rFonts w:hint="eastAsia"/>
          <w:color w:val="000000" w:themeColor="text1"/>
          <w:sz w:val="24"/>
          <w:szCs w:val="28"/>
          <w14:textFill>
            <w14:solidFill>
              <w14:schemeClr w14:val="tx1"/>
            </w14:solidFill>
          </w14:textFill>
        </w:rPr>
        <w:t>矿区900m标高正常涌水量1500m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/d，最大涌水量1600m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/d。矿床充水水源主要是地下水的侧向补给，节理裂隙是主要导水通道。矿床水文地质勘</w:t>
      </w:r>
      <w:r>
        <w:rPr>
          <w:rFonts w:hint="eastAsia"/>
          <w:color w:val="000000" w:themeColor="text1"/>
          <w:sz w:val="24"/>
          <w:szCs w:val="28"/>
          <w:lang w:val="en-US" w:eastAsia="zh-CN"/>
          <w14:textFill>
            <w14:solidFill>
              <w14:schemeClr w14:val="tx1"/>
            </w14:solidFill>
          </w14:textFill>
        </w:rPr>
        <w:t>察</w:t>
      </w:r>
      <w:r>
        <w:rPr>
          <w:rFonts w:hint="eastAsia"/>
          <w:color w:val="000000" w:themeColor="text1"/>
          <w:sz w:val="24"/>
          <w:szCs w:val="28"/>
          <w14:textFill>
            <w14:solidFill>
              <w14:schemeClr w14:val="tx1"/>
            </w14:solidFill>
          </w14:textFill>
        </w:rPr>
        <w:t>类型属以裂隙充水为主的矿床，矿区水文地质条件简单。</w:t>
      </w:r>
    </w:p>
    <w:p w14:paraId="0E385AFE">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涌水</w:t>
      </w:r>
      <w:r>
        <w:rPr>
          <w:color w:val="000000" w:themeColor="text1"/>
          <w:sz w:val="24"/>
          <w:lang w:bidi="ar"/>
          <w14:textFill>
            <w14:solidFill>
              <w14:schemeClr w14:val="tx1"/>
            </w14:solidFill>
          </w14:textFill>
        </w:rPr>
        <w:t>采用沉淀</w:t>
      </w:r>
      <w:r>
        <w:rPr>
          <w:rFonts w:hint="eastAsia"/>
          <w:color w:val="000000" w:themeColor="text1"/>
          <w:sz w:val="24"/>
          <w:lang w:bidi="ar"/>
          <w14:textFill>
            <w14:solidFill>
              <w14:schemeClr w14:val="tx1"/>
            </w14:solidFill>
          </w14:textFill>
        </w:rPr>
        <w:t>池混凝沉淀</w:t>
      </w:r>
      <w:r>
        <w:rPr>
          <w:color w:val="000000" w:themeColor="text1"/>
          <w:sz w:val="24"/>
          <w:lang w:bidi="ar"/>
          <w14:textFill>
            <w14:solidFill>
              <w14:schemeClr w14:val="tx1"/>
            </w14:solidFill>
          </w14:textFill>
        </w:rPr>
        <w:t>处理，</w:t>
      </w:r>
      <w:r>
        <w:rPr>
          <w:rFonts w:hint="eastAsia"/>
          <w:color w:val="000000" w:themeColor="text1"/>
          <w:sz w:val="24"/>
          <w:lang w:bidi="ar"/>
          <w14:textFill>
            <w14:solidFill>
              <w14:schemeClr w14:val="tx1"/>
            </w14:solidFill>
          </w14:textFill>
        </w:rPr>
        <w:t>沉淀池容积为</w:t>
      </w:r>
      <w:r>
        <w:rPr>
          <w:rFonts w:hint="eastAsia"/>
          <w:color w:val="000000" w:themeColor="text1"/>
          <w:sz w:val="24"/>
          <w:lang w:val="en-US" w:eastAsia="zh-CN" w:bidi="ar"/>
          <w14:textFill>
            <w14:solidFill>
              <w14:schemeClr w14:val="tx1"/>
            </w14:solidFill>
          </w14:textFill>
        </w:rPr>
        <w:t>800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14:textFill>
            <w14:solidFill>
              <w14:schemeClr w14:val="tx1"/>
            </w14:solidFill>
          </w14:textFill>
        </w:rPr>
        <w:t>。灌溉期，经处理后的矿井涌水，</w:t>
      </w:r>
      <w:r>
        <w:rPr>
          <w:color w:val="000000" w:themeColor="text1"/>
          <w:sz w:val="24"/>
          <w14:textFill>
            <w14:solidFill>
              <w14:schemeClr w14:val="tx1"/>
            </w14:solidFill>
          </w14:textFill>
        </w:rPr>
        <w:t>960</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/d用于井下生产</w:t>
      </w:r>
      <w:r>
        <w:rPr>
          <w:rFonts w:hint="eastAsia"/>
          <w:color w:val="000000" w:themeColor="text1"/>
          <w:sz w:val="24"/>
          <w:lang w:val="en-US" w:eastAsia="zh-CN"/>
          <w14:textFill>
            <w14:solidFill>
              <w14:schemeClr w14:val="tx1"/>
            </w14:solidFill>
          </w14:textFill>
        </w:rPr>
        <w:t>湿式凿岩、降尘</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/d用于矿区绿化，</w:t>
      </w:r>
      <w:r>
        <w:rPr>
          <w:color w:val="000000" w:themeColor="text1"/>
          <w:sz w:val="24"/>
          <w14:textFill>
            <w14:solidFill>
              <w14:schemeClr w14:val="tx1"/>
            </w14:solidFill>
          </w14:textFill>
        </w:rPr>
        <w:t>64.2</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/d用于废石堆场及道路洒水抑尘，其余</w:t>
      </w:r>
      <w:r>
        <w:rPr>
          <w:color w:val="000000" w:themeColor="text1"/>
          <w:sz w:val="24"/>
          <w14:textFill>
            <w14:solidFill>
              <w14:schemeClr w14:val="tx1"/>
            </w14:solidFill>
          </w14:textFill>
        </w:rPr>
        <w:t>555.8</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/d通过管道输送至选矿厂用于选矿生产</w:t>
      </w:r>
      <w:r>
        <w:rPr>
          <w:rFonts w:hint="eastAsia"/>
          <w:color w:val="000000" w:themeColor="text1"/>
          <w:sz w:val="24"/>
          <w:lang w:bidi="ar"/>
          <w14:textFill>
            <w14:solidFill>
              <w14:schemeClr w14:val="tx1"/>
            </w14:solidFill>
          </w14:textFill>
        </w:rPr>
        <w:t>、绿化、降尘</w:t>
      </w:r>
      <w:r>
        <w:rPr>
          <w:rFonts w:hint="eastAsia"/>
          <w:color w:val="000000" w:themeColor="text1"/>
          <w:sz w:val="24"/>
          <w14:textFill>
            <w14:solidFill>
              <w14:schemeClr w14:val="tx1"/>
            </w14:solidFill>
          </w14:textFill>
        </w:rPr>
        <w:t>。</w:t>
      </w:r>
    </w:p>
    <w:p w14:paraId="69D491E2">
      <w:pPr>
        <w:pStyle w:val="18"/>
        <w:spacing w:line="480" w:lineRule="exact"/>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非灌溉期</w:t>
      </w:r>
      <w:r>
        <w:rPr>
          <w:rFonts w:hint="eastAsia"/>
          <w:color w:val="000000" w:themeColor="text1"/>
          <w:sz w:val="24"/>
          <w:szCs w:val="28"/>
          <w14:textFill>
            <w14:solidFill>
              <w14:schemeClr w14:val="tx1"/>
            </w14:solidFill>
          </w14:textFill>
        </w:rPr>
        <w:t>，</w:t>
      </w:r>
      <w:r>
        <w:rPr>
          <w:rFonts w:hint="eastAsia"/>
          <w:color w:val="000000" w:themeColor="text1"/>
          <w:sz w:val="24"/>
          <w14:textFill>
            <w14:solidFill>
              <w14:schemeClr w14:val="tx1"/>
            </w14:solidFill>
          </w14:textFill>
        </w:rPr>
        <w:t>经处理后的矿井涌水，</w:t>
      </w:r>
      <w:r>
        <w:rPr>
          <w:color w:val="000000" w:themeColor="text1"/>
          <w:sz w:val="24"/>
          <w14:textFill>
            <w14:solidFill>
              <w14:schemeClr w14:val="tx1"/>
            </w14:solidFill>
          </w14:textFill>
        </w:rPr>
        <w:t>960</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/d用于井下生产，</w:t>
      </w:r>
      <w:r>
        <w:rPr>
          <w:color w:val="000000" w:themeColor="text1"/>
          <w:sz w:val="24"/>
          <w14:textFill>
            <w14:solidFill>
              <w14:schemeClr w14:val="tx1"/>
            </w14:solidFill>
          </w14:textFill>
        </w:rPr>
        <w:t>64.2</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/d用于废石堆场及道路洒水抑尘，其余与处理后的生活污水共计</w:t>
      </w:r>
      <w:r>
        <w:rPr>
          <w:rFonts w:hint="eastAsia"/>
          <w:color w:val="000000" w:themeColor="text1"/>
          <w:sz w:val="24"/>
          <w:lang w:val="en-US" w:eastAsia="zh-CN"/>
          <w14:textFill>
            <w14:solidFill>
              <w14:schemeClr w14:val="tx1"/>
            </w14:solidFill>
          </w14:textFill>
        </w:rPr>
        <w:t>582.2</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/d通过管道输送至选矿厂用于选矿生产</w:t>
      </w:r>
      <w:r>
        <w:rPr>
          <w:rFonts w:hint="eastAsia"/>
          <w:color w:val="000000" w:themeColor="text1"/>
          <w:sz w:val="24"/>
          <w:lang w:bidi="ar"/>
          <w14:textFill>
            <w14:solidFill>
              <w14:schemeClr w14:val="tx1"/>
            </w14:solidFill>
          </w14:textFill>
        </w:rPr>
        <w:t>、降尘</w:t>
      </w:r>
      <w:r>
        <w:rPr>
          <w:rFonts w:hint="eastAsia"/>
          <w:color w:val="000000" w:themeColor="text1"/>
          <w:sz w:val="24"/>
          <w14:textFill>
            <w14:solidFill>
              <w14:schemeClr w14:val="tx1"/>
            </w14:solidFill>
          </w14:textFill>
        </w:rPr>
        <w:t>。</w:t>
      </w:r>
    </w:p>
    <w:p w14:paraId="1A861B23">
      <w:pPr>
        <w:pStyle w:val="18"/>
        <w:spacing w:line="480" w:lineRule="exact"/>
        <w:ind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冬季停产期，</w:t>
      </w:r>
      <w:r>
        <w:rPr>
          <w:rFonts w:hint="eastAsia"/>
          <w:color w:val="000000" w:themeColor="text1"/>
          <w:sz w:val="24"/>
          <w:lang w:val="en-US" w:eastAsia="zh-CN" w:bidi="ar"/>
          <w14:textFill>
            <w14:solidFill>
              <w14:schemeClr w14:val="tx1"/>
            </w14:solidFill>
          </w14:textFill>
        </w:rPr>
        <w:t>矿井涌水收集沉淀后临时贮存于容积为150000m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的蓄水池中，待来年用于采矿和选矿生产、绿化、洒水降尘等。</w:t>
      </w:r>
    </w:p>
    <w:p w14:paraId="2B20C0F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（2）生活污水</w:t>
      </w:r>
    </w:p>
    <w:p w14:paraId="6CC2EEBE">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lang w:bidi="ar"/>
          <w14:textFill>
            <w14:solidFill>
              <w14:schemeClr w14:val="tx1"/>
            </w14:solidFill>
          </w14:textFill>
        </w:rPr>
        <w:t>本项目劳动定员</w:t>
      </w:r>
      <w:r>
        <w:rPr>
          <w:rFonts w:hint="eastAsia"/>
          <w:color w:val="000000" w:themeColor="text1"/>
          <w:sz w:val="24"/>
          <w:lang w:val="en-US" w:eastAsia="zh-CN" w:bidi="ar"/>
          <w14:textFill>
            <w14:solidFill>
              <w14:schemeClr w14:val="tx1"/>
            </w14:solidFill>
          </w14:textFill>
        </w:rPr>
        <w:t>80</w:t>
      </w:r>
      <w:r>
        <w:rPr>
          <w:rFonts w:hint="eastAsia"/>
          <w:color w:val="000000" w:themeColor="text1"/>
          <w:sz w:val="24"/>
          <w:lang w:bidi="ar"/>
          <w14:textFill>
            <w14:solidFill>
              <w14:schemeClr w14:val="tx1"/>
            </w14:solidFill>
          </w14:textFill>
        </w:rPr>
        <w:t>人，</w:t>
      </w:r>
      <w:r>
        <w:rPr>
          <w:rFonts w:hint="eastAsia"/>
          <w:color w:val="000000" w:themeColor="text1"/>
          <w:sz w:val="24"/>
          <w:lang w:val="en-US" w:eastAsia="zh-CN" w:bidi="ar"/>
          <w14:textFill>
            <w14:solidFill>
              <w14:schemeClr w14:val="tx1"/>
            </w14:solidFill>
          </w14:textFill>
        </w:rPr>
        <w:t>生产期</w:t>
      </w:r>
      <w:r>
        <w:rPr>
          <w:color w:val="000000" w:themeColor="text1"/>
          <w:sz w:val="24"/>
          <w:lang w:bidi="ar"/>
          <w14:textFill>
            <w14:solidFill>
              <w14:schemeClr w14:val="tx1"/>
            </w14:solidFill>
          </w14:textFill>
        </w:rPr>
        <w:t>生活污水产生量</w:t>
      </w:r>
      <w:r>
        <w:rPr>
          <w:rFonts w:hint="eastAsia"/>
          <w:color w:val="000000" w:themeColor="text1"/>
          <w:sz w:val="24"/>
          <w:lang w:bidi="ar"/>
          <w14:textFill>
            <w14:solidFill>
              <w14:schemeClr w14:val="tx1"/>
            </w14:solidFill>
          </w14:textFill>
        </w:rPr>
        <w:t>为</w:t>
      </w:r>
      <w:r>
        <w:rPr>
          <w:rFonts w:hint="eastAsia"/>
          <w:color w:val="000000" w:themeColor="text1"/>
          <w:sz w:val="24"/>
          <w:lang w:val="en-US" w:eastAsia="zh-CN" w:bidi="ar"/>
          <w14:textFill>
            <w14:solidFill>
              <w14:schemeClr w14:val="tx1"/>
            </w14:solidFill>
          </w14:textFill>
        </w:rPr>
        <w:t>6.4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1760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冬季停产期，</w:t>
      </w:r>
      <w:r>
        <w:rPr>
          <w:color w:val="000000" w:themeColor="text1"/>
          <w:sz w:val="24"/>
          <w:lang w:bidi="ar"/>
          <w14:textFill>
            <w14:solidFill>
              <w14:schemeClr w14:val="tx1"/>
            </w14:solidFill>
          </w14:textFill>
        </w:rPr>
        <w:t>生活污水产生量</w:t>
      </w:r>
      <w:r>
        <w:rPr>
          <w:rFonts w:hint="eastAsia"/>
          <w:color w:val="000000" w:themeColor="text1"/>
          <w:sz w:val="24"/>
          <w:lang w:bidi="ar"/>
          <w14:textFill>
            <w14:solidFill>
              <w14:schemeClr w14:val="tx1"/>
            </w14:solidFill>
          </w14:textFill>
        </w:rPr>
        <w:t>为</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0.8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72m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合计1832m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/a</w:t>
      </w:r>
      <w:r>
        <w:rPr>
          <w:rFonts w:hint="eastAsia"/>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生活污水</w:t>
      </w:r>
      <w:r>
        <w:rPr>
          <w:rFonts w:hint="eastAsia"/>
          <w:color w:val="000000" w:themeColor="text1"/>
          <w:sz w:val="24"/>
          <w:lang w:bidi="ar"/>
          <w14:textFill>
            <w14:solidFill>
              <w14:schemeClr w14:val="tx1"/>
            </w14:solidFill>
          </w14:textFill>
        </w:rPr>
        <w:t>经矿山地埋式一体化污水处理设施（处理规模：</w:t>
      </w:r>
      <w:r>
        <w:rPr>
          <w:color w:val="000000" w:themeColor="text1"/>
          <w:sz w:val="24"/>
          <w:lang w:bidi="ar"/>
          <w14:textFill>
            <w14:solidFill>
              <w14:schemeClr w14:val="tx1"/>
            </w14:solidFill>
          </w14:textFill>
        </w:rPr>
        <w:t>20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/d）处理达标后，灌溉期用于矿山绿化，非灌溉期</w:t>
      </w:r>
      <w:r>
        <w:rPr>
          <w:rFonts w:hint="eastAsia"/>
          <w:color w:val="000000" w:themeColor="text1"/>
          <w:sz w:val="24"/>
          <w:szCs w:val="28"/>
          <w14:textFill>
            <w14:solidFill>
              <w14:schemeClr w14:val="tx1"/>
            </w14:solidFill>
          </w14:textFill>
        </w:rPr>
        <w:t>将达标后的生活污水</w:t>
      </w:r>
      <w:r>
        <w:rPr>
          <w:color w:val="000000" w:themeColor="text1"/>
          <w:sz w:val="24"/>
          <w:szCs w:val="28"/>
          <w14:textFill>
            <w14:solidFill>
              <w14:schemeClr w14:val="tx1"/>
            </w14:solidFill>
          </w14:textFill>
        </w:rPr>
        <w:t>输送至</w:t>
      </w:r>
      <w:r>
        <w:rPr>
          <w:rFonts w:hint="eastAsia"/>
          <w:color w:val="000000" w:themeColor="text1"/>
          <w:sz w:val="24"/>
          <w:szCs w:val="28"/>
          <w14:textFill>
            <w14:solidFill>
              <w14:schemeClr w14:val="tx1"/>
            </w14:solidFill>
          </w14:textFill>
        </w:rPr>
        <w:t>选矿厂用于选矿生产</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冬季停产期临时贮存于80m</w:t>
      </w:r>
      <w:r>
        <w:rPr>
          <w:rFonts w:hint="eastAsia"/>
          <w:color w:val="000000" w:themeColor="text1"/>
          <w:sz w:val="24"/>
          <w:szCs w:val="28"/>
          <w:vertAlign w:val="superscript"/>
          <w:lang w:val="en-US" w:eastAsia="zh-CN"/>
          <w14:textFill>
            <w14:solidFill>
              <w14:schemeClr w14:val="tx1"/>
            </w14:solidFill>
          </w14:textFill>
        </w:rPr>
        <w:t>3</w:t>
      </w:r>
      <w:r>
        <w:rPr>
          <w:rFonts w:hint="eastAsia"/>
          <w:color w:val="000000" w:themeColor="text1"/>
          <w:sz w:val="24"/>
          <w:szCs w:val="28"/>
          <w:lang w:val="en-US" w:eastAsia="zh-CN"/>
          <w14:textFill>
            <w14:solidFill>
              <w14:schemeClr w14:val="tx1"/>
            </w14:solidFill>
          </w14:textFill>
        </w:rPr>
        <w:t>的生活污水贮水池，待来年用于绿化</w:t>
      </w:r>
      <w:r>
        <w:rPr>
          <w:rFonts w:hint="eastAsia"/>
          <w:color w:val="000000" w:themeColor="text1"/>
          <w:sz w:val="24"/>
          <w:szCs w:val="28"/>
          <w14:textFill>
            <w14:solidFill>
              <w14:schemeClr w14:val="tx1"/>
            </w14:solidFill>
          </w14:textFill>
        </w:rPr>
        <w:t>。</w:t>
      </w:r>
    </w:p>
    <w:p w14:paraId="40148E16">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生活污水产排情况见表3.</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8</w:t>
      </w:r>
      <w:r>
        <w:rPr>
          <w:rFonts w:hint="eastAsia"/>
          <w:color w:val="000000" w:themeColor="text1"/>
          <w:sz w:val="24"/>
          <w:szCs w:val="28"/>
          <w14:textFill>
            <w14:solidFill>
              <w14:schemeClr w14:val="tx1"/>
            </w14:solidFill>
          </w14:textFill>
        </w:rPr>
        <w:t>。</w:t>
      </w:r>
    </w:p>
    <w:p w14:paraId="68C0F82D">
      <w:pPr>
        <w:pStyle w:val="18"/>
        <w:spacing w:line="480" w:lineRule="exact"/>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表3.</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8</w:t>
      </w:r>
      <w:r>
        <w:rPr>
          <w:rFonts w:hint="eastAsia"/>
          <w:b/>
          <w:color w:val="000000" w:themeColor="text1"/>
          <w:sz w:val="24"/>
          <w14:textFill>
            <w14:solidFill>
              <w14:schemeClr w14:val="tx1"/>
            </w14:solidFill>
          </w14:textFill>
        </w:rPr>
        <w:t xml:space="preserve">    矿山生活污水产排情况</w:t>
      </w:r>
    </w:p>
    <w:tbl>
      <w:tblPr>
        <w:tblStyle w:val="7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97"/>
        <w:gridCol w:w="2124"/>
        <w:gridCol w:w="2257"/>
        <w:gridCol w:w="2258"/>
      </w:tblGrid>
      <w:tr w14:paraId="6BEC68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018" w:type="pct"/>
            <w:noWrap w:val="0"/>
            <w:vAlign w:val="center"/>
          </w:tcPr>
          <w:p w14:paraId="1055E071">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1274" w:type="pct"/>
            <w:noWrap w:val="0"/>
            <w:vAlign w:val="center"/>
          </w:tcPr>
          <w:p w14:paraId="7644A884">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产生浓度（mg/L）</w:t>
            </w:r>
          </w:p>
        </w:tc>
        <w:tc>
          <w:tcPr>
            <w:tcW w:w="1354" w:type="pct"/>
            <w:noWrap w:val="0"/>
            <w:vAlign w:val="center"/>
          </w:tcPr>
          <w:p w14:paraId="3DB7BAE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产生量（t/a）</w:t>
            </w:r>
          </w:p>
        </w:tc>
        <w:tc>
          <w:tcPr>
            <w:tcW w:w="1354" w:type="pct"/>
            <w:noWrap w:val="0"/>
            <w:vAlign w:val="top"/>
          </w:tcPr>
          <w:p w14:paraId="525835B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排放量</w:t>
            </w:r>
            <w:r>
              <w:rPr>
                <w:rFonts w:hint="default" w:ascii="Times New Roman" w:hAnsi="Times New Roman" w:cs="Times New Roman"/>
                <w:b/>
                <w:bCs/>
                <w:color w:val="000000" w:themeColor="text1"/>
                <w:sz w:val="21"/>
                <w:szCs w:val="21"/>
                <w14:textFill>
                  <w14:solidFill>
                    <w14:schemeClr w14:val="tx1"/>
                  </w14:solidFill>
                </w14:textFill>
              </w:rPr>
              <w:t>（t/a）</w:t>
            </w:r>
          </w:p>
        </w:tc>
      </w:tr>
      <w:tr w14:paraId="139950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18" w:type="pct"/>
            <w:noWrap w:val="0"/>
            <w:vAlign w:val="center"/>
          </w:tcPr>
          <w:p w14:paraId="6444E093">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SS</w:t>
            </w:r>
          </w:p>
        </w:tc>
        <w:tc>
          <w:tcPr>
            <w:tcW w:w="1274" w:type="pct"/>
            <w:noWrap w:val="0"/>
            <w:vAlign w:val="center"/>
          </w:tcPr>
          <w:p w14:paraId="27D75527">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3</w:t>
            </w:r>
            <w:r>
              <w:rPr>
                <w:rFonts w:hint="eastAsia" w:ascii="Times New Roman" w:hAnsi="Times New Roman" w:cs="Times New Roman"/>
                <w:color w:val="000000" w:themeColor="text1"/>
                <w:kern w:val="0"/>
                <w:lang w:bidi="ar"/>
                <w14:textFill>
                  <w14:solidFill>
                    <w14:schemeClr w14:val="tx1"/>
                  </w14:solidFill>
                </w14:textFill>
              </w:rPr>
              <w:t>5</w:t>
            </w:r>
            <w:r>
              <w:rPr>
                <w:rFonts w:hint="default" w:ascii="Times New Roman" w:hAnsi="Times New Roman" w:cs="Times New Roman"/>
                <w:color w:val="000000" w:themeColor="text1"/>
                <w:kern w:val="0"/>
                <w:lang w:bidi="ar"/>
                <w14:textFill>
                  <w14:solidFill>
                    <w14:schemeClr w14:val="tx1"/>
                  </w14:solidFill>
                </w14:textFill>
              </w:rPr>
              <w:t>0</w:t>
            </w:r>
          </w:p>
        </w:tc>
        <w:tc>
          <w:tcPr>
            <w:tcW w:w="1354" w:type="pct"/>
            <w:noWrap w:val="0"/>
            <w:vAlign w:val="center"/>
          </w:tcPr>
          <w:p w14:paraId="1E3FF5EA">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0.64</w:t>
            </w:r>
          </w:p>
        </w:tc>
        <w:tc>
          <w:tcPr>
            <w:tcW w:w="1354" w:type="pct"/>
            <w:noWrap w:val="0"/>
            <w:vAlign w:val="top"/>
          </w:tcPr>
          <w:p w14:paraId="092A174B">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cs="Times New Roman"/>
                <w:color w:val="000000" w:themeColor="text1"/>
                <w:kern w:val="0"/>
                <w:lang w:bidi="ar"/>
                <w14:textFill>
                  <w14:solidFill>
                    <w14:schemeClr w14:val="tx1"/>
                  </w14:solidFill>
                </w14:textFill>
              </w:rPr>
            </w:pPr>
            <w:r>
              <w:rPr>
                <w:rFonts w:hint="eastAsia" w:ascii="Times New Roman" w:hAnsi="Times New Roman" w:cs="Times New Roman"/>
                <w:color w:val="000000" w:themeColor="text1"/>
                <w:kern w:val="0"/>
                <w:lang w:bidi="ar"/>
                <w14:textFill>
                  <w14:solidFill>
                    <w14:schemeClr w14:val="tx1"/>
                  </w14:solidFill>
                </w14:textFill>
              </w:rPr>
              <w:t>0</w:t>
            </w:r>
          </w:p>
        </w:tc>
      </w:tr>
      <w:tr w14:paraId="7630A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18" w:type="pct"/>
            <w:noWrap w:val="0"/>
            <w:vAlign w:val="center"/>
          </w:tcPr>
          <w:p w14:paraId="7829E787">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COD</w:t>
            </w:r>
          </w:p>
        </w:tc>
        <w:tc>
          <w:tcPr>
            <w:tcW w:w="1274" w:type="pct"/>
            <w:noWrap w:val="0"/>
            <w:vAlign w:val="center"/>
          </w:tcPr>
          <w:p w14:paraId="561804B9">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320</w:t>
            </w:r>
          </w:p>
        </w:tc>
        <w:tc>
          <w:tcPr>
            <w:tcW w:w="1354" w:type="pct"/>
            <w:noWrap w:val="0"/>
            <w:vAlign w:val="center"/>
          </w:tcPr>
          <w:p w14:paraId="0497E4B0">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0.59</w:t>
            </w:r>
          </w:p>
        </w:tc>
        <w:tc>
          <w:tcPr>
            <w:tcW w:w="1354" w:type="pct"/>
            <w:noWrap w:val="0"/>
            <w:vAlign w:val="top"/>
          </w:tcPr>
          <w:p w14:paraId="00A0EF99">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cs="Times New Roman"/>
                <w:color w:val="000000" w:themeColor="text1"/>
                <w:kern w:val="0"/>
                <w:lang w:bidi="ar"/>
                <w14:textFill>
                  <w14:solidFill>
                    <w14:schemeClr w14:val="tx1"/>
                  </w14:solidFill>
                </w14:textFill>
              </w:rPr>
            </w:pPr>
            <w:r>
              <w:rPr>
                <w:rFonts w:hint="eastAsia" w:ascii="Times New Roman" w:hAnsi="Times New Roman" w:cs="Times New Roman"/>
                <w:color w:val="000000" w:themeColor="text1"/>
                <w:kern w:val="0"/>
                <w:lang w:bidi="ar"/>
                <w14:textFill>
                  <w14:solidFill>
                    <w14:schemeClr w14:val="tx1"/>
                  </w14:solidFill>
                </w14:textFill>
              </w:rPr>
              <w:t>0</w:t>
            </w:r>
          </w:p>
        </w:tc>
      </w:tr>
      <w:tr w14:paraId="0091B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18" w:type="pct"/>
            <w:noWrap w:val="0"/>
            <w:vAlign w:val="center"/>
          </w:tcPr>
          <w:p w14:paraId="4286D3D8">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BOD</w:t>
            </w:r>
          </w:p>
        </w:tc>
        <w:tc>
          <w:tcPr>
            <w:tcW w:w="1274" w:type="pct"/>
            <w:noWrap w:val="0"/>
            <w:vAlign w:val="center"/>
          </w:tcPr>
          <w:p w14:paraId="23FD9AC5">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220</w:t>
            </w:r>
          </w:p>
        </w:tc>
        <w:tc>
          <w:tcPr>
            <w:tcW w:w="1354" w:type="pct"/>
            <w:noWrap w:val="0"/>
            <w:vAlign w:val="center"/>
          </w:tcPr>
          <w:p w14:paraId="754BE2EF">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0.40</w:t>
            </w:r>
          </w:p>
        </w:tc>
        <w:tc>
          <w:tcPr>
            <w:tcW w:w="1354" w:type="pct"/>
            <w:noWrap w:val="0"/>
            <w:vAlign w:val="top"/>
          </w:tcPr>
          <w:p w14:paraId="044078B7">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cs="Times New Roman"/>
                <w:color w:val="000000" w:themeColor="text1"/>
                <w:kern w:val="0"/>
                <w:lang w:bidi="ar"/>
                <w14:textFill>
                  <w14:solidFill>
                    <w14:schemeClr w14:val="tx1"/>
                  </w14:solidFill>
                </w14:textFill>
              </w:rPr>
            </w:pPr>
            <w:r>
              <w:rPr>
                <w:rFonts w:hint="eastAsia" w:ascii="Times New Roman" w:hAnsi="Times New Roman" w:cs="Times New Roman"/>
                <w:color w:val="000000" w:themeColor="text1"/>
                <w:kern w:val="0"/>
                <w:lang w:bidi="ar"/>
                <w14:textFill>
                  <w14:solidFill>
                    <w14:schemeClr w14:val="tx1"/>
                  </w14:solidFill>
                </w14:textFill>
              </w:rPr>
              <w:t>0</w:t>
            </w:r>
          </w:p>
        </w:tc>
      </w:tr>
      <w:tr w14:paraId="409827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18" w:type="pct"/>
            <w:noWrap w:val="0"/>
            <w:vAlign w:val="center"/>
          </w:tcPr>
          <w:p w14:paraId="0F9756C1">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NH</w:t>
            </w:r>
            <w:r>
              <w:rPr>
                <w:rFonts w:hint="default" w:ascii="Times New Roman" w:hAnsi="Times New Roman" w:cs="Times New Roman"/>
                <w:color w:val="000000" w:themeColor="text1"/>
                <w:kern w:val="0"/>
                <w:vertAlign w:val="subscript"/>
                <w:lang w:bidi="ar"/>
                <w14:textFill>
                  <w14:solidFill>
                    <w14:schemeClr w14:val="tx1"/>
                  </w14:solidFill>
                </w14:textFill>
              </w:rPr>
              <w:t>3</w:t>
            </w:r>
            <w:r>
              <w:rPr>
                <w:rFonts w:hint="default" w:ascii="Times New Roman" w:hAnsi="Times New Roman" w:cs="Times New Roman"/>
                <w:color w:val="000000" w:themeColor="text1"/>
                <w:kern w:val="0"/>
                <w:lang w:bidi="ar"/>
                <w14:textFill>
                  <w14:solidFill>
                    <w14:schemeClr w14:val="tx1"/>
                  </w14:solidFill>
                </w14:textFill>
              </w:rPr>
              <w:t>-N</w:t>
            </w:r>
          </w:p>
        </w:tc>
        <w:tc>
          <w:tcPr>
            <w:tcW w:w="1274" w:type="pct"/>
            <w:noWrap w:val="0"/>
            <w:vAlign w:val="center"/>
          </w:tcPr>
          <w:p w14:paraId="4A119204">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25</w:t>
            </w:r>
          </w:p>
        </w:tc>
        <w:tc>
          <w:tcPr>
            <w:tcW w:w="1354" w:type="pct"/>
            <w:noWrap w:val="0"/>
            <w:vAlign w:val="center"/>
          </w:tcPr>
          <w:p w14:paraId="7292C3DF">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0.05</w:t>
            </w:r>
          </w:p>
        </w:tc>
        <w:tc>
          <w:tcPr>
            <w:tcW w:w="1354" w:type="pct"/>
            <w:noWrap w:val="0"/>
            <w:vAlign w:val="top"/>
          </w:tcPr>
          <w:p w14:paraId="33B71455">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cs="Times New Roman"/>
                <w:color w:val="000000" w:themeColor="text1"/>
                <w:kern w:val="0"/>
                <w:lang w:bidi="ar"/>
                <w14:textFill>
                  <w14:solidFill>
                    <w14:schemeClr w14:val="tx1"/>
                  </w14:solidFill>
                </w14:textFill>
              </w:rPr>
            </w:pPr>
            <w:r>
              <w:rPr>
                <w:rFonts w:hint="eastAsia" w:ascii="Times New Roman" w:hAnsi="Times New Roman" w:cs="Times New Roman"/>
                <w:color w:val="000000" w:themeColor="text1"/>
                <w:kern w:val="0"/>
                <w:lang w:bidi="ar"/>
                <w14:textFill>
                  <w14:solidFill>
                    <w14:schemeClr w14:val="tx1"/>
                  </w14:solidFill>
                </w14:textFill>
              </w:rPr>
              <w:t>0</w:t>
            </w:r>
          </w:p>
        </w:tc>
      </w:tr>
      <w:tr w14:paraId="73F832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18" w:type="pct"/>
            <w:noWrap w:val="0"/>
            <w:vAlign w:val="center"/>
          </w:tcPr>
          <w:p w14:paraId="4C36E709">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动植物油</w:t>
            </w:r>
          </w:p>
        </w:tc>
        <w:tc>
          <w:tcPr>
            <w:tcW w:w="1274" w:type="pct"/>
            <w:noWrap w:val="0"/>
            <w:vAlign w:val="center"/>
          </w:tcPr>
          <w:p w14:paraId="7D79F284">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40</w:t>
            </w:r>
          </w:p>
        </w:tc>
        <w:tc>
          <w:tcPr>
            <w:tcW w:w="1354" w:type="pct"/>
            <w:noWrap w:val="0"/>
            <w:vAlign w:val="center"/>
          </w:tcPr>
          <w:p w14:paraId="0FF7285C">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0.07</w:t>
            </w:r>
          </w:p>
        </w:tc>
        <w:tc>
          <w:tcPr>
            <w:tcW w:w="1354" w:type="pct"/>
            <w:noWrap w:val="0"/>
            <w:vAlign w:val="top"/>
          </w:tcPr>
          <w:p w14:paraId="4CC810BC">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cs="Times New Roman"/>
                <w:color w:val="000000" w:themeColor="text1"/>
                <w:kern w:val="0"/>
                <w:lang w:bidi="ar"/>
                <w14:textFill>
                  <w14:solidFill>
                    <w14:schemeClr w14:val="tx1"/>
                  </w14:solidFill>
                </w14:textFill>
              </w:rPr>
            </w:pPr>
            <w:r>
              <w:rPr>
                <w:rFonts w:hint="eastAsia" w:ascii="Times New Roman" w:hAnsi="Times New Roman" w:cs="Times New Roman"/>
                <w:color w:val="000000" w:themeColor="text1"/>
                <w:kern w:val="0"/>
                <w:lang w:bidi="ar"/>
                <w14:textFill>
                  <w14:solidFill>
                    <w14:schemeClr w14:val="tx1"/>
                  </w14:solidFill>
                </w14:textFill>
              </w:rPr>
              <w:t>0</w:t>
            </w:r>
          </w:p>
        </w:tc>
      </w:tr>
    </w:tbl>
    <w:p w14:paraId="76FAE339">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（3）废石堆场淋溶水</w:t>
      </w:r>
    </w:p>
    <w:p w14:paraId="50D7E685">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当进入废石堆场的雨水量和冰雪消融水大于场内废石的最大持水量时，多余的</w:t>
      </w:r>
      <w:r>
        <w:rPr>
          <w:rFonts w:hint="eastAsia"/>
          <w:color w:val="000000" w:themeColor="text1"/>
          <w:sz w:val="24"/>
          <w:szCs w:val="28"/>
          <w:lang w:val="en-US" w:eastAsia="zh-CN"/>
          <w14:textFill>
            <w14:solidFill>
              <w14:schemeClr w14:val="tx1"/>
            </w14:solidFill>
          </w14:textFill>
        </w:rPr>
        <w:t>水分</w:t>
      </w:r>
      <w:r>
        <w:rPr>
          <w:color w:val="000000" w:themeColor="text1"/>
          <w:sz w:val="24"/>
          <w:szCs w:val="28"/>
          <w14:textFill>
            <w14:solidFill>
              <w14:schemeClr w14:val="tx1"/>
            </w14:solidFill>
          </w14:textFill>
        </w:rPr>
        <w:t>渗出形成废石堆场淋溶水，废石中部分被雨、雪水溶解的</w:t>
      </w:r>
      <w:r>
        <w:rPr>
          <w:rFonts w:hint="eastAsia"/>
          <w:color w:val="000000" w:themeColor="text1"/>
          <w:sz w:val="24"/>
          <w:szCs w:val="28"/>
          <w:lang w:val="en-US" w:eastAsia="zh-CN"/>
          <w14:textFill>
            <w14:solidFill>
              <w14:schemeClr w14:val="tx1"/>
            </w14:solidFill>
          </w14:textFill>
        </w:rPr>
        <w:t>成分</w:t>
      </w:r>
      <w:r>
        <w:rPr>
          <w:color w:val="000000" w:themeColor="text1"/>
          <w:sz w:val="24"/>
          <w:szCs w:val="28"/>
          <w14:textFill>
            <w14:solidFill>
              <w14:schemeClr w14:val="tx1"/>
            </w14:solidFill>
          </w14:textFill>
        </w:rPr>
        <w:t>也随之流出，因此淋溶水中含有一定量的矿物元素。对照本矿山的废石浸出毒性分析结果，从分析结果来看，本矿废石浸出液中主要有害</w:t>
      </w:r>
      <w:r>
        <w:rPr>
          <w:rFonts w:hint="eastAsia"/>
          <w:color w:val="000000" w:themeColor="text1"/>
          <w:sz w:val="24"/>
          <w:szCs w:val="28"/>
          <w:lang w:val="en-US" w:eastAsia="zh-CN"/>
          <w14:textFill>
            <w14:solidFill>
              <w14:schemeClr w14:val="tx1"/>
            </w14:solidFill>
          </w14:textFill>
        </w:rPr>
        <w:t>成分</w:t>
      </w:r>
      <w:r>
        <w:rPr>
          <w:color w:val="000000" w:themeColor="text1"/>
          <w:sz w:val="24"/>
          <w:szCs w:val="28"/>
          <w14:textFill>
            <w14:solidFill>
              <w14:schemeClr w14:val="tx1"/>
            </w14:solidFill>
          </w14:textFill>
        </w:rPr>
        <w:t>重金属的浓度均低于《危险废物鉴别标准——浸出毒性鉴别》（GB5085.3-2007）的限值和《污水综合排放标准》（GB8978-1996）中的最高允许排放浓度限值。</w:t>
      </w:r>
    </w:p>
    <w:p w14:paraId="6108BF5D">
      <w:pPr>
        <w:pStyle w:val="18"/>
        <w:spacing w:line="480" w:lineRule="exact"/>
        <w:ind w:firstLine="480"/>
        <w:rPr>
          <w:color w:val="000000" w:themeColor="text1"/>
          <w:sz w:val="24"/>
          <w:szCs w:val="28"/>
          <w14:textFill>
            <w14:solidFill>
              <w14:schemeClr w14:val="tx1"/>
            </w14:solidFill>
          </w14:textFill>
        </w:rPr>
      </w:pPr>
      <w:r>
        <w:rPr>
          <w:color w:val="000000" w:themeColor="text1"/>
          <w:sz w:val="24"/>
          <w14:textFill>
            <w14:solidFill>
              <w14:schemeClr w14:val="tx1"/>
            </w14:solidFill>
          </w14:textFill>
        </w:rPr>
        <w:t>根据气象部门提供的相关资料，哈密年平均降雨量为39mm</w:t>
      </w:r>
      <w:r>
        <w:rPr>
          <w:rFonts w:hint="eastAsia"/>
          <w:color w:val="000000" w:themeColor="text1"/>
          <w:sz w:val="24"/>
          <w:szCs w:val="28"/>
          <w14:textFill>
            <w14:solidFill>
              <w14:schemeClr w14:val="tx1"/>
            </w14:solidFill>
          </w14:textFill>
        </w:rPr>
        <w:t>，年平均蒸发量为</w:t>
      </w:r>
      <w:r>
        <w:rPr>
          <w:color w:val="000000" w:themeColor="text1"/>
          <w:sz w:val="24"/>
          <w:szCs w:val="28"/>
          <w14:textFill>
            <w14:solidFill>
              <w14:schemeClr w14:val="tx1"/>
            </w14:solidFill>
          </w14:textFill>
        </w:rPr>
        <w:t>2754.1</w:t>
      </w:r>
      <w:r>
        <w:rPr>
          <w:rFonts w:hint="eastAsia"/>
          <w:color w:val="000000" w:themeColor="text1"/>
          <w:sz w:val="24"/>
          <w:szCs w:val="28"/>
          <w14:textFill>
            <w14:solidFill>
              <w14:schemeClr w14:val="tx1"/>
            </w14:solidFill>
          </w14:textFill>
        </w:rPr>
        <w:t>mm，可知项目区降雨量不大，排泄方式主要为地表蒸发排泄，平均降水量远小于蒸发量，在该地区特殊的气候条件下废石淋溶水产生的量极小，很快通过自然蒸发。矿区最低侵蚀基准面标高为</w:t>
      </w:r>
      <w:r>
        <w:rPr>
          <w:color w:val="000000" w:themeColor="text1"/>
          <w:sz w:val="24"/>
          <w:szCs w:val="28"/>
          <w14:textFill>
            <w14:solidFill>
              <w14:schemeClr w14:val="tx1"/>
            </w14:solidFill>
          </w14:textFill>
        </w:rPr>
        <w:t>1222.32m</w:t>
      </w:r>
      <w:r>
        <w:rPr>
          <w:rFonts w:hint="eastAsia"/>
          <w:color w:val="000000" w:themeColor="text1"/>
          <w:sz w:val="24"/>
          <w:szCs w:val="28"/>
          <w14:textFill>
            <w14:solidFill>
              <w14:schemeClr w14:val="tx1"/>
            </w14:solidFill>
          </w14:textFill>
        </w:rPr>
        <w:t>，1号和2号废石堆场标高为1</w:t>
      </w:r>
      <w:r>
        <w:rPr>
          <w:color w:val="000000" w:themeColor="text1"/>
          <w:sz w:val="24"/>
          <w:szCs w:val="28"/>
          <w14:textFill>
            <w14:solidFill>
              <w14:schemeClr w14:val="tx1"/>
            </w14:solidFill>
          </w14:textFill>
        </w:rPr>
        <w:t>238</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1240</w:t>
      </w:r>
      <w:r>
        <w:rPr>
          <w:rFonts w:hint="eastAsia"/>
          <w:color w:val="000000" w:themeColor="text1"/>
          <w:sz w:val="24"/>
          <w:szCs w:val="28"/>
          <w14:textFill>
            <w14:solidFill>
              <w14:schemeClr w14:val="tx1"/>
            </w14:solidFill>
          </w14:textFill>
        </w:rPr>
        <w:t>m，均位于侵蚀基准面标高以上，不受矿区短暂地表径流影响。由大气降水产生的淋溶水量很少，</w:t>
      </w:r>
      <w:r>
        <w:rPr>
          <w:rFonts w:hint="eastAsia"/>
          <w:color w:val="000000" w:themeColor="text1"/>
          <w:sz w:val="24"/>
          <w:szCs w:val="28"/>
          <w:lang w:val="en-US" w:eastAsia="zh-CN"/>
          <w14:textFill>
            <w14:solidFill>
              <w14:schemeClr w14:val="tx1"/>
            </w14:solidFill>
          </w14:textFill>
        </w:rPr>
        <w:t>且</w:t>
      </w:r>
      <w:r>
        <w:rPr>
          <w:rFonts w:hint="eastAsia"/>
          <w:color w:val="000000" w:themeColor="text1"/>
          <w:sz w:val="24"/>
          <w:szCs w:val="28"/>
          <w14:textFill>
            <w14:solidFill>
              <w14:schemeClr w14:val="tx1"/>
            </w14:solidFill>
          </w14:textFill>
        </w:rPr>
        <w:t>废石堆场</w:t>
      </w:r>
      <w:r>
        <w:rPr>
          <w:rFonts w:hint="eastAsia"/>
          <w:color w:val="000000" w:themeColor="text1"/>
          <w:sz w:val="24"/>
          <w:szCs w:val="28"/>
          <w:lang w:val="en-US" w:eastAsia="zh-CN"/>
          <w14:textFill>
            <w14:solidFill>
              <w14:schemeClr w14:val="tx1"/>
            </w14:solidFill>
          </w14:textFill>
        </w:rPr>
        <w:t>按照《一般工业固体废物贮存和填埋污染控制标准》（GB18599-2020）中I类场的要求进行建设（渗透系数小于1.0×10</w:t>
      </w:r>
      <w:r>
        <w:rPr>
          <w:rFonts w:hint="eastAsia"/>
          <w:color w:val="000000" w:themeColor="text1"/>
          <w:sz w:val="24"/>
          <w:szCs w:val="28"/>
          <w:vertAlign w:val="superscript"/>
          <w:lang w:val="en-US" w:eastAsia="zh-CN"/>
          <w14:textFill>
            <w14:solidFill>
              <w14:schemeClr w14:val="tx1"/>
            </w14:solidFill>
          </w14:textFill>
        </w:rPr>
        <w:t>-5</w:t>
      </w:r>
      <w:r>
        <w:rPr>
          <w:rFonts w:hint="eastAsia"/>
          <w:color w:val="000000" w:themeColor="text1"/>
          <w:sz w:val="24"/>
          <w:szCs w:val="28"/>
          <w:lang w:val="en-US" w:eastAsia="zh-CN"/>
          <w14:textFill>
            <w14:solidFill>
              <w14:schemeClr w14:val="tx1"/>
            </w14:solidFill>
          </w14:textFill>
        </w:rPr>
        <w:t>cm/s），</w:t>
      </w:r>
      <w:r>
        <w:rPr>
          <w:rFonts w:hint="eastAsia"/>
          <w:color w:val="000000" w:themeColor="text1"/>
          <w:sz w:val="24"/>
          <w:szCs w:val="28"/>
          <w14:textFill>
            <w14:solidFill>
              <w14:schemeClr w14:val="tx1"/>
            </w14:solidFill>
          </w14:textFill>
        </w:rPr>
        <w:t>废石淋溶水渗透到地下水的可能性极小。</w:t>
      </w:r>
    </w:p>
    <w:p w14:paraId="33136097">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4</w:t>
      </w:r>
      <w:r>
        <w:rPr>
          <w:rFonts w:hint="eastAsia" w:ascii="Times New Roman" w:hAnsi="Times New Roman"/>
          <w:bCs w:val="0"/>
          <w:color w:val="000000" w:themeColor="text1"/>
          <w:kern w:val="2"/>
          <w:szCs w:val="24"/>
          <w14:textFill>
            <w14:solidFill>
              <w14:schemeClr w14:val="tx1"/>
            </w14:solidFill>
          </w14:textFill>
        </w:rPr>
        <w:t>.3噪声污染源及源强</w:t>
      </w:r>
    </w:p>
    <w:p w14:paraId="13094F92">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矿山开采期间</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凿岩、爆破、压气、铲装</w:t>
      </w:r>
      <w:r>
        <w:rPr>
          <w:rFonts w:hint="eastAsia"/>
          <w:color w:val="000000" w:themeColor="text1"/>
          <w:sz w:val="24"/>
          <w:szCs w:val="28"/>
          <w14:textFill>
            <w14:solidFill>
              <w14:schemeClr w14:val="tx1"/>
            </w14:solidFill>
          </w14:textFill>
        </w:rPr>
        <w:t>运输</w:t>
      </w:r>
      <w:r>
        <w:rPr>
          <w:color w:val="000000" w:themeColor="text1"/>
          <w:sz w:val="24"/>
          <w:szCs w:val="28"/>
          <w14:textFill>
            <w14:solidFill>
              <w14:schemeClr w14:val="tx1"/>
            </w14:solidFill>
          </w14:textFill>
        </w:rPr>
        <w:t>设备等生产作业时均会产生噪声。</w:t>
      </w:r>
      <w:r>
        <w:rPr>
          <w:rFonts w:hint="eastAsia"/>
          <w:color w:val="000000" w:themeColor="text1"/>
          <w:sz w:val="24"/>
          <w:szCs w:val="28"/>
          <w:lang w:val="en-US" w:eastAsia="zh-CN"/>
          <w14:textFill>
            <w14:solidFill>
              <w14:schemeClr w14:val="tx1"/>
            </w14:solidFill>
          </w14:textFill>
        </w:rPr>
        <w:t>地面</w:t>
      </w:r>
      <w:r>
        <w:rPr>
          <w:color w:val="000000" w:themeColor="text1"/>
          <w:sz w:val="24"/>
          <w:szCs w:val="28"/>
          <w14:textFill>
            <w14:solidFill>
              <w14:schemeClr w14:val="tx1"/>
            </w14:solidFill>
          </w14:textFill>
        </w:rPr>
        <w:t>产生高噪声的设备主要有采矿场的</w:t>
      </w:r>
      <w:r>
        <w:rPr>
          <w:rFonts w:hint="eastAsia"/>
          <w:color w:val="000000" w:themeColor="text1"/>
          <w:sz w:val="24"/>
          <w:szCs w:val="28"/>
          <w:lang w:val="en-US" w:eastAsia="zh-CN"/>
          <w14:textFill>
            <w14:solidFill>
              <w14:schemeClr w14:val="tx1"/>
            </w14:solidFill>
          </w14:textFill>
        </w:rPr>
        <w:t>空压机</w:t>
      </w:r>
      <w:r>
        <w:rPr>
          <w:color w:val="000000" w:themeColor="text1"/>
          <w:sz w:val="24"/>
          <w:szCs w:val="28"/>
          <w14:textFill>
            <w14:solidFill>
              <w14:schemeClr w14:val="tx1"/>
            </w14:solidFill>
          </w14:textFill>
        </w:rPr>
        <w:t>、通风机。</w:t>
      </w:r>
      <w:r>
        <w:rPr>
          <w:rFonts w:hint="eastAsia"/>
          <w:color w:val="000000" w:themeColor="text1"/>
          <w:sz w:val="24"/>
          <w:szCs w:val="28"/>
          <w:lang w:eastAsia="zh-CN"/>
          <w14:textFill>
            <w14:solidFill>
              <w14:schemeClr w14:val="tx1"/>
            </w14:solidFill>
          </w14:textFill>
        </w:rPr>
        <w:t>本项目</w:t>
      </w:r>
      <w:r>
        <w:rPr>
          <w:color w:val="000000" w:themeColor="text1"/>
          <w:sz w:val="24"/>
          <w:szCs w:val="28"/>
          <w14:textFill>
            <w14:solidFill>
              <w14:schemeClr w14:val="tx1"/>
            </w14:solidFill>
          </w14:textFill>
        </w:rPr>
        <w:t>主要噪声源及其声强情况见下表。</w:t>
      </w:r>
    </w:p>
    <w:p w14:paraId="21D38605">
      <w:pPr>
        <w:pStyle w:val="18"/>
        <w:spacing w:line="480" w:lineRule="exact"/>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表3.</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9</w:t>
      </w:r>
      <w:r>
        <w:rPr>
          <w:rFonts w:hint="eastAsia"/>
          <w:b/>
          <w:color w:val="000000" w:themeColor="text1"/>
          <w:sz w:val="24"/>
          <w14:textFill>
            <w14:solidFill>
              <w14:schemeClr w14:val="tx1"/>
            </w14:solidFill>
          </w14:textFill>
        </w:rPr>
        <w:t xml:space="preserve">    本项目主要噪声源情况一览表</w:t>
      </w:r>
    </w:p>
    <w:tbl>
      <w:tblPr>
        <w:tblStyle w:val="79"/>
        <w:tblW w:w="50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64"/>
        <w:gridCol w:w="1726"/>
        <w:gridCol w:w="1565"/>
        <w:gridCol w:w="2718"/>
        <w:gridCol w:w="1710"/>
      </w:tblGrid>
      <w:tr w14:paraId="1A7B8C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05" w:hRule="exact"/>
          <w:tblHeader/>
          <w:jc w:val="center"/>
        </w:trPr>
        <w:tc>
          <w:tcPr>
            <w:tcW w:w="450" w:type="pct"/>
            <w:noWrap w:val="0"/>
            <w:vAlign w:val="top"/>
          </w:tcPr>
          <w:p w14:paraId="704712C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序号</w:t>
            </w:r>
          </w:p>
        </w:tc>
        <w:tc>
          <w:tcPr>
            <w:tcW w:w="1017" w:type="pct"/>
            <w:noWrap w:val="0"/>
            <w:vAlign w:val="top"/>
          </w:tcPr>
          <w:p w14:paraId="6C393D6E">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噪声源</w:t>
            </w:r>
          </w:p>
        </w:tc>
        <w:tc>
          <w:tcPr>
            <w:tcW w:w="922" w:type="pct"/>
            <w:noWrap w:val="0"/>
            <w:vAlign w:val="top"/>
          </w:tcPr>
          <w:p w14:paraId="0590F1E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位置</w:t>
            </w:r>
          </w:p>
        </w:tc>
        <w:tc>
          <w:tcPr>
            <w:tcW w:w="1601" w:type="pct"/>
            <w:noWrap w:val="0"/>
            <w:vAlign w:val="top"/>
          </w:tcPr>
          <w:p w14:paraId="3646985F">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噪声源强度（dB（A））</w:t>
            </w:r>
          </w:p>
        </w:tc>
        <w:tc>
          <w:tcPr>
            <w:tcW w:w="1007" w:type="pct"/>
            <w:noWrap w:val="0"/>
            <w:vAlign w:val="top"/>
          </w:tcPr>
          <w:p w14:paraId="26AFDAC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备注</w:t>
            </w:r>
          </w:p>
        </w:tc>
      </w:tr>
      <w:tr w14:paraId="3B1AA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exact"/>
          <w:jc w:val="center"/>
        </w:trPr>
        <w:tc>
          <w:tcPr>
            <w:tcW w:w="450" w:type="pct"/>
            <w:noWrap w:val="0"/>
            <w:vAlign w:val="top"/>
          </w:tcPr>
          <w:p w14:paraId="6A95BF6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1017" w:type="pct"/>
            <w:noWrap w:val="0"/>
            <w:vAlign w:val="top"/>
          </w:tcPr>
          <w:p w14:paraId="6DF0E4F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凿岩机</w:t>
            </w:r>
          </w:p>
        </w:tc>
        <w:tc>
          <w:tcPr>
            <w:tcW w:w="922" w:type="pct"/>
            <w:noWrap w:val="0"/>
            <w:vAlign w:val="top"/>
          </w:tcPr>
          <w:p w14:paraId="5788A64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井下</w:t>
            </w:r>
          </w:p>
        </w:tc>
        <w:tc>
          <w:tcPr>
            <w:tcW w:w="1601" w:type="pct"/>
            <w:noWrap w:val="0"/>
            <w:vAlign w:val="top"/>
          </w:tcPr>
          <w:p w14:paraId="6309B85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108~110</w:t>
            </w:r>
          </w:p>
        </w:tc>
        <w:tc>
          <w:tcPr>
            <w:tcW w:w="1007" w:type="pct"/>
            <w:noWrap w:val="0"/>
            <w:vAlign w:val="top"/>
          </w:tcPr>
          <w:p w14:paraId="6F600A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间歇性</w:t>
            </w:r>
          </w:p>
        </w:tc>
      </w:tr>
      <w:tr w14:paraId="36A9B5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exact"/>
          <w:jc w:val="center"/>
        </w:trPr>
        <w:tc>
          <w:tcPr>
            <w:tcW w:w="450" w:type="pct"/>
            <w:noWrap w:val="0"/>
            <w:vAlign w:val="top"/>
          </w:tcPr>
          <w:p w14:paraId="3B5D14D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c>
          <w:tcPr>
            <w:tcW w:w="1017" w:type="pct"/>
            <w:noWrap w:val="0"/>
            <w:vAlign w:val="top"/>
          </w:tcPr>
          <w:p w14:paraId="5C33ADDE">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提升</w:t>
            </w:r>
            <w:r>
              <w:rPr>
                <w:rFonts w:hint="eastAsia" w:ascii="Times New Roman" w:hAnsi="Times New Roman" w:cs="Times New Roman"/>
                <w:color w:val="000000" w:themeColor="text1"/>
                <w:sz w:val="21"/>
                <w:szCs w:val="21"/>
                <w:lang w:eastAsia="zh-CN"/>
                <w14:textFill>
                  <w14:solidFill>
                    <w14:schemeClr w14:val="tx1"/>
                  </w14:solidFill>
                </w14:textFill>
              </w:rPr>
              <w:t>机</w:t>
            </w:r>
          </w:p>
        </w:tc>
        <w:tc>
          <w:tcPr>
            <w:tcW w:w="922" w:type="pct"/>
            <w:noWrap w:val="0"/>
            <w:vAlign w:val="top"/>
          </w:tcPr>
          <w:p w14:paraId="633D2001">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主井、副井</w:t>
            </w:r>
          </w:p>
        </w:tc>
        <w:tc>
          <w:tcPr>
            <w:tcW w:w="1601" w:type="pct"/>
            <w:noWrap w:val="0"/>
            <w:vAlign w:val="top"/>
          </w:tcPr>
          <w:p w14:paraId="1D8447B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85~100</w:t>
            </w:r>
          </w:p>
        </w:tc>
        <w:tc>
          <w:tcPr>
            <w:tcW w:w="1007" w:type="pct"/>
            <w:noWrap w:val="0"/>
            <w:vAlign w:val="top"/>
          </w:tcPr>
          <w:p w14:paraId="23F19C1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间歇性</w:t>
            </w:r>
          </w:p>
        </w:tc>
      </w:tr>
      <w:tr w14:paraId="332BE3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exact"/>
          <w:jc w:val="center"/>
        </w:trPr>
        <w:tc>
          <w:tcPr>
            <w:tcW w:w="450" w:type="pct"/>
            <w:noWrap w:val="0"/>
            <w:vAlign w:val="top"/>
          </w:tcPr>
          <w:p w14:paraId="1EF9B8AE">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w:t>
            </w:r>
          </w:p>
        </w:tc>
        <w:tc>
          <w:tcPr>
            <w:tcW w:w="1017" w:type="pct"/>
            <w:noWrap w:val="0"/>
            <w:vAlign w:val="top"/>
          </w:tcPr>
          <w:p w14:paraId="4E819DAC">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通风机</w:t>
            </w:r>
          </w:p>
        </w:tc>
        <w:tc>
          <w:tcPr>
            <w:tcW w:w="922" w:type="pct"/>
            <w:noWrap w:val="0"/>
            <w:vAlign w:val="top"/>
          </w:tcPr>
          <w:p w14:paraId="1B931DAC">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风井通风机房</w:t>
            </w:r>
          </w:p>
        </w:tc>
        <w:tc>
          <w:tcPr>
            <w:tcW w:w="1601" w:type="pct"/>
            <w:noWrap w:val="0"/>
            <w:vAlign w:val="top"/>
          </w:tcPr>
          <w:p w14:paraId="231473D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100~105</w:t>
            </w:r>
          </w:p>
        </w:tc>
        <w:tc>
          <w:tcPr>
            <w:tcW w:w="1007" w:type="pct"/>
            <w:noWrap w:val="0"/>
            <w:vAlign w:val="top"/>
          </w:tcPr>
          <w:p w14:paraId="4C6B62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连续性</w:t>
            </w:r>
          </w:p>
        </w:tc>
      </w:tr>
      <w:tr w14:paraId="414434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exact"/>
          <w:jc w:val="center"/>
        </w:trPr>
        <w:tc>
          <w:tcPr>
            <w:tcW w:w="450" w:type="pct"/>
            <w:noWrap w:val="0"/>
            <w:vAlign w:val="top"/>
          </w:tcPr>
          <w:p w14:paraId="291835C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017" w:type="pct"/>
            <w:noWrap w:val="0"/>
            <w:vAlign w:val="top"/>
          </w:tcPr>
          <w:p w14:paraId="17B7F02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螺杆式</w:t>
            </w:r>
            <w:r>
              <w:rPr>
                <w:rFonts w:hint="default" w:ascii="Times New Roman" w:hAnsi="Times New Roman" w:cs="Times New Roman"/>
                <w:color w:val="000000" w:themeColor="text1"/>
                <w:sz w:val="21"/>
                <w:szCs w:val="21"/>
                <w14:textFill>
                  <w14:solidFill>
                    <w14:schemeClr w14:val="tx1"/>
                  </w14:solidFill>
                </w14:textFill>
              </w:rPr>
              <w:t>空压机</w:t>
            </w:r>
          </w:p>
        </w:tc>
        <w:tc>
          <w:tcPr>
            <w:tcW w:w="922" w:type="pct"/>
            <w:noWrap w:val="0"/>
            <w:vAlign w:val="top"/>
          </w:tcPr>
          <w:p w14:paraId="1DEA5E52">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空压机</w:t>
            </w:r>
            <w:r>
              <w:rPr>
                <w:rFonts w:hint="eastAsia" w:ascii="Times New Roman" w:hAnsi="Times New Roman" w:cs="Times New Roman"/>
                <w:color w:val="000000" w:themeColor="text1"/>
                <w:sz w:val="21"/>
                <w:szCs w:val="21"/>
                <w:lang w:val="en-US" w:eastAsia="zh-CN"/>
                <w14:textFill>
                  <w14:solidFill>
                    <w14:schemeClr w14:val="tx1"/>
                  </w14:solidFill>
                </w14:textFill>
              </w:rPr>
              <w:t>房</w:t>
            </w:r>
          </w:p>
        </w:tc>
        <w:tc>
          <w:tcPr>
            <w:tcW w:w="1601" w:type="pct"/>
            <w:noWrap w:val="0"/>
            <w:vAlign w:val="top"/>
          </w:tcPr>
          <w:p w14:paraId="5751315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100~105</w:t>
            </w:r>
          </w:p>
        </w:tc>
        <w:tc>
          <w:tcPr>
            <w:tcW w:w="1007" w:type="pct"/>
            <w:noWrap w:val="0"/>
            <w:vAlign w:val="top"/>
          </w:tcPr>
          <w:p w14:paraId="278A665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连续性</w:t>
            </w:r>
          </w:p>
        </w:tc>
      </w:tr>
      <w:tr w14:paraId="59EA0B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exact"/>
          <w:jc w:val="center"/>
        </w:trPr>
        <w:tc>
          <w:tcPr>
            <w:tcW w:w="450" w:type="pct"/>
            <w:shd w:val="clear" w:color="auto" w:fill="auto"/>
            <w:noWrap w:val="0"/>
            <w:vAlign w:val="top"/>
          </w:tcPr>
          <w:p w14:paraId="0D3A2416">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017" w:type="pct"/>
            <w:noWrap w:val="0"/>
            <w:vAlign w:val="top"/>
          </w:tcPr>
          <w:p w14:paraId="682343FA">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卷扬机</w:t>
            </w:r>
          </w:p>
        </w:tc>
        <w:tc>
          <w:tcPr>
            <w:tcW w:w="922" w:type="pct"/>
            <w:noWrap w:val="0"/>
            <w:vAlign w:val="top"/>
          </w:tcPr>
          <w:p w14:paraId="6D2CEB21">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卷扬机房</w:t>
            </w:r>
          </w:p>
        </w:tc>
        <w:tc>
          <w:tcPr>
            <w:tcW w:w="1601" w:type="pct"/>
            <w:noWrap w:val="0"/>
            <w:vAlign w:val="top"/>
          </w:tcPr>
          <w:p w14:paraId="06892ED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100~105</w:t>
            </w:r>
          </w:p>
        </w:tc>
        <w:tc>
          <w:tcPr>
            <w:tcW w:w="1007" w:type="pct"/>
            <w:noWrap w:val="0"/>
            <w:vAlign w:val="top"/>
          </w:tcPr>
          <w:p w14:paraId="6F189DB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连续性</w:t>
            </w:r>
          </w:p>
        </w:tc>
      </w:tr>
      <w:tr w14:paraId="2E43F4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exact"/>
          <w:jc w:val="center"/>
        </w:trPr>
        <w:tc>
          <w:tcPr>
            <w:tcW w:w="450" w:type="pct"/>
            <w:shd w:val="clear" w:color="auto" w:fill="auto"/>
            <w:noWrap w:val="0"/>
            <w:vAlign w:val="top"/>
          </w:tcPr>
          <w:p w14:paraId="08DEC3A5">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017" w:type="pct"/>
            <w:noWrap w:val="0"/>
            <w:vAlign w:val="top"/>
          </w:tcPr>
          <w:p w14:paraId="16E8C17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爆破噪声</w:t>
            </w:r>
          </w:p>
        </w:tc>
        <w:tc>
          <w:tcPr>
            <w:tcW w:w="922" w:type="pct"/>
            <w:noWrap w:val="0"/>
            <w:vAlign w:val="top"/>
          </w:tcPr>
          <w:p w14:paraId="2C323E28">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井下</w:t>
            </w:r>
          </w:p>
        </w:tc>
        <w:tc>
          <w:tcPr>
            <w:tcW w:w="1601" w:type="pct"/>
            <w:noWrap w:val="0"/>
            <w:vAlign w:val="top"/>
          </w:tcPr>
          <w:p w14:paraId="369AE99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100~110</w:t>
            </w:r>
          </w:p>
        </w:tc>
        <w:tc>
          <w:tcPr>
            <w:tcW w:w="1007" w:type="pct"/>
            <w:noWrap w:val="0"/>
            <w:vAlign w:val="top"/>
          </w:tcPr>
          <w:p w14:paraId="49F5B1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间歇性</w:t>
            </w:r>
          </w:p>
        </w:tc>
      </w:tr>
      <w:tr w14:paraId="2B1BE5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exact"/>
          <w:jc w:val="center"/>
        </w:trPr>
        <w:tc>
          <w:tcPr>
            <w:tcW w:w="450" w:type="pct"/>
            <w:shd w:val="clear" w:color="auto" w:fill="auto"/>
            <w:noWrap w:val="0"/>
            <w:vAlign w:val="top"/>
          </w:tcPr>
          <w:p w14:paraId="5F5E2F35">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017" w:type="pct"/>
            <w:noWrap w:val="0"/>
            <w:vAlign w:val="top"/>
          </w:tcPr>
          <w:p w14:paraId="1EDA2D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耙斗装岩机</w:t>
            </w:r>
          </w:p>
        </w:tc>
        <w:tc>
          <w:tcPr>
            <w:tcW w:w="922" w:type="pct"/>
            <w:noWrap w:val="0"/>
            <w:vAlign w:val="top"/>
          </w:tcPr>
          <w:p w14:paraId="0962F85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井下</w:t>
            </w:r>
          </w:p>
        </w:tc>
        <w:tc>
          <w:tcPr>
            <w:tcW w:w="1601" w:type="pct"/>
            <w:noWrap w:val="0"/>
            <w:vAlign w:val="top"/>
          </w:tcPr>
          <w:p w14:paraId="56BBA71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85~105</w:t>
            </w:r>
          </w:p>
        </w:tc>
        <w:tc>
          <w:tcPr>
            <w:tcW w:w="1007" w:type="pct"/>
            <w:noWrap w:val="0"/>
            <w:vAlign w:val="top"/>
          </w:tcPr>
          <w:p w14:paraId="22AC1AA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间歇性</w:t>
            </w:r>
          </w:p>
        </w:tc>
      </w:tr>
      <w:tr w14:paraId="54105D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exact"/>
          <w:jc w:val="center"/>
        </w:trPr>
        <w:tc>
          <w:tcPr>
            <w:tcW w:w="450" w:type="pct"/>
            <w:shd w:val="clear" w:color="auto" w:fill="auto"/>
            <w:noWrap w:val="0"/>
            <w:vAlign w:val="top"/>
          </w:tcPr>
          <w:p w14:paraId="0F42B8A3">
            <w:pPr>
              <w:pStyle w:val="679"/>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1017" w:type="pct"/>
            <w:noWrap w:val="0"/>
            <w:vAlign w:val="top"/>
          </w:tcPr>
          <w:p w14:paraId="76348D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水泵</w:t>
            </w:r>
          </w:p>
        </w:tc>
        <w:tc>
          <w:tcPr>
            <w:tcW w:w="922" w:type="pct"/>
            <w:noWrap w:val="0"/>
            <w:vAlign w:val="top"/>
          </w:tcPr>
          <w:p w14:paraId="5B16602E">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lang w:eastAsia="zh-CN"/>
                <w14:textFill>
                  <w14:solidFill>
                    <w14:schemeClr w14:val="tx1"/>
                  </w14:solidFill>
                </w14:textFill>
              </w:rPr>
            </w:pPr>
            <w:r>
              <w:rPr>
                <w:rFonts w:hint="eastAsia" w:cs="Times New Roman"/>
                <w:bCs/>
                <w:color w:val="000000" w:themeColor="text1"/>
                <w:lang w:val="en-US" w:eastAsia="zh-CN"/>
                <w14:textFill>
                  <w14:solidFill>
                    <w14:schemeClr w14:val="tx1"/>
                  </w14:solidFill>
                </w14:textFill>
              </w:rPr>
              <w:t>井下</w:t>
            </w:r>
          </w:p>
        </w:tc>
        <w:tc>
          <w:tcPr>
            <w:tcW w:w="1601" w:type="pct"/>
            <w:noWrap w:val="0"/>
            <w:vAlign w:val="top"/>
          </w:tcPr>
          <w:p w14:paraId="3C280A1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spacing w:val="-1"/>
                <w14:textFill>
                  <w14:solidFill>
                    <w14:schemeClr w14:val="tx1"/>
                  </w14:solidFill>
                </w14:textFill>
              </w:rPr>
              <w:t>80~100</w:t>
            </w:r>
          </w:p>
        </w:tc>
        <w:tc>
          <w:tcPr>
            <w:tcW w:w="1007" w:type="pct"/>
            <w:noWrap w:val="0"/>
            <w:vAlign w:val="top"/>
          </w:tcPr>
          <w:p w14:paraId="589630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间歇性</w:t>
            </w:r>
          </w:p>
        </w:tc>
      </w:tr>
      <w:tr w14:paraId="11A025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exact"/>
          <w:jc w:val="center"/>
        </w:trPr>
        <w:tc>
          <w:tcPr>
            <w:tcW w:w="450" w:type="pct"/>
            <w:noWrap w:val="0"/>
            <w:vAlign w:val="top"/>
          </w:tcPr>
          <w:p w14:paraId="35F02F3A">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w:t>
            </w:r>
          </w:p>
        </w:tc>
        <w:tc>
          <w:tcPr>
            <w:tcW w:w="1017" w:type="pct"/>
            <w:noWrap w:val="0"/>
            <w:vAlign w:val="top"/>
          </w:tcPr>
          <w:p w14:paraId="582E34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运输车辆</w:t>
            </w:r>
          </w:p>
        </w:tc>
        <w:tc>
          <w:tcPr>
            <w:tcW w:w="922" w:type="pct"/>
            <w:noWrap w:val="0"/>
            <w:vAlign w:val="top"/>
          </w:tcPr>
          <w:p w14:paraId="286A86C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运输</w:t>
            </w:r>
          </w:p>
        </w:tc>
        <w:tc>
          <w:tcPr>
            <w:tcW w:w="1601" w:type="pct"/>
            <w:noWrap w:val="0"/>
            <w:vAlign w:val="top"/>
          </w:tcPr>
          <w:p w14:paraId="1DE1E8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85~90</w:t>
            </w:r>
          </w:p>
        </w:tc>
        <w:tc>
          <w:tcPr>
            <w:tcW w:w="1007" w:type="pct"/>
            <w:noWrap w:val="0"/>
            <w:vAlign w:val="top"/>
          </w:tcPr>
          <w:p w14:paraId="2976669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断续性</w:t>
            </w:r>
          </w:p>
        </w:tc>
      </w:tr>
    </w:tbl>
    <w:p w14:paraId="0180484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4</w:t>
      </w:r>
      <w:r>
        <w:rPr>
          <w:rFonts w:hint="eastAsia" w:ascii="Times New Roman" w:hAnsi="Times New Roman"/>
          <w:bCs w:val="0"/>
          <w:color w:val="000000" w:themeColor="text1"/>
          <w:kern w:val="2"/>
          <w:szCs w:val="24"/>
          <w14:textFill>
            <w14:solidFill>
              <w14:schemeClr w14:val="tx1"/>
            </w14:solidFill>
          </w14:textFill>
        </w:rPr>
        <w:t>.4固体废物及排放情况</w:t>
      </w:r>
    </w:p>
    <w:p w14:paraId="06B98C8C">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本</w:t>
      </w:r>
      <w:r>
        <w:rPr>
          <w:rFonts w:hint="eastAsia"/>
          <w:color w:val="000000" w:themeColor="text1"/>
          <w:sz w:val="24"/>
          <w:szCs w:val="28"/>
          <w14:textFill>
            <w14:solidFill>
              <w14:schemeClr w14:val="tx1"/>
            </w14:solidFill>
          </w14:textFill>
        </w:rPr>
        <w:t>项目运营期</w:t>
      </w:r>
      <w:r>
        <w:rPr>
          <w:color w:val="000000" w:themeColor="text1"/>
          <w:sz w:val="24"/>
          <w:szCs w:val="28"/>
          <w14:textFill>
            <w14:solidFill>
              <w14:schemeClr w14:val="tx1"/>
            </w14:solidFill>
          </w14:textFill>
        </w:rPr>
        <w:t>产生的固体废物包括采矿废石、生活垃圾、</w:t>
      </w:r>
      <w:r>
        <w:rPr>
          <w:rFonts w:hint="eastAsia"/>
          <w:color w:val="000000" w:themeColor="text1"/>
          <w:sz w:val="24"/>
          <w:szCs w:val="28"/>
          <w14:textFill>
            <w14:solidFill>
              <w14:schemeClr w14:val="tx1"/>
            </w14:solidFill>
          </w14:textFill>
        </w:rPr>
        <w:t>沉淀池底泥、污水处理站底泥</w:t>
      </w:r>
      <w:r>
        <w:rPr>
          <w:color w:val="000000" w:themeColor="text1"/>
          <w:sz w:val="24"/>
          <w:szCs w:val="28"/>
          <w14:textFill>
            <w14:solidFill>
              <w14:schemeClr w14:val="tx1"/>
            </w14:solidFill>
          </w14:textFill>
        </w:rPr>
        <w:t>以及</w:t>
      </w:r>
      <w:r>
        <w:rPr>
          <w:rFonts w:hint="eastAsia"/>
          <w:color w:val="000000" w:themeColor="text1"/>
          <w:sz w:val="24"/>
          <w:szCs w:val="28"/>
          <w14:textFill>
            <w14:solidFill>
              <w14:schemeClr w14:val="tx1"/>
            </w14:solidFill>
          </w14:textFill>
        </w:rPr>
        <w:t>废矿物油、</w:t>
      </w:r>
      <w:r>
        <w:rPr>
          <w:rFonts w:hint="eastAsia"/>
          <w:color w:val="000000" w:themeColor="text1"/>
          <w:sz w:val="24"/>
          <w:szCs w:val="28"/>
          <w:lang w:eastAsia="zh-CN"/>
          <w14:textFill>
            <w14:solidFill>
              <w14:schemeClr w14:val="tx1"/>
            </w14:solidFill>
          </w14:textFill>
        </w:rPr>
        <w:t>废油桶</w:t>
      </w:r>
      <w:r>
        <w:rPr>
          <w:color w:val="000000" w:themeColor="text1"/>
          <w:sz w:val="24"/>
          <w:szCs w:val="28"/>
          <w14:textFill>
            <w14:solidFill>
              <w14:schemeClr w14:val="tx1"/>
            </w14:solidFill>
          </w14:textFill>
        </w:rPr>
        <w:t>等</w:t>
      </w:r>
      <w:r>
        <w:rPr>
          <w:rFonts w:hint="eastAsia"/>
          <w:color w:val="000000" w:themeColor="text1"/>
          <w:sz w:val="24"/>
          <w:szCs w:val="28"/>
          <w14:textFill>
            <w14:solidFill>
              <w14:schemeClr w14:val="tx1"/>
            </w14:solidFill>
          </w14:textFill>
        </w:rPr>
        <w:t>。</w:t>
      </w:r>
    </w:p>
    <w:p w14:paraId="46E2B71C">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（1）采矿废石</w:t>
      </w:r>
    </w:p>
    <w:p w14:paraId="19A38BB5">
      <w:pPr>
        <w:pStyle w:val="18"/>
        <w:spacing w:line="480" w:lineRule="exact"/>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运营期，</w:t>
      </w:r>
      <w:r>
        <w:rPr>
          <w:color w:val="000000" w:themeColor="text1"/>
          <w:sz w:val="24"/>
          <w:szCs w:val="28"/>
          <w14:textFill>
            <w14:solidFill>
              <w14:schemeClr w14:val="tx1"/>
            </w14:solidFill>
          </w14:textFill>
        </w:rPr>
        <w:t>矿山</w:t>
      </w:r>
      <w:r>
        <w:rPr>
          <w:rFonts w:hint="eastAsia"/>
          <w:color w:val="000000" w:themeColor="text1"/>
          <w:sz w:val="24"/>
          <w:szCs w:val="28"/>
          <w14:textFill>
            <w14:solidFill>
              <w14:schemeClr w14:val="tx1"/>
            </w14:solidFill>
          </w14:textFill>
        </w:rPr>
        <w:t>开采年产废石（代码：</w:t>
      </w:r>
      <w:r>
        <w:rPr>
          <w:rFonts w:hint="default" w:ascii="Times New Roman" w:hAnsi="Times New Roman" w:eastAsia="宋体" w:cs="Times New Roman"/>
          <w:color w:val="000000" w:themeColor="text1"/>
          <w:sz w:val="24"/>
          <w:szCs w:val="28"/>
          <w14:textFill>
            <w14:solidFill>
              <w14:schemeClr w14:val="tx1"/>
            </w14:solidFill>
          </w14:textFill>
        </w:rPr>
        <w:t>081-001-</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S</w:t>
      </w:r>
      <w:r>
        <w:rPr>
          <w:rFonts w:hint="default" w:ascii="Times New Roman" w:hAnsi="Times New Roman" w:eastAsia="宋体" w:cs="Times New Roman"/>
          <w:color w:val="000000" w:themeColor="text1"/>
          <w:sz w:val="24"/>
          <w:szCs w:val="28"/>
          <w14:textFill>
            <w14:solidFill>
              <w14:schemeClr w14:val="tx1"/>
            </w14:solidFill>
          </w14:textFill>
        </w:rPr>
        <w:t>29</w:t>
      </w:r>
      <w:r>
        <w:rPr>
          <w:rFonts w:hint="eastAsia"/>
          <w:color w:val="000000" w:themeColor="text1"/>
          <w:sz w:val="24"/>
          <w:szCs w:val="28"/>
          <w14:textFill>
            <w14:solidFill>
              <w14:schemeClr w14:val="tx1"/>
            </w14:solidFill>
          </w14:textFill>
        </w:rPr>
        <w:t>）量为</w:t>
      </w:r>
      <w:r>
        <w:rPr>
          <w:color w:val="000000" w:themeColor="text1"/>
          <w:sz w:val="24"/>
          <w:szCs w:val="28"/>
          <w14:textFill>
            <w14:solidFill>
              <w14:schemeClr w14:val="tx1"/>
            </w14:solidFill>
          </w14:textFill>
        </w:rPr>
        <w:t>13.97</w:t>
      </w:r>
      <w:r>
        <w:rPr>
          <w:rFonts w:hint="eastAsia"/>
          <w:color w:val="000000" w:themeColor="text1"/>
          <w:sz w:val="24"/>
          <w:szCs w:val="28"/>
          <w14:textFill>
            <w14:solidFill>
              <w14:schemeClr w14:val="tx1"/>
            </w14:solidFill>
          </w14:textFill>
        </w:rPr>
        <w:t>万t/a。</w:t>
      </w:r>
    </w:p>
    <w:p w14:paraId="4FA422DA">
      <w:pPr>
        <w:pStyle w:val="18"/>
        <w:spacing w:line="480" w:lineRule="exact"/>
        <w:ind w:firstLine="480"/>
        <w:rPr>
          <w:color w:val="000000" w:themeColor="text1"/>
          <w:sz w:val="24"/>
          <w:szCs w:val="28"/>
          <w14:textFill>
            <w14:solidFill>
              <w14:schemeClr w14:val="tx1"/>
            </w14:solidFill>
          </w14:textFill>
        </w:rPr>
      </w:pPr>
      <w:r>
        <w:rPr>
          <w:color w:val="000000" w:themeColor="text1"/>
          <w:sz w:val="24"/>
          <w14:textFill>
            <w14:solidFill>
              <w14:schemeClr w14:val="tx1"/>
            </w14:solidFill>
          </w14:textFill>
        </w:rPr>
        <w:t>根据矿区废石</w:t>
      </w:r>
      <w:r>
        <w:rPr>
          <w:rFonts w:hint="eastAsia"/>
          <w:color w:val="000000" w:themeColor="text1"/>
          <w:sz w:val="24"/>
          <w:szCs w:val="28"/>
          <w14:textFill>
            <w14:solidFill>
              <w14:schemeClr w14:val="tx1"/>
            </w14:solidFill>
          </w14:textFill>
        </w:rPr>
        <w:t>（代码：</w:t>
      </w:r>
      <w:r>
        <w:rPr>
          <w:rFonts w:hint="default" w:ascii="Times New Roman" w:hAnsi="Times New Roman" w:eastAsia="宋体" w:cs="Times New Roman"/>
          <w:color w:val="000000" w:themeColor="text1"/>
          <w:sz w:val="24"/>
          <w:szCs w:val="28"/>
          <w14:textFill>
            <w14:solidFill>
              <w14:schemeClr w14:val="tx1"/>
            </w14:solidFill>
          </w14:textFill>
        </w:rPr>
        <w:t>081-001-</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S</w:t>
      </w:r>
      <w:r>
        <w:rPr>
          <w:rFonts w:hint="default" w:ascii="Times New Roman" w:hAnsi="Times New Roman" w:eastAsia="宋体" w:cs="Times New Roman"/>
          <w:color w:val="000000" w:themeColor="text1"/>
          <w:sz w:val="24"/>
          <w:szCs w:val="28"/>
          <w14:textFill>
            <w14:solidFill>
              <w14:schemeClr w14:val="tx1"/>
            </w14:solidFill>
          </w14:textFill>
        </w:rPr>
        <w:t>29</w:t>
      </w:r>
      <w:r>
        <w:rPr>
          <w:rFonts w:hint="eastAsia"/>
          <w:color w:val="000000" w:themeColor="text1"/>
          <w:sz w:val="24"/>
          <w:szCs w:val="28"/>
          <w14:textFill>
            <w14:solidFill>
              <w14:schemeClr w14:val="tx1"/>
            </w14:solidFill>
          </w14:textFill>
        </w:rPr>
        <w:t>）</w:t>
      </w:r>
      <w:r>
        <w:rPr>
          <w:color w:val="000000" w:themeColor="text1"/>
          <w:sz w:val="24"/>
          <w14:textFill>
            <w14:solidFill>
              <w14:schemeClr w14:val="tx1"/>
            </w14:solidFill>
          </w14:textFill>
        </w:rPr>
        <w:t>检测结果</w:t>
      </w:r>
      <w:r>
        <w:rPr>
          <w:rFonts w:hint="eastAsia"/>
          <w:color w:val="000000" w:themeColor="text1"/>
          <w:sz w:val="24"/>
          <w14:textFill>
            <w14:solidFill>
              <w14:schemeClr w14:val="tx1"/>
            </w14:solidFill>
          </w14:textFill>
        </w:rPr>
        <w:t>（检测报告详见附件）</w:t>
      </w:r>
      <w:r>
        <w:rPr>
          <w:color w:val="000000" w:themeColor="text1"/>
          <w:sz w:val="24"/>
          <w14:textFill>
            <w14:solidFill>
              <w14:schemeClr w14:val="tx1"/>
            </w14:solidFill>
          </w14:textFill>
        </w:rPr>
        <w:t>，对照《危险废物鉴别标准 浸出毒性鉴别》（GB5085.3-2007）的鉴别标准进行分析判断废石的性质，对照《污水综合排放标准》（GB8978-1996）中最高允许排放浓度来确定固体废物类别，分析详见表3.3-10～3.3-12。</w:t>
      </w:r>
    </w:p>
    <w:p w14:paraId="47AD0B38">
      <w:pPr>
        <w:spacing w:line="480" w:lineRule="exact"/>
        <w:jc w:val="center"/>
        <w:rPr>
          <w:color w:val="000000" w:themeColor="text1"/>
          <w:sz w:val="24"/>
          <w14:textFill>
            <w14:solidFill>
              <w14:schemeClr w14:val="tx1"/>
            </w14:solidFill>
          </w14:textFill>
        </w:rPr>
      </w:pPr>
      <w:r>
        <w:rPr>
          <w:b/>
          <w:color w:val="000000" w:themeColor="text1"/>
          <w:kern w:val="0"/>
          <w:sz w:val="24"/>
          <w:lang w:bidi="ar"/>
          <w14:textFill>
            <w14:solidFill>
              <w14:schemeClr w14:val="tx1"/>
            </w14:solidFill>
          </w14:textFill>
        </w:rPr>
        <w:t>表3.3-10    废石浸出试验结果统计    单位：mg/L，pH值除外</w:t>
      </w:r>
    </w:p>
    <w:tbl>
      <w:tblPr>
        <w:tblStyle w:val="79"/>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9"/>
        <w:gridCol w:w="1059"/>
        <w:gridCol w:w="1059"/>
        <w:gridCol w:w="1063"/>
        <w:gridCol w:w="1059"/>
        <w:gridCol w:w="1063"/>
        <w:gridCol w:w="1063"/>
        <w:gridCol w:w="978"/>
      </w:tblGrid>
      <w:tr w14:paraId="2BF86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5" w:type="pct"/>
            <w:noWrap w:val="0"/>
            <w:vAlign w:val="center"/>
          </w:tcPr>
          <w:p w14:paraId="3B689FB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检测项目</w:t>
            </w:r>
          </w:p>
        </w:tc>
        <w:tc>
          <w:tcPr>
            <w:tcW w:w="4374" w:type="pct"/>
            <w:gridSpan w:val="7"/>
            <w:noWrap w:val="0"/>
            <w:vAlign w:val="center"/>
          </w:tcPr>
          <w:p w14:paraId="706EA9FA">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pH、砷、镉、总铬、铜、铅、汞、镍、锌</w:t>
            </w:r>
            <w:r>
              <w:rPr>
                <w:rFonts w:hint="eastAsia" w:ascii="Times New Roman" w:hAnsi="Times New Roman" w:cs="Times New Roman"/>
                <w:b/>
                <w:color w:val="000000" w:themeColor="text1"/>
                <w:szCs w:val="21"/>
                <w14:textFill>
                  <w14:solidFill>
                    <w14:schemeClr w14:val="tx1"/>
                  </w14:solidFill>
                </w14:textFill>
              </w:rPr>
              <w:t>、</w:t>
            </w:r>
            <w:r>
              <w:rPr>
                <w:rFonts w:hint="eastAsia" w:cs="Times New Roman"/>
                <w:b/>
                <w:color w:val="000000" w:themeColor="text1"/>
                <w:szCs w:val="21"/>
                <w:lang w:eastAsia="zh-CN"/>
                <w14:textFill>
                  <w14:solidFill>
                    <w14:schemeClr w14:val="tx1"/>
                  </w14:solidFill>
                </w14:textFill>
              </w:rPr>
              <w:t>铍、银、六价铬</w:t>
            </w:r>
          </w:p>
        </w:tc>
      </w:tr>
      <w:tr w14:paraId="234AE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5" w:type="pct"/>
            <w:noWrap w:val="0"/>
            <w:vAlign w:val="center"/>
          </w:tcPr>
          <w:p w14:paraId="5C2CA7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分析项目</w:t>
            </w:r>
          </w:p>
        </w:tc>
        <w:tc>
          <w:tcPr>
            <w:tcW w:w="631" w:type="pct"/>
            <w:noWrap w:val="0"/>
            <w:vAlign w:val="center"/>
          </w:tcPr>
          <w:p w14:paraId="268DC33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631" w:type="pct"/>
            <w:noWrap w:val="0"/>
            <w:vAlign w:val="center"/>
          </w:tcPr>
          <w:p w14:paraId="3951C8B9">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砷</w:t>
            </w:r>
          </w:p>
        </w:tc>
        <w:tc>
          <w:tcPr>
            <w:tcW w:w="633" w:type="pct"/>
            <w:noWrap w:val="0"/>
            <w:vAlign w:val="center"/>
          </w:tcPr>
          <w:p w14:paraId="5E55916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镉</w:t>
            </w:r>
          </w:p>
        </w:tc>
        <w:tc>
          <w:tcPr>
            <w:tcW w:w="631" w:type="pct"/>
            <w:noWrap w:val="0"/>
            <w:vAlign w:val="center"/>
          </w:tcPr>
          <w:p w14:paraId="70C89E8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总铬</w:t>
            </w:r>
          </w:p>
        </w:tc>
        <w:tc>
          <w:tcPr>
            <w:tcW w:w="633" w:type="pct"/>
            <w:noWrap w:val="0"/>
            <w:vAlign w:val="center"/>
          </w:tcPr>
          <w:p w14:paraId="13A36A1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铜</w:t>
            </w:r>
          </w:p>
        </w:tc>
        <w:tc>
          <w:tcPr>
            <w:tcW w:w="633" w:type="pct"/>
            <w:noWrap w:val="0"/>
            <w:vAlign w:val="center"/>
          </w:tcPr>
          <w:p w14:paraId="0106B8A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铅</w:t>
            </w:r>
          </w:p>
        </w:tc>
        <w:tc>
          <w:tcPr>
            <w:tcW w:w="579" w:type="pct"/>
            <w:noWrap w:val="0"/>
            <w:vAlign w:val="center"/>
          </w:tcPr>
          <w:p w14:paraId="180BF62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汞</w:t>
            </w:r>
          </w:p>
        </w:tc>
      </w:tr>
      <w:tr w14:paraId="41496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5" w:type="pct"/>
            <w:noWrap w:val="0"/>
            <w:vAlign w:val="center"/>
          </w:tcPr>
          <w:p w14:paraId="5EBA3D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检测结果</w:t>
            </w:r>
          </w:p>
        </w:tc>
        <w:tc>
          <w:tcPr>
            <w:tcW w:w="631" w:type="pct"/>
            <w:noWrap w:val="0"/>
            <w:vAlign w:val="center"/>
          </w:tcPr>
          <w:p w14:paraId="168971D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8.92</w:t>
            </w:r>
          </w:p>
        </w:tc>
        <w:tc>
          <w:tcPr>
            <w:tcW w:w="631" w:type="pct"/>
            <w:noWrap w:val="0"/>
            <w:vAlign w:val="center"/>
          </w:tcPr>
          <w:p w14:paraId="6B7EE64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0.0002</w:t>
            </w:r>
          </w:p>
        </w:tc>
        <w:tc>
          <w:tcPr>
            <w:tcW w:w="633" w:type="pct"/>
            <w:noWrap w:val="0"/>
            <w:vAlign w:val="center"/>
          </w:tcPr>
          <w:p w14:paraId="0CED321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1L</w:t>
            </w:r>
          </w:p>
        </w:tc>
        <w:tc>
          <w:tcPr>
            <w:tcW w:w="631" w:type="pct"/>
            <w:noWrap w:val="0"/>
            <w:vAlign w:val="center"/>
          </w:tcPr>
          <w:p w14:paraId="089F593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02L</w:t>
            </w:r>
          </w:p>
        </w:tc>
        <w:tc>
          <w:tcPr>
            <w:tcW w:w="633" w:type="pct"/>
            <w:noWrap w:val="0"/>
            <w:vAlign w:val="center"/>
          </w:tcPr>
          <w:p w14:paraId="5688CB7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0.01L</w:t>
            </w:r>
          </w:p>
        </w:tc>
        <w:tc>
          <w:tcPr>
            <w:tcW w:w="633" w:type="pct"/>
            <w:noWrap w:val="0"/>
            <w:vAlign w:val="center"/>
          </w:tcPr>
          <w:p w14:paraId="2391CBEB">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.03</w:t>
            </w:r>
            <w:r>
              <w:rPr>
                <w:rFonts w:hint="eastAsia" w:ascii="Times New Roman" w:hAnsi="Times New Roman" w:cs="Times New Roman"/>
                <w:color w:val="000000" w:themeColor="text1"/>
                <w:szCs w:val="21"/>
                <w14:textFill>
                  <w14:solidFill>
                    <w14:schemeClr w14:val="tx1"/>
                  </w14:solidFill>
                </w14:textFill>
              </w:rPr>
              <w:t>L</w:t>
            </w:r>
          </w:p>
        </w:tc>
        <w:tc>
          <w:tcPr>
            <w:tcW w:w="579" w:type="pct"/>
            <w:noWrap w:val="0"/>
            <w:vAlign w:val="center"/>
          </w:tcPr>
          <w:p w14:paraId="13AEBD81">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.0000</w:t>
            </w:r>
            <w:r>
              <w:rPr>
                <w:rFonts w:hint="eastAsia" w:cs="Times New Roman"/>
                <w:color w:val="000000" w:themeColor="text1"/>
                <w:szCs w:val="21"/>
                <w:lang w:val="en-US" w:eastAsia="zh-CN"/>
                <w14:textFill>
                  <w14:solidFill>
                    <w14:schemeClr w14:val="tx1"/>
                  </w14:solidFill>
                </w14:textFill>
              </w:rPr>
              <w:t>3</w:t>
            </w:r>
          </w:p>
        </w:tc>
      </w:tr>
      <w:tr w14:paraId="6BAF8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5" w:type="pct"/>
            <w:noWrap w:val="0"/>
            <w:vAlign w:val="center"/>
          </w:tcPr>
          <w:p w14:paraId="65E47AE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分析项目</w:t>
            </w:r>
          </w:p>
        </w:tc>
        <w:tc>
          <w:tcPr>
            <w:tcW w:w="631" w:type="pct"/>
            <w:noWrap w:val="0"/>
            <w:vAlign w:val="center"/>
          </w:tcPr>
          <w:p w14:paraId="1415B0F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镍</w:t>
            </w:r>
          </w:p>
        </w:tc>
        <w:tc>
          <w:tcPr>
            <w:tcW w:w="631" w:type="pct"/>
            <w:noWrap w:val="0"/>
            <w:vAlign w:val="center"/>
          </w:tcPr>
          <w:p w14:paraId="54FF8AE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锌</w:t>
            </w:r>
          </w:p>
        </w:tc>
        <w:tc>
          <w:tcPr>
            <w:tcW w:w="633" w:type="pct"/>
            <w:noWrap w:val="0"/>
            <w:vAlign w:val="center"/>
          </w:tcPr>
          <w:p w14:paraId="6F276BC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铍</w:t>
            </w:r>
          </w:p>
        </w:tc>
        <w:tc>
          <w:tcPr>
            <w:tcW w:w="631" w:type="pct"/>
            <w:noWrap w:val="0"/>
            <w:vAlign w:val="center"/>
          </w:tcPr>
          <w:p w14:paraId="56BCD239">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银</w:t>
            </w:r>
          </w:p>
        </w:tc>
        <w:tc>
          <w:tcPr>
            <w:tcW w:w="633" w:type="pct"/>
            <w:noWrap w:val="0"/>
            <w:vAlign w:val="center"/>
          </w:tcPr>
          <w:p w14:paraId="606CDD4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六价铬</w:t>
            </w:r>
          </w:p>
        </w:tc>
        <w:tc>
          <w:tcPr>
            <w:tcW w:w="633" w:type="pct"/>
            <w:noWrap w:val="0"/>
            <w:vAlign w:val="center"/>
          </w:tcPr>
          <w:p w14:paraId="3D1BC9B4">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79" w:type="pct"/>
            <w:noWrap w:val="0"/>
            <w:vAlign w:val="center"/>
          </w:tcPr>
          <w:p w14:paraId="1218FDE9">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34CC4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25" w:type="pct"/>
            <w:noWrap w:val="0"/>
            <w:vAlign w:val="center"/>
          </w:tcPr>
          <w:p w14:paraId="15297F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检测结果</w:t>
            </w:r>
          </w:p>
        </w:tc>
        <w:tc>
          <w:tcPr>
            <w:tcW w:w="631" w:type="pct"/>
            <w:noWrap w:val="0"/>
            <w:vAlign w:val="center"/>
          </w:tcPr>
          <w:p w14:paraId="2FD13AD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0.02L</w:t>
            </w:r>
          </w:p>
        </w:tc>
        <w:tc>
          <w:tcPr>
            <w:tcW w:w="631" w:type="pct"/>
            <w:noWrap w:val="0"/>
            <w:vAlign w:val="center"/>
          </w:tcPr>
          <w:p w14:paraId="5D75B1F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w:t>
            </w:r>
          </w:p>
        </w:tc>
        <w:tc>
          <w:tcPr>
            <w:tcW w:w="633" w:type="pct"/>
            <w:noWrap w:val="0"/>
            <w:vAlign w:val="center"/>
          </w:tcPr>
          <w:p w14:paraId="6C08919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0.004</w:t>
            </w:r>
            <w:r>
              <w:rPr>
                <w:rFonts w:hint="eastAsia" w:ascii="Times New Roman" w:hAnsi="Times New Roman" w:cs="Times New Roman"/>
                <w:color w:val="000000" w:themeColor="text1"/>
                <w:szCs w:val="21"/>
                <w14:textFill>
                  <w14:solidFill>
                    <w14:schemeClr w14:val="tx1"/>
                  </w14:solidFill>
                </w14:textFill>
              </w:rPr>
              <w:t>L</w:t>
            </w:r>
          </w:p>
        </w:tc>
        <w:tc>
          <w:tcPr>
            <w:tcW w:w="631" w:type="pct"/>
            <w:noWrap w:val="0"/>
            <w:vAlign w:val="center"/>
          </w:tcPr>
          <w:p w14:paraId="4C2A092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00.01L</w:t>
            </w:r>
          </w:p>
        </w:tc>
        <w:tc>
          <w:tcPr>
            <w:tcW w:w="633" w:type="pct"/>
            <w:noWrap w:val="0"/>
            <w:vAlign w:val="center"/>
          </w:tcPr>
          <w:p w14:paraId="3581C19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0.004L</w:t>
            </w:r>
          </w:p>
        </w:tc>
        <w:tc>
          <w:tcPr>
            <w:tcW w:w="633" w:type="pct"/>
            <w:noWrap w:val="0"/>
            <w:vAlign w:val="center"/>
          </w:tcPr>
          <w:p w14:paraId="06B7A1A7">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79" w:type="pct"/>
            <w:noWrap w:val="0"/>
            <w:vAlign w:val="center"/>
          </w:tcPr>
          <w:p w14:paraId="38A90D68">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bl>
    <w:p w14:paraId="0C407312">
      <w:pPr>
        <w:spacing w:line="480" w:lineRule="exact"/>
        <w:jc w:val="center"/>
        <w:rPr>
          <w:b/>
          <w:color w:val="000000" w:themeColor="text1"/>
          <w:kern w:val="0"/>
          <w:sz w:val="24"/>
          <w:lang w:bidi="ar"/>
          <w14:textFill>
            <w14:solidFill>
              <w14:schemeClr w14:val="tx1"/>
            </w14:solidFill>
          </w14:textFill>
        </w:rPr>
      </w:pPr>
      <w:r>
        <w:rPr>
          <w:b/>
          <w:color w:val="000000" w:themeColor="text1"/>
          <w:kern w:val="0"/>
          <w:sz w:val="24"/>
          <w:lang w:bidi="ar"/>
          <w14:textFill>
            <w14:solidFill>
              <w14:schemeClr w14:val="tx1"/>
            </w14:solidFill>
          </w14:textFill>
        </w:rPr>
        <w:t>表3.3-</w:t>
      </w:r>
      <w:r>
        <w:rPr>
          <w:rFonts w:hint="eastAsia"/>
          <w:b/>
          <w:color w:val="000000" w:themeColor="text1"/>
          <w:kern w:val="0"/>
          <w:sz w:val="24"/>
          <w:lang w:bidi="ar"/>
          <w14:textFill>
            <w14:solidFill>
              <w14:schemeClr w14:val="tx1"/>
            </w14:solidFill>
          </w14:textFill>
        </w:rPr>
        <w:t>1</w:t>
      </w:r>
      <w:r>
        <w:rPr>
          <w:b/>
          <w:color w:val="000000" w:themeColor="text1"/>
          <w:kern w:val="0"/>
          <w:sz w:val="24"/>
          <w:lang w:bidi="ar"/>
          <w14:textFill>
            <w14:solidFill>
              <w14:schemeClr w14:val="tx1"/>
            </w14:solidFill>
          </w14:textFill>
        </w:rPr>
        <w:t>1    废石毒性鉴别标准    单位：mg/L，pH值除外</w:t>
      </w:r>
    </w:p>
    <w:tbl>
      <w:tblPr>
        <w:tblStyle w:val="79"/>
        <w:tblW w:w="50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00"/>
        <w:gridCol w:w="785"/>
        <w:gridCol w:w="1638"/>
        <w:gridCol w:w="1846"/>
        <w:gridCol w:w="1846"/>
        <w:gridCol w:w="1848"/>
      </w:tblGrid>
      <w:tr w14:paraId="7C9B1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jc w:val="center"/>
        </w:trPr>
        <w:tc>
          <w:tcPr>
            <w:tcW w:w="239" w:type="pct"/>
            <w:noWrap w:val="0"/>
            <w:vAlign w:val="center"/>
          </w:tcPr>
          <w:p w14:paraId="38D7F4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469" w:type="pct"/>
            <w:noWrap w:val="0"/>
            <w:vAlign w:val="center"/>
          </w:tcPr>
          <w:p w14:paraId="70EA5A3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危害成分项目</w:t>
            </w:r>
          </w:p>
        </w:tc>
        <w:tc>
          <w:tcPr>
            <w:tcW w:w="979" w:type="pct"/>
            <w:noWrap w:val="0"/>
            <w:vAlign w:val="center"/>
          </w:tcPr>
          <w:p w14:paraId="006907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浸出液中危害成分浓度限值</w:t>
            </w:r>
          </w:p>
        </w:tc>
        <w:tc>
          <w:tcPr>
            <w:tcW w:w="1103" w:type="pct"/>
            <w:noWrap w:val="0"/>
            <w:vAlign w:val="center"/>
          </w:tcPr>
          <w:p w14:paraId="441D4AF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本项目监测值</w:t>
            </w:r>
          </w:p>
        </w:tc>
        <w:tc>
          <w:tcPr>
            <w:tcW w:w="1103" w:type="pct"/>
            <w:noWrap w:val="0"/>
            <w:vAlign w:val="center"/>
          </w:tcPr>
          <w:p w14:paraId="57151EC8">
            <w:pPr>
              <w:keepNext w:val="0"/>
              <w:keepLines w:val="0"/>
              <w:suppressLineNumbers w:val="0"/>
              <w:spacing w:before="0" w:beforeAutospacing="0" w:after="0" w:afterAutospacing="0" w:line="360" w:lineRule="exact"/>
              <w:ind w:left="0" w:right="0"/>
              <w:jc w:val="center"/>
              <w:rPr>
                <w:rFonts w:hint="default"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标准指数</w:t>
            </w:r>
          </w:p>
        </w:tc>
        <w:tc>
          <w:tcPr>
            <w:tcW w:w="1104" w:type="pct"/>
            <w:noWrap w:val="0"/>
            <w:vAlign w:val="center"/>
          </w:tcPr>
          <w:p w14:paraId="3772782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备注</w:t>
            </w:r>
          </w:p>
        </w:tc>
      </w:tr>
      <w:tr w14:paraId="2CF97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9" w:type="pct"/>
            <w:noWrap w:val="0"/>
            <w:vAlign w:val="center"/>
          </w:tcPr>
          <w:p w14:paraId="7DB7E5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469" w:type="pct"/>
            <w:noWrap w:val="0"/>
            <w:vAlign w:val="center"/>
          </w:tcPr>
          <w:p w14:paraId="2551D7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979" w:type="pct"/>
            <w:noWrap w:val="0"/>
            <w:vAlign w:val="center"/>
          </w:tcPr>
          <w:p w14:paraId="77305E3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2.0＜pH值＜12.5</w:t>
            </w:r>
          </w:p>
        </w:tc>
        <w:tc>
          <w:tcPr>
            <w:tcW w:w="1103" w:type="pct"/>
            <w:shd w:val="clear" w:color="auto" w:fill="auto"/>
            <w:noWrap w:val="0"/>
            <w:vAlign w:val="top"/>
          </w:tcPr>
          <w:p w14:paraId="123508F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8.92</w:t>
            </w:r>
          </w:p>
        </w:tc>
        <w:tc>
          <w:tcPr>
            <w:tcW w:w="1103" w:type="pct"/>
            <w:noWrap w:val="0"/>
            <w:vAlign w:val="center"/>
          </w:tcPr>
          <w:p w14:paraId="33B9245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104" w:type="pct"/>
            <w:vMerge w:val="restart"/>
            <w:noWrap w:val="0"/>
            <w:vAlign w:val="center"/>
          </w:tcPr>
          <w:p w14:paraId="699D515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《危险废物鉴别标准 浸出毒性鉴别》（GB5085.3-2007）</w:t>
            </w:r>
          </w:p>
        </w:tc>
      </w:tr>
      <w:tr w14:paraId="336F9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9" w:type="pct"/>
            <w:noWrap w:val="0"/>
            <w:vAlign w:val="center"/>
          </w:tcPr>
          <w:p w14:paraId="6D878AB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469" w:type="pct"/>
            <w:noWrap w:val="0"/>
            <w:vAlign w:val="center"/>
          </w:tcPr>
          <w:p w14:paraId="7B3DBA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砷</w:t>
            </w:r>
          </w:p>
        </w:tc>
        <w:tc>
          <w:tcPr>
            <w:tcW w:w="979" w:type="pct"/>
            <w:noWrap w:val="0"/>
            <w:vAlign w:val="center"/>
          </w:tcPr>
          <w:p w14:paraId="773845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1103" w:type="pct"/>
            <w:shd w:val="clear" w:color="auto" w:fill="auto"/>
            <w:noWrap w:val="0"/>
            <w:vAlign w:val="top"/>
          </w:tcPr>
          <w:p w14:paraId="7C1FFF1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0.0002</w:t>
            </w:r>
          </w:p>
        </w:tc>
        <w:tc>
          <w:tcPr>
            <w:tcW w:w="1103" w:type="pct"/>
            <w:noWrap w:val="0"/>
            <w:vAlign w:val="center"/>
          </w:tcPr>
          <w:p w14:paraId="6F29D24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0.00004</w:t>
            </w:r>
          </w:p>
        </w:tc>
        <w:tc>
          <w:tcPr>
            <w:tcW w:w="1104" w:type="pct"/>
            <w:vMerge w:val="continue"/>
            <w:noWrap w:val="0"/>
            <w:vAlign w:val="center"/>
          </w:tcPr>
          <w:p w14:paraId="6A1986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65E19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9" w:type="pct"/>
            <w:noWrap w:val="0"/>
            <w:vAlign w:val="center"/>
          </w:tcPr>
          <w:p w14:paraId="4EBBDEC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469" w:type="pct"/>
            <w:noWrap w:val="0"/>
            <w:vAlign w:val="center"/>
          </w:tcPr>
          <w:p w14:paraId="51977E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镉</w:t>
            </w:r>
          </w:p>
        </w:tc>
        <w:tc>
          <w:tcPr>
            <w:tcW w:w="979" w:type="pct"/>
            <w:noWrap w:val="0"/>
            <w:vAlign w:val="center"/>
          </w:tcPr>
          <w:p w14:paraId="1D7557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103" w:type="pct"/>
            <w:shd w:val="clear" w:color="auto" w:fill="auto"/>
            <w:noWrap w:val="0"/>
            <w:vAlign w:val="top"/>
          </w:tcPr>
          <w:p w14:paraId="1A52C8A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1L</w:t>
            </w:r>
          </w:p>
        </w:tc>
        <w:tc>
          <w:tcPr>
            <w:tcW w:w="1103" w:type="pct"/>
            <w:noWrap w:val="0"/>
            <w:vAlign w:val="center"/>
          </w:tcPr>
          <w:p w14:paraId="26D8D67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0.01</w:t>
            </w:r>
          </w:p>
        </w:tc>
        <w:tc>
          <w:tcPr>
            <w:tcW w:w="1104" w:type="pct"/>
            <w:vMerge w:val="continue"/>
            <w:noWrap w:val="0"/>
            <w:vAlign w:val="center"/>
          </w:tcPr>
          <w:p w14:paraId="5242D58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21A68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9" w:type="pct"/>
            <w:noWrap w:val="0"/>
            <w:vAlign w:val="center"/>
          </w:tcPr>
          <w:p w14:paraId="41BD70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469" w:type="pct"/>
            <w:noWrap w:val="0"/>
            <w:vAlign w:val="center"/>
          </w:tcPr>
          <w:p w14:paraId="7985D62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总铬</w:t>
            </w:r>
          </w:p>
        </w:tc>
        <w:tc>
          <w:tcPr>
            <w:tcW w:w="979" w:type="pct"/>
            <w:noWrap w:val="0"/>
            <w:vAlign w:val="center"/>
          </w:tcPr>
          <w:p w14:paraId="7C990A1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1103" w:type="pct"/>
            <w:shd w:val="clear" w:color="auto" w:fill="auto"/>
            <w:noWrap w:val="0"/>
            <w:vAlign w:val="top"/>
          </w:tcPr>
          <w:p w14:paraId="6210947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02L</w:t>
            </w:r>
          </w:p>
        </w:tc>
        <w:tc>
          <w:tcPr>
            <w:tcW w:w="1103" w:type="pct"/>
            <w:noWrap w:val="0"/>
            <w:vAlign w:val="center"/>
          </w:tcPr>
          <w:p w14:paraId="5BE7F26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0.00133</w:t>
            </w:r>
          </w:p>
        </w:tc>
        <w:tc>
          <w:tcPr>
            <w:tcW w:w="1104" w:type="pct"/>
            <w:vMerge w:val="continue"/>
            <w:noWrap w:val="0"/>
            <w:vAlign w:val="center"/>
          </w:tcPr>
          <w:p w14:paraId="666036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76DC3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9" w:type="pct"/>
            <w:noWrap w:val="0"/>
            <w:vAlign w:val="center"/>
          </w:tcPr>
          <w:p w14:paraId="22D5F8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469" w:type="pct"/>
            <w:noWrap w:val="0"/>
            <w:vAlign w:val="center"/>
          </w:tcPr>
          <w:p w14:paraId="463E53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铜</w:t>
            </w:r>
          </w:p>
        </w:tc>
        <w:tc>
          <w:tcPr>
            <w:tcW w:w="979" w:type="pct"/>
            <w:noWrap w:val="0"/>
            <w:vAlign w:val="center"/>
          </w:tcPr>
          <w:p w14:paraId="5D8CB4A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103" w:type="pct"/>
            <w:shd w:val="clear" w:color="auto" w:fill="auto"/>
            <w:noWrap w:val="0"/>
            <w:vAlign w:val="top"/>
          </w:tcPr>
          <w:p w14:paraId="7AD1F44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0.01L</w:t>
            </w:r>
          </w:p>
        </w:tc>
        <w:tc>
          <w:tcPr>
            <w:tcW w:w="1103" w:type="pct"/>
            <w:noWrap w:val="0"/>
            <w:vAlign w:val="center"/>
          </w:tcPr>
          <w:p w14:paraId="430B328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0.0001</w:t>
            </w:r>
          </w:p>
        </w:tc>
        <w:tc>
          <w:tcPr>
            <w:tcW w:w="1104" w:type="pct"/>
            <w:vMerge w:val="continue"/>
            <w:noWrap w:val="0"/>
            <w:vAlign w:val="center"/>
          </w:tcPr>
          <w:p w14:paraId="47EDEE3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05151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9" w:type="pct"/>
            <w:noWrap w:val="0"/>
            <w:vAlign w:val="center"/>
          </w:tcPr>
          <w:p w14:paraId="32A923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469" w:type="pct"/>
            <w:noWrap w:val="0"/>
            <w:vAlign w:val="center"/>
          </w:tcPr>
          <w:p w14:paraId="6DC703A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铅</w:t>
            </w:r>
          </w:p>
        </w:tc>
        <w:tc>
          <w:tcPr>
            <w:tcW w:w="979" w:type="pct"/>
            <w:noWrap w:val="0"/>
            <w:vAlign w:val="center"/>
          </w:tcPr>
          <w:p w14:paraId="6E4CE63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1103" w:type="pct"/>
            <w:shd w:val="clear" w:color="auto" w:fill="auto"/>
            <w:noWrap w:val="0"/>
            <w:vAlign w:val="top"/>
          </w:tcPr>
          <w:p w14:paraId="4F8E872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.03</w:t>
            </w:r>
            <w:r>
              <w:rPr>
                <w:rFonts w:hint="eastAsia" w:ascii="Times New Roman" w:hAnsi="Times New Roman" w:cs="Times New Roman"/>
                <w:color w:val="000000" w:themeColor="text1"/>
                <w:szCs w:val="21"/>
                <w14:textFill>
                  <w14:solidFill>
                    <w14:schemeClr w14:val="tx1"/>
                  </w14:solidFill>
                </w14:textFill>
              </w:rPr>
              <w:t>L</w:t>
            </w:r>
          </w:p>
        </w:tc>
        <w:tc>
          <w:tcPr>
            <w:tcW w:w="1103" w:type="pct"/>
            <w:noWrap w:val="0"/>
            <w:vAlign w:val="center"/>
          </w:tcPr>
          <w:p w14:paraId="0F76C83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0.0006</w:t>
            </w:r>
          </w:p>
        </w:tc>
        <w:tc>
          <w:tcPr>
            <w:tcW w:w="1104" w:type="pct"/>
            <w:vMerge w:val="continue"/>
            <w:noWrap w:val="0"/>
            <w:vAlign w:val="center"/>
          </w:tcPr>
          <w:p w14:paraId="46EACF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1008E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9" w:type="pct"/>
            <w:noWrap w:val="0"/>
            <w:vAlign w:val="center"/>
          </w:tcPr>
          <w:p w14:paraId="03E3183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469" w:type="pct"/>
            <w:noWrap w:val="0"/>
            <w:vAlign w:val="center"/>
          </w:tcPr>
          <w:p w14:paraId="0CCBDA5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汞</w:t>
            </w:r>
          </w:p>
        </w:tc>
        <w:tc>
          <w:tcPr>
            <w:tcW w:w="979" w:type="pct"/>
            <w:noWrap w:val="0"/>
            <w:vAlign w:val="center"/>
          </w:tcPr>
          <w:p w14:paraId="4FC1151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p>
        </w:tc>
        <w:tc>
          <w:tcPr>
            <w:tcW w:w="1103" w:type="pct"/>
            <w:shd w:val="clear" w:color="auto" w:fill="auto"/>
            <w:noWrap w:val="0"/>
            <w:vAlign w:val="top"/>
          </w:tcPr>
          <w:p w14:paraId="57F02CF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.0000</w:t>
            </w:r>
            <w:r>
              <w:rPr>
                <w:rFonts w:hint="eastAsia" w:cs="Times New Roman"/>
                <w:color w:val="000000" w:themeColor="text1"/>
                <w:szCs w:val="21"/>
                <w:lang w:val="en-US" w:eastAsia="zh-CN"/>
                <w14:textFill>
                  <w14:solidFill>
                    <w14:schemeClr w14:val="tx1"/>
                  </w14:solidFill>
                </w14:textFill>
              </w:rPr>
              <w:t>3</w:t>
            </w:r>
          </w:p>
        </w:tc>
        <w:tc>
          <w:tcPr>
            <w:tcW w:w="1103" w:type="pct"/>
            <w:noWrap w:val="0"/>
            <w:vAlign w:val="center"/>
          </w:tcPr>
          <w:p w14:paraId="69A49B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.0000</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3</w:t>
            </w:r>
          </w:p>
        </w:tc>
        <w:tc>
          <w:tcPr>
            <w:tcW w:w="1104" w:type="pct"/>
            <w:vMerge w:val="continue"/>
            <w:noWrap w:val="0"/>
            <w:vAlign w:val="center"/>
          </w:tcPr>
          <w:p w14:paraId="5E7065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0A637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9" w:type="pct"/>
            <w:noWrap w:val="0"/>
            <w:vAlign w:val="center"/>
          </w:tcPr>
          <w:p w14:paraId="5C52060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469" w:type="pct"/>
            <w:noWrap w:val="0"/>
            <w:vAlign w:val="center"/>
          </w:tcPr>
          <w:p w14:paraId="7B31695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镍</w:t>
            </w:r>
          </w:p>
        </w:tc>
        <w:tc>
          <w:tcPr>
            <w:tcW w:w="979" w:type="pct"/>
            <w:noWrap w:val="0"/>
            <w:vAlign w:val="center"/>
          </w:tcPr>
          <w:p w14:paraId="521C7D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1103" w:type="pct"/>
            <w:shd w:val="clear" w:color="auto" w:fill="auto"/>
            <w:noWrap w:val="0"/>
            <w:vAlign w:val="top"/>
          </w:tcPr>
          <w:p w14:paraId="576EF45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0.02L</w:t>
            </w:r>
          </w:p>
        </w:tc>
        <w:tc>
          <w:tcPr>
            <w:tcW w:w="1103" w:type="pct"/>
            <w:noWrap w:val="0"/>
            <w:vAlign w:val="center"/>
          </w:tcPr>
          <w:p w14:paraId="619551F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0.0004</w:t>
            </w:r>
          </w:p>
        </w:tc>
        <w:tc>
          <w:tcPr>
            <w:tcW w:w="1104" w:type="pct"/>
            <w:vMerge w:val="continue"/>
            <w:noWrap w:val="0"/>
            <w:vAlign w:val="center"/>
          </w:tcPr>
          <w:p w14:paraId="14C39D0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684F2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39" w:type="pct"/>
            <w:noWrap w:val="0"/>
            <w:vAlign w:val="center"/>
          </w:tcPr>
          <w:p w14:paraId="4A8CDA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469" w:type="pct"/>
            <w:noWrap w:val="0"/>
            <w:vAlign w:val="center"/>
          </w:tcPr>
          <w:p w14:paraId="08E0B9C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锌</w:t>
            </w:r>
          </w:p>
        </w:tc>
        <w:tc>
          <w:tcPr>
            <w:tcW w:w="979" w:type="pct"/>
            <w:noWrap w:val="0"/>
            <w:vAlign w:val="center"/>
          </w:tcPr>
          <w:p w14:paraId="33C78EA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103" w:type="pct"/>
            <w:shd w:val="clear" w:color="auto" w:fill="auto"/>
            <w:noWrap w:val="0"/>
            <w:vAlign w:val="top"/>
          </w:tcPr>
          <w:p w14:paraId="32AC2E7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w:t>
            </w:r>
          </w:p>
        </w:tc>
        <w:tc>
          <w:tcPr>
            <w:tcW w:w="1103" w:type="pct"/>
            <w:noWrap w:val="0"/>
            <w:vAlign w:val="center"/>
          </w:tcPr>
          <w:p w14:paraId="5B641B0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0.0002</w:t>
            </w:r>
          </w:p>
        </w:tc>
        <w:tc>
          <w:tcPr>
            <w:tcW w:w="1104" w:type="pct"/>
            <w:vMerge w:val="continue"/>
            <w:noWrap w:val="0"/>
            <w:vAlign w:val="center"/>
          </w:tcPr>
          <w:p w14:paraId="38C1FC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bl>
    <w:p w14:paraId="72AF9D86">
      <w:pPr>
        <w:spacing w:line="480" w:lineRule="exact"/>
        <w:jc w:val="center"/>
        <w:rPr>
          <w:b/>
          <w:color w:val="000000" w:themeColor="text1"/>
          <w:kern w:val="0"/>
          <w:sz w:val="24"/>
          <w:lang w:bidi="ar"/>
          <w14:textFill>
            <w14:solidFill>
              <w14:schemeClr w14:val="tx1"/>
            </w14:solidFill>
          </w14:textFill>
        </w:rPr>
      </w:pPr>
      <w:r>
        <w:rPr>
          <w:b/>
          <w:color w:val="000000" w:themeColor="text1"/>
          <w:kern w:val="0"/>
          <w:sz w:val="24"/>
          <w:lang w:bidi="ar"/>
          <w14:textFill>
            <w14:solidFill>
              <w14:schemeClr w14:val="tx1"/>
            </w14:solidFill>
          </w14:textFill>
        </w:rPr>
        <w:t>表3.3-12    污水综合排放最高允许排放标准    单位：mg/L，pH值除外</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9"/>
        <w:gridCol w:w="1064"/>
        <w:gridCol w:w="2240"/>
        <w:gridCol w:w="2240"/>
        <w:gridCol w:w="2240"/>
      </w:tblGrid>
      <w:tr w14:paraId="4581D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329" w:type="pct"/>
            <w:noWrap w:val="0"/>
            <w:vAlign w:val="center"/>
          </w:tcPr>
          <w:p w14:paraId="3E9A543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638" w:type="pct"/>
            <w:noWrap w:val="0"/>
            <w:vAlign w:val="center"/>
          </w:tcPr>
          <w:p w14:paraId="4187C76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w:t>
            </w:r>
          </w:p>
        </w:tc>
        <w:tc>
          <w:tcPr>
            <w:tcW w:w="1343" w:type="pct"/>
            <w:noWrap w:val="0"/>
            <w:vAlign w:val="center"/>
          </w:tcPr>
          <w:p w14:paraId="3F008F2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最高允许排放浓度</w:t>
            </w:r>
          </w:p>
        </w:tc>
        <w:tc>
          <w:tcPr>
            <w:tcW w:w="1343" w:type="pct"/>
            <w:noWrap w:val="0"/>
            <w:vAlign w:val="top"/>
          </w:tcPr>
          <w:p w14:paraId="04343D6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本项目监测值</w:t>
            </w:r>
          </w:p>
        </w:tc>
        <w:tc>
          <w:tcPr>
            <w:tcW w:w="1343" w:type="pct"/>
            <w:noWrap w:val="0"/>
            <w:vAlign w:val="top"/>
          </w:tcPr>
          <w:p w14:paraId="67ED222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标准指数</w:t>
            </w:r>
          </w:p>
        </w:tc>
      </w:tr>
      <w:tr w14:paraId="6ECB0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1E3DAC9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638" w:type="pct"/>
            <w:noWrap w:val="0"/>
            <w:vAlign w:val="center"/>
          </w:tcPr>
          <w:p w14:paraId="1A445C2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1343" w:type="pct"/>
            <w:noWrap w:val="0"/>
            <w:vAlign w:val="center"/>
          </w:tcPr>
          <w:p w14:paraId="6C0F08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c>
          <w:tcPr>
            <w:tcW w:w="1343" w:type="pct"/>
            <w:noWrap w:val="0"/>
            <w:vAlign w:val="top"/>
          </w:tcPr>
          <w:p w14:paraId="136079E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8.92</w:t>
            </w:r>
          </w:p>
        </w:tc>
        <w:tc>
          <w:tcPr>
            <w:tcW w:w="1343" w:type="pct"/>
            <w:noWrap w:val="0"/>
            <w:vAlign w:val="top"/>
          </w:tcPr>
          <w:p w14:paraId="5ECFAD9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04B24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2017A34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638" w:type="pct"/>
            <w:noWrap w:val="0"/>
            <w:vAlign w:val="center"/>
          </w:tcPr>
          <w:p w14:paraId="72B4802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总砷</w:t>
            </w:r>
          </w:p>
        </w:tc>
        <w:tc>
          <w:tcPr>
            <w:tcW w:w="1343" w:type="pct"/>
            <w:noWrap w:val="0"/>
            <w:vAlign w:val="center"/>
          </w:tcPr>
          <w:p w14:paraId="46898D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1343" w:type="pct"/>
            <w:noWrap w:val="0"/>
            <w:vAlign w:val="top"/>
          </w:tcPr>
          <w:p w14:paraId="7EEEE22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0.0002</w:t>
            </w:r>
          </w:p>
        </w:tc>
        <w:tc>
          <w:tcPr>
            <w:tcW w:w="1343" w:type="pct"/>
            <w:noWrap w:val="0"/>
            <w:vAlign w:val="top"/>
          </w:tcPr>
          <w:p w14:paraId="0937DA8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0.0004</w:t>
            </w:r>
          </w:p>
        </w:tc>
      </w:tr>
      <w:tr w14:paraId="3B545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2DB474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638" w:type="pct"/>
            <w:noWrap w:val="0"/>
            <w:vAlign w:val="center"/>
          </w:tcPr>
          <w:p w14:paraId="5280DF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总镉</w:t>
            </w:r>
          </w:p>
        </w:tc>
        <w:tc>
          <w:tcPr>
            <w:tcW w:w="1343" w:type="pct"/>
            <w:noWrap w:val="0"/>
            <w:vAlign w:val="center"/>
          </w:tcPr>
          <w:p w14:paraId="56460A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p>
        </w:tc>
        <w:tc>
          <w:tcPr>
            <w:tcW w:w="1343" w:type="pct"/>
            <w:noWrap w:val="0"/>
            <w:vAlign w:val="top"/>
          </w:tcPr>
          <w:p w14:paraId="454B89D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1L</w:t>
            </w:r>
          </w:p>
        </w:tc>
        <w:tc>
          <w:tcPr>
            <w:tcW w:w="1343" w:type="pct"/>
            <w:noWrap w:val="0"/>
            <w:vAlign w:val="top"/>
          </w:tcPr>
          <w:p w14:paraId="0C97D30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0.1</w:t>
            </w:r>
          </w:p>
        </w:tc>
      </w:tr>
      <w:tr w14:paraId="45020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375A251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638" w:type="pct"/>
            <w:noWrap w:val="0"/>
            <w:vAlign w:val="center"/>
          </w:tcPr>
          <w:p w14:paraId="422E26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总铬</w:t>
            </w:r>
          </w:p>
        </w:tc>
        <w:tc>
          <w:tcPr>
            <w:tcW w:w="1343" w:type="pct"/>
            <w:noWrap w:val="0"/>
            <w:vAlign w:val="center"/>
          </w:tcPr>
          <w:p w14:paraId="426FE30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1343" w:type="pct"/>
            <w:noWrap w:val="0"/>
            <w:vAlign w:val="top"/>
          </w:tcPr>
          <w:p w14:paraId="3CCA102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02L</w:t>
            </w:r>
          </w:p>
        </w:tc>
        <w:tc>
          <w:tcPr>
            <w:tcW w:w="1343" w:type="pct"/>
            <w:noWrap w:val="0"/>
            <w:vAlign w:val="top"/>
          </w:tcPr>
          <w:p w14:paraId="2FFAADD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0.013</w:t>
            </w:r>
          </w:p>
        </w:tc>
      </w:tr>
      <w:tr w14:paraId="62449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0C31BD4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638" w:type="pct"/>
            <w:noWrap w:val="0"/>
            <w:vAlign w:val="center"/>
          </w:tcPr>
          <w:p w14:paraId="0B9AA3A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总铜</w:t>
            </w:r>
          </w:p>
        </w:tc>
        <w:tc>
          <w:tcPr>
            <w:tcW w:w="1343" w:type="pct"/>
            <w:noWrap w:val="0"/>
            <w:vAlign w:val="center"/>
          </w:tcPr>
          <w:p w14:paraId="04727C1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1343" w:type="pct"/>
            <w:noWrap w:val="0"/>
            <w:vAlign w:val="top"/>
          </w:tcPr>
          <w:p w14:paraId="4C09E4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0.01L</w:t>
            </w:r>
          </w:p>
        </w:tc>
        <w:tc>
          <w:tcPr>
            <w:tcW w:w="1343" w:type="pct"/>
            <w:noWrap w:val="0"/>
            <w:vAlign w:val="top"/>
          </w:tcPr>
          <w:p w14:paraId="2DF8216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0.02</w:t>
            </w:r>
          </w:p>
        </w:tc>
      </w:tr>
      <w:tr w14:paraId="39A6B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02345F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638" w:type="pct"/>
            <w:noWrap w:val="0"/>
            <w:vAlign w:val="center"/>
          </w:tcPr>
          <w:p w14:paraId="4F2CA22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总铅</w:t>
            </w:r>
          </w:p>
        </w:tc>
        <w:tc>
          <w:tcPr>
            <w:tcW w:w="1343" w:type="pct"/>
            <w:noWrap w:val="0"/>
            <w:vAlign w:val="center"/>
          </w:tcPr>
          <w:p w14:paraId="7511CED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1343" w:type="pct"/>
            <w:noWrap w:val="0"/>
            <w:vAlign w:val="top"/>
          </w:tcPr>
          <w:p w14:paraId="402EE7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.03</w:t>
            </w:r>
            <w:r>
              <w:rPr>
                <w:rFonts w:hint="eastAsia" w:ascii="Times New Roman" w:hAnsi="Times New Roman" w:cs="Times New Roman"/>
                <w:color w:val="000000" w:themeColor="text1"/>
                <w:szCs w:val="21"/>
                <w14:textFill>
                  <w14:solidFill>
                    <w14:schemeClr w14:val="tx1"/>
                  </w14:solidFill>
                </w14:textFill>
              </w:rPr>
              <w:t>L</w:t>
            </w:r>
          </w:p>
        </w:tc>
        <w:tc>
          <w:tcPr>
            <w:tcW w:w="1343" w:type="pct"/>
            <w:noWrap w:val="0"/>
            <w:vAlign w:val="top"/>
          </w:tcPr>
          <w:p w14:paraId="0BD4027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0.03</w:t>
            </w:r>
          </w:p>
        </w:tc>
      </w:tr>
      <w:tr w14:paraId="18D79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3F0B964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638" w:type="pct"/>
            <w:noWrap w:val="0"/>
            <w:vAlign w:val="center"/>
          </w:tcPr>
          <w:p w14:paraId="062CDD7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总汞</w:t>
            </w:r>
          </w:p>
        </w:tc>
        <w:tc>
          <w:tcPr>
            <w:tcW w:w="1343" w:type="pct"/>
            <w:noWrap w:val="0"/>
            <w:vAlign w:val="center"/>
          </w:tcPr>
          <w:p w14:paraId="6460630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1343" w:type="pct"/>
            <w:noWrap w:val="0"/>
            <w:vAlign w:val="top"/>
          </w:tcPr>
          <w:p w14:paraId="4147DCA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.0000</w:t>
            </w:r>
            <w:r>
              <w:rPr>
                <w:rFonts w:hint="eastAsia" w:cs="Times New Roman"/>
                <w:color w:val="000000" w:themeColor="text1"/>
                <w:szCs w:val="21"/>
                <w:lang w:val="en-US" w:eastAsia="zh-CN"/>
                <w14:textFill>
                  <w14:solidFill>
                    <w14:schemeClr w14:val="tx1"/>
                  </w14:solidFill>
                </w14:textFill>
              </w:rPr>
              <w:t>3</w:t>
            </w:r>
          </w:p>
        </w:tc>
        <w:tc>
          <w:tcPr>
            <w:tcW w:w="1343" w:type="pct"/>
            <w:noWrap w:val="0"/>
            <w:vAlign w:val="top"/>
          </w:tcPr>
          <w:p w14:paraId="63BCDFB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0.0006</w:t>
            </w:r>
          </w:p>
        </w:tc>
      </w:tr>
      <w:tr w14:paraId="332DB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2E242EE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638" w:type="pct"/>
            <w:noWrap w:val="0"/>
            <w:vAlign w:val="center"/>
          </w:tcPr>
          <w:p w14:paraId="29BD0B8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总镍</w:t>
            </w:r>
          </w:p>
        </w:tc>
        <w:tc>
          <w:tcPr>
            <w:tcW w:w="1343" w:type="pct"/>
            <w:noWrap w:val="0"/>
            <w:vAlign w:val="center"/>
          </w:tcPr>
          <w:p w14:paraId="219DBC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1343" w:type="pct"/>
            <w:noWrap w:val="0"/>
            <w:vAlign w:val="top"/>
          </w:tcPr>
          <w:p w14:paraId="4B8D7F4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0.02L</w:t>
            </w:r>
          </w:p>
        </w:tc>
        <w:tc>
          <w:tcPr>
            <w:tcW w:w="1343" w:type="pct"/>
            <w:noWrap w:val="0"/>
            <w:vAlign w:val="top"/>
          </w:tcPr>
          <w:p w14:paraId="1D90B6E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0.02</w:t>
            </w:r>
          </w:p>
        </w:tc>
      </w:tr>
      <w:tr w14:paraId="2F47A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9" w:type="pct"/>
            <w:noWrap w:val="0"/>
            <w:vAlign w:val="center"/>
          </w:tcPr>
          <w:p w14:paraId="00D0C78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638" w:type="pct"/>
            <w:noWrap w:val="0"/>
            <w:vAlign w:val="center"/>
          </w:tcPr>
          <w:p w14:paraId="327D9BD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总锌</w:t>
            </w:r>
          </w:p>
        </w:tc>
        <w:tc>
          <w:tcPr>
            <w:tcW w:w="1343" w:type="pct"/>
            <w:noWrap w:val="0"/>
            <w:vAlign w:val="center"/>
          </w:tcPr>
          <w:p w14:paraId="2DE9FD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1343" w:type="pct"/>
            <w:noWrap w:val="0"/>
            <w:vAlign w:val="top"/>
          </w:tcPr>
          <w:p w14:paraId="274B75B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w:t>
            </w:r>
          </w:p>
        </w:tc>
        <w:tc>
          <w:tcPr>
            <w:tcW w:w="1343" w:type="pct"/>
            <w:noWrap w:val="0"/>
            <w:vAlign w:val="top"/>
          </w:tcPr>
          <w:p w14:paraId="5FE1DCD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w:t>
            </w:r>
          </w:p>
        </w:tc>
      </w:tr>
    </w:tbl>
    <w:p w14:paraId="4464422D">
      <w:pPr>
        <w:pStyle w:val="18"/>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综合表3.3-10～3.3-12可判定，</w:t>
      </w: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矿山废石为</w:t>
      </w:r>
      <w:r>
        <w:rPr>
          <w:rFonts w:hint="eastAsia"/>
          <w:color w:val="000000" w:themeColor="text1"/>
          <w:sz w:val="24"/>
          <w14:textFill>
            <w14:solidFill>
              <w14:schemeClr w14:val="tx1"/>
            </w14:solidFill>
          </w14:textFill>
        </w:rPr>
        <w:t>Ⅰ</w:t>
      </w:r>
      <w:r>
        <w:rPr>
          <w:color w:val="000000" w:themeColor="text1"/>
          <w:sz w:val="24"/>
          <w14:textFill>
            <w14:solidFill>
              <w14:schemeClr w14:val="tx1"/>
            </w14:solidFill>
          </w14:textFill>
        </w:rPr>
        <w:t>类工业固体废物。</w:t>
      </w:r>
    </w:p>
    <w:p w14:paraId="716EF3C6">
      <w:pPr>
        <w:pStyle w:val="18"/>
        <w:spacing w:line="480" w:lineRule="exact"/>
        <w:ind w:firstLine="480"/>
        <w:rPr>
          <w:color w:val="000000" w:themeColor="text1"/>
          <w:sz w:val="24"/>
          <w:szCs w:val="28"/>
          <w:highlight w:val="none"/>
          <w14:textFill>
            <w14:solidFill>
              <w14:schemeClr w14:val="tx1"/>
            </w14:solidFill>
          </w14:textFill>
        </w:rPr>
      </w:pPr>
      <w:r>
        <w:rPr>
          <w:color w:val="000000" w:themeColor="text1"/>
          <w:sz w:val="24"/>
          <w:highlight w:val="none"/>
          <w14:textFill>
            <w14:solidFill>
              <w14:schemeClr w14:val="tx1"/>
            </w14:solidFill>
          </w14:textFill>
        </w:rPr>
        <w:t>本项目井下开采的采矿方法</w:t>
      </w:r>
      <w:r>
        <w:rPr>
          <w:rFonts w:hint="eastAsia"/>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无底柱分段崩落法</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采出废石</w:t>
      </w:r>
      <w:r>
        <w:rPr>
          <w:rFonts w:hint="eastAsia"/>
          <w:color w:val="000000" w:themeColor="text1"/>
          <w:sz w:val="24"/>
          <w:szCs w:val="28"/>
          <w:highlight w:val="none"/>
          <w14:textFill>
            <w14:solidFill>
              <w14:schemeClr w14:val="tx1"/>
            </w14:solidFill>
          </w14:textFill>
        </w:rPr>
        <w:t>由自卸汽车运输至废石堆场排弃，</w:t>
      </w:r>
      <w:r>
        <w:rPr>
          <w:color w:val="000000" w:themeColor="text1"/>
          <w:sz w:val="24"/>
          <w:szCs w:val="28"/>
          <w:highlight w:val="none"/>
          <w14:textFill>
            <w14:solidFill>
              <w14:schemeClr w14:val="tx1"/>
            </w14:solidFill>
          </w14:textFill>
        </w:rPr>
        <w:t>待开采结束</w:t>
      </w:r>
      <w:r>
        <w:rPr>
          <w:rFonts w:hint="eastAsia"/>
          <w:color w:val="000000" w:themeColor="text1"/>
          <w:sz w:val="24"/>
          <w:szCs w:val="28"/>
          <w:highlight w:val="none"/>
          <w14:textFill>
            <w14:solidFill>
              <w14:schemeClr w14:val="tx1"/>
            </w14:solidFill>
          </w14:textFill>
        </w:rPr>
        <w:t>并稳沉</w:t>
      </w:r>
      <w:r>
        <w:rPr>
          <w:color w:val="000000" w:themeColor="text1"/>
          <w:sz w:val="24"/>
          <w:szCs w:val="28"/>
          <w:highlight w:val="none"/>
          <w14:textFill>
            <w14:solidFill>
              <w14:schemeClr w14:val="tx1"/>
            </w14:solidFill>
          </w14:textFill>
        </w:rPr>
        <w:t>后，将废石</w:t>
      </w:r>
      <w:r>
        <w:rPr>
          <w:rFonts w:hint="eastAsia"/>
          <w:color w:val="000000" w:themeColor="text1"/>
          <w:sz w:val="24"/>
          <w:szCs w:val="28"/>
          <w:highlight w:val="none"/>
          <w14:textFill>
            <w14:solidFill>
              <w14:schemeClr w14:val="tx1"/>
            </w14:solidFill>
          </w14:textFill>
        </w:rPr>
        <w:t>回填至采空区。废石综合利用率可达</w:t>
      </w:r>
      <w:r>
        <w:rPr>
          <w:color w:val="000000" w:themeColor="text1"/>
          <w:sz w:val="24"/>
          <w:szCs w:val="28"/>
          <w:highlight w:val="none"/>
          <w14:textFill>
            <w14:solidFill>
              <w14:schemeClr w14:val="tx1"/>
            </w14:solidFill>
          </w14:textFill>
        </w:rPr>
        <w:t>100%</w:t>
      </w:r>
      <w:r>
        <w:rPr>
          <w:rFonts w:hint="eastAsia"/>
          <w:color w:val="000000" w:themeColor="text1"/>
          <w:sz w:val="24"/>
          <w:szCs w:val="28"/>
          <w:highlight w:val="none"/>
          <w14:textFill>
            <w14:solidFill>
              <w14:schemeClr w14:val="tx1"/>
            </w14:solidFill>
          </w14:textFill>
        </w:rPr>
        <w:t>。</w:t>
      </w:r>
      <w:r>
        <w:rPr>
          <w:color w:val="000000" w:themeColor="text1"/>
          <w:sz w:val="24"/>
          <w:highlight w:val="none"/>
          <w14:textFill>
            <w14:solidFill>
              <w14:schemeClr w14:val="tx1"/>
            </w14:solidFill>
          </w14:textFill>
        </w:rPr>
        <w:t>废石堆场要求按照《一般工业固体废物贮存和填埋污染控制标准》（GB18599-2020）中I类场的要求进行选址与设计。</w:t>
      </w:r>
    </w:p>
    <w:p w14:paraId="44F65CC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（2）生活垃圾</w:t>
      </w:r>
    </w:p>
    <w:p w14:paraId="68D29E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本项目新增劳动定员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80</w:t>
      </w:r>
      <w:r>
        <w:rPr>
          <w:rFonts w:hint="eastAsia" w:ascii="Times New Roman" w:hAnsi="Times New Roman" w:eastAsia="宋体" w:cs="Times New Roman"/>
          <w:color w:val="000000" w:themeColor="text1"/>
          <w:sz w:val="24"/>
          <w:szCs w:val="24"/>
          <w14:textFill>
            <w14:solidFill>
              <w14:schemeClr w14:val="tx1"/>
            </w14:solidFill>
          </w14:textFill>
        </w:rPr>
        <w:t>人，生活垃圾按0.5kg/人·d计，则生活垃圾</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代码：900-099-S64</w:t>
      </w:r>
      <w:r>
        <w:rPr>
          <w:rFonts w:hint="eastAsia"/>
          <w:color w:val="000000" w:themeColor="text1"/>
          <w:sz w:val="24"/>
          <w:szCs w:val="28"/>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产生量约为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14:textFill>
            <w14:solidFill>
              <w14:schemeClr w14:val="tx1"/>
            </w14:solidFill>
          </w14:textFill>
        </w:rPr>
        <w:t>kg/d（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14:textFill>
            <w14:solidFill>
              <w14:schemeClr w14:val="tx1"/>
            </w14:solidFill>
          </w14:textFill>
        </w:rPr>
        <w:t>t/a）。生活垃圾集中收集，定期拉运至雅满苏镇生活垃圾填埋场填埋处置。</w:t>
      </w:r>
    </w:p>
    <w:p w14:paraId="3B6E174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（3）沉淀池底泥</w:t>
      </w:r>
    </w:p>
    <w:p w14:paraId="6F94EDC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本项目矿井涌水采用</w:t>
      </w:r>
      <w:r>
        <w:rPr>
          <w:rFonts w:hint="eastAsia" w:cs="Times New Roman"/>
          <w:color w:val="000000" w:themeColor="text1"/>
          <w:sz w:val="24"/>
          <w:szCs w:val="24"/>
          <w:lang w:val="en-US" w:eastAsia="zh-CN"/>
          <w14:textFill>
            <w14:solidFill>
              <w14:schemeClr w14:val="tx1"/>
            </w14:solidFill>
          </w14:textFill>
        </w:rPr>
        <w:t>80</w:t>
      </w:r>
      <w:r>
        <w:rPr>
          <w:rFonts w:hint="eastAsia" w:ascii="Times New Roman" w:hAnsi="Times New Roman" w:eastAsia="宋体" w:cs="Times New Roman"/>
          <w:color w:val="000000" w:themeColor="text1"/>
          <w:sz w:val="24"/>
          <w:szCs w:val="24"/>
          <w14:textFill>
            <w14:solidFill>
              <w14:schemeClr w14:val="tx1"/>
            </w14:solidFill>
          </w14:textFill>
        </w:rPr>
        <w:t>0m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沉淀池进行处理。根据建设单位现有工程经验，沉淀池底泥（</w:t>
      </w:r>
      <w:r>
        <w:rPr>
          <w:rFonts w:hint="eastAsia"/>
          <w:color w:val="000000" w:themeColor="text1"/>
          <w:sz w:val="24"/>
          <w:szCs w:val="28"/>
          <w14:textFill>
            <w14:solidFill>
              <w14:schemeClr w14:val="tx1"/>
            </w14:solidFill>
          </w14:textFill>
        </w:rPr>
        <w:t>代码：</w:t>
      </w:r>
      <w:r>
        <w:rPr>
          <w:rFonts w:hint="eastAsia"/>
          <w:color w:val="000000" w:themeColor="text1"/>
          <w:sz w:val="24"/>
          <w:szCs w:val="28"/>
          <w:lang w:val="en-US" w:eastAsia="zh-CN"/>
          <w14:textFill>
            <w14:solidFill>
              <w14:schemeClr w14:val="tx1"/>
            </w14:solidFill>
          </w14:textFill>
        </w:rPr>
        <w:t>900-099-S07</w:t>
      </w:r>
      <w:r>
        <w:rPr>
          <w:rFonts w:hint="eastAsia" w:ascii="Times New Roman" w:hAnsi="Times New Roman" w:eastAsia="宋体" w:cs="Times New Roman"/>
          <w:color w:val="000000" w:themeColor="text1"/>
          <w:sz w:val="24"/>
          <w:szCs w:val="24"/>
          <w14:textFill>
            <w14:solidFill>
              <w14:schemeClr w14:val="tx1"/>
            </w14:solidFill>
          </w14:textFill>
        </w:rPr>
        <w:t>）产生量约45.4t/a。沉淀池底泥主要污染物为SS，属于I类一般固废，送至废石堆场暂存，后期用于矿山土地复垦。</w:t>
      </w:r>
    </w:p>
    <w:p w14:paraId="1879E7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w:t>
      </w:r>
      <w:r>
        <w:rPr>
          <w:rFonts w:hint="eastAsia" w:cs="Times New Roman"/>
          <w:color w:val="000000" w:themeColor="text1"/>
          <w:sz w:val="24"/>
          <w:szCs w:val="24"/>
          <w:lang w:val="en-US" w:eastAsia="zh-CN"/>
          <w14:textFill>
            <w14:solidFill>
              <w14:schemeClr w14:val="tx1"/>
            </w14:solidFill>
          </w14:textFill>
        </w:rPr>
        <w:t>生活</w:t>
      </w:r>
      <w:r>
        <w:rPr>
          <w:rFonts w:hint="eastAsia" w:ascii="Times New Roman" w:hAnsi="Times New Roman" w:eastAsia="宋体" w:cs="Times New Roman"/>
          <w:color w:val="000000" w:themeColor="text1"/>
          <w:sz w:val="24"/>
          <w:szCs w:val="24"/>
          <w14:textFill>
            <w14:solidFill>
              <w14:schemeClr w14:val="tx1"/>
            </w14:solidFill>
          </w14:textFill>
        </w:rPr>
        <w:t>污水处理站底泥</w:t>
      </w:r>
    </w:p>
    <w:p w14:paraId="34FB893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本项目运营期</w:t>
      </w:r>
      <w:r>
        <w:rPr>
          <w:rFonts w:hint="eastAsia" w:cs="Times New Roman"/>
          <w:color w:val="000000" w:themeColor="text1"/>
          <w:sz w:val="24"/>
          <w:szCs w:val="24"/>
          <w:lang w:val="en-US" w:eastAsia="zh-CN"/>
          <w14:textFill>
            <w14:solidFill>
              <w14:schemeClr w14:val="tx1"/>
            </w14:solidFill>
          </w14:textFill>
        </w:rPr>
        <w:t>生活</w:t>
      </w:r>
      <w:r>
        <w:rPr>
          <w:rFonts w:hint="eastAsia" w:ascii="Times New Roman" w:hAnsi="Times New Roman" w:eastAsia="宋体" w:cs="Times New Roman"/>
          <w:color w:val="000000" w:themeColor="text1"/>
          <w:sz w:val="24"/>
          <w:szCs w:val="24"/>
          <w14:textFill>
            <w14:solidFill>
              <w14:schemeClr w14:val="tx1"/>
            </w14:solidFill>
          </w14:textFill>
        </w:rPr>
        <w:t>污水处理站会产生底泥，根据建设单位现有工程经验，产生量约3.5t/a。</w:t>
      </w:r>
      <w:r>
        <w:rPr>
          <w:rFonts w:hint="eastAsia" w:cs="Times New Roman"/>
          <w:color w:val="000000" w:themeColor="text1"/>
          <w:sz w:val="24"/>
          <w:szCs w:val="24"/>
          <w:lang w:val="en-US" w:eastAsia="zh-CN"/>
          <w14:textFill>
            <w14:solidFill>
              <w14:schemeClr w14:val="tx1"/>
            </w14:solidFill>
          </w14:textFill>
        </w:rPr>
        <w:t>生活</w:t>
      </w:r>
      <w:r>
        <w:rPr>
          <w:rFonts w:hint="eastAsia" w:ascii="Times New Roman" w:hAnsi="Times New Roman" w:eastAsia="宋体" w:cs="Times New Roman"/>
          <w:color w:val="000000" w:themeColor="text1"/>
          <w:sz w:val="24"/>
          <w:szCs w:val="24"/>
          <w14:textFill>
            <w14:solidFill>
              <w14:schemeClr w14:val="tx1"/>
            </w14:solidFill>
          </w14:textFill>
        </w:rPr>
        <w:t>污水处理站底泥（081-999-</w:t>
      </w:r>
      <w:r>
        <w:rPr>
          <w:rFonts w:hint="eastAsia" w:cs="Times New Roman"/>
          <w:color w:val="000000" w:themeColor="text1"/>
          <w:sz w:val="24"/>
          <w:szCs w:val="24"/>
          <w:lang w:val="en-US" w:eastAsia="zh-CN"/>
          <w14:textFill>
            <w14:solidFill>
              <w14:schemeClr w14:val="tx1"/>
            </w14:solidFill>
          </w14:textFill>
        </w:rPr>
        <w:t>S</w:t>
      </w:r>
      <w:r>
        <w:rPr>
          <w:rFonts w:hint="eastAsia" w:ascii="Times New Roman" w:hAnsi="Times New Roman" w:eastAsia="宋体" w:cs="Times New Roman"/>
          <w:color w:val="000000" w:themeColor="text1"/>
          <w:sz w:val="24"/>
          <w:szCs w:val="24"/>
          <w14:textFill>
            <w14:solidFill>
              <w14:schemeClr w14:val="tx1"/>
            </w14:solidFill>
          </w14:textFill>
        </w:rPr>
        <w:t>62）统一收集后，定期拉运至雅满苏镇生活垃圾填埋场填埋处置。</w:t>
      </w:r>
    </w:p>
    <w:p w14:paraId="49F0C45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（5）危险废物</w:t>
      </w:r>
    </w:p>
    <w:p w14:paraId="506D30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本项目产生的危险废物为</w:t>
      </w:r>
      <w:r>
        <w:rPr>
          <w:rFonts w:hint="eastAsia"/>
          <w:color w:val="000000" w:themeColor="text1"/>
          <w:sz w:val="24"/>
          <w:szCs w:val="28"/>
          <w14:textFill>
            <w14:solidFill>
              <w14:schemeClr w14:val="tx1"/>
            </w14:solidFill>
          </w14:textFill>
        </w:rPr>
        <w:t>废矿物油</w:t>
      </w:r>
      <w:r>
        <w:rPr>
          <w:rFonts w:hint="eastAsia"/>
          <w:color w:val="000000" w:themeColor="text1"/>
          <w:sz w:val="24"/>
          <w:szCs w:val="28"/>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危废类别HW08</w:t>
      </w:r>
      <w:r>
        <w:rPr>
          <w:rFonts w:hint="eastAsia"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900-21</w:t>
      </w:r>
      <w:r>
        <w:rPr>
          <w:rFonts w:hint="eastAsia" w:cs="Times New Roman"/>
          <w:color w:val="000000" w:themeColor="text1"/>
          <w:sz w:val="24"/>
          <w:szCs w:val="24"/>
          <w:lang w:val="en-US" w:eastAsia="zh-CN"/>
          <w14:textFill>
            <w14:solidFill>
              <w14:schemeClr w14:val="tx1"/>
            </w14:solidFill>
          </w14:textFill>
        </w:rPr>
        <w:t>7-08</w:t>
      </w:r>
      <w:r>
        <w:rPr>
          <w:rFonts w:hint="eastAsia"/>
          <w:color w:val="000000" w:themeColor="text1"/>
          <w:sz w:val="24"/>
          <w:szCs w:val="28"/>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废油桶</w:t>
      </w:r>
      <w:r>
        <w:rPr>
          <w:rFonts w:hint="eastAsia"/>
          <w:color w:val="000000" w:themeColor="text1"/>
          <w:sz w:val="24"/>
          <w:szCs w:val="28"/>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危废类别HW08</w:t>
      </w:r>
      <w:r>
        <w:rPr>
          <w:rFonts w:hint="eastAsia"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900-2</w:t>
      </w:r>
      <w:r>
        <w:rPr>
          <w:rFonts w:hint="eastAsia" w:cs="Times New Roman"/>
          <w:color w:val="000000" w:themeColor="text1"/>
          <w:sz w:val="24"/>
          <w:szCs w:val="24"/>
          <w:lang w:val="en-US" w:eastAsia="zh-CN"/>
          <w14:textFill>
            <w14:solidFill>
              <w14:schemeClr w14:val="tx1"/>
            </w14:solidFill>
          </w14:textFill>
        </w:rPr>
        <w:t>49-08</w:t>
      </w:r>
      <w:r>
        <w:rPr>
          <w:rFonts w:hint="eastAsia"/>
          <w:color w:val="000000" w:themeColor="text1"/>
          <w:sz w:val="24"/>
          <w:szCs w:val="28"/>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等</w:t>
      </w:r>
      <w:r>
        <w:rPr>
          <w:rFonts w:hint="eastAsia" w:ascii="Times New Roman" w:hAnsi="Times New Roman" w:eastAsia="宋体" w:cs="Times New Roman"/>
          <w:color w:val="000000" w:themeColor="text1"/>
          <w:sz w:val="24"/>
          <w:szCs w:val="24"/>
          <w14:textFill>
            <w14:solidFill>
              <w14:schemeClr w14:val="tx1"/>
            </w14:solidFill>
          </w14:textFill>
        </w:rPr>
        <w:t>，经估算，本项目产生危险废物量约2t/a，统一收集至矿区</w:t>
      </w:r>
      <w:r>
        <w:rPr>
          <w:rFonts w:hint="eastAsia" w:cs="Times New Roman"/>
          <w:color w:val="000000" w:themeColor="text1"/>
          <w:sz w:val="24"/>
          <w:szCs w:val="24"/>
          <w:lang w:eastAsia="zh-CN"/>
          <w14:textFill>
            <w14:solidFill>
              <w14:schemeClr w14:val="tx1"/>
            </w14:solidFill>
          </w14:textFill>
        </w:rPr>
        <w:t>危废贮存点</w:t>
      </w:r>
      <w:r>
        <w:rPr>
          <w:rFonts w:hint="eastAsia" w:ascii="Times New Roman" w:hAnsi="Times New Roman" w:eastAsia="宋体" w:cs="Times New Roman"/>
          <w:color w:val="000000" w:themeColor="text1"/>
          <w:sz w:val="24"/>
          <w:szCs w:val="24"/>
          <w14:textFill>
            <w14:solidFill>
              <w14:schemeClr w14:val="tx1"/>
            </w14:solidFill>
          </w14:textFill>
        </w:rPr>
        <w:t>，委托具有相应危险废物处置资质的单位定期进行处置。</w:t>
      </w:r>
    </w:p>
    <w:p w14:paraId="2B860F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本项目运营期固体废物产生情况见表3.3-13。</w:t>
      </w:r>
    </w:p>
    <w:p w14:paraId="4379AD6E">
      <w:pPr>
        <w:pStyle w:val="18"/>
        <w:spacing w:line="480" w:lineRule="exact"/>
        <w:ind w:firstLine="0" w:firstLineChars="0"/>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表3.3-13</w:t>
      </w:r>
      <w:r>
        <w:rPr>
          <w:rFonts w:hint="eastAsia"/>
          <w:b/>
          <w:bCs/>
          <w:color w:val="000000" w:themeColor="text1"/>
          <w:sz w:val="24"/>
          <w:szCs w:val="28"/>
          <w14:textFill>
            <w14:solidFill>
              <w14:schemeClr w14:val="tx1"/>
            </w14:solidFill>
          </w14:textFill>
        </w:rPr>
        <w:t xml:space="preserve">    本项目运营期固体废物产生情况汇总表</w:t>
      </w:r>
    </w:p>
    <w:tbl>
      <w:tblPr>
        <w:tblStyle w:val="79"/>
        <w:tblW w:w="86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701"/>
        <w:gridCol w:w="992"/>
        <w:gridCol w:w="4232"/>
      </w:tblGrid>
      <w:tr w14:paraId="5E82C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40" w:type="dxa"/>
            <w:noWrap w:val="0"/>
            <w:vAlign w:val="center"/>
          </w:tcPr>
          <w:p w14:paraId="09D4849D">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名称</w:t>
            </w:r>
          </w:p>
        </w:tc>
        <w:tc>
          <w:tcPr>
            <w:tcW w:w="1701" w:type="dxa"/>
            <w:noWrap w:val="0"/>
            <w:vAlign w:val="center"/>
          </w:tcPr>
          <w:p w14:paraId="1EFDDDAA">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固废种类</w:t>
            </w:r>
          </w:p>
        </w:tc>
        <w:tc>
          <w:tcPr>
            <w:tcW w:w="992" w:type="dxa"/>
            <w:noWrap w:val="0"/>
            <w:vAlign w:val="center"/>
          </w:tcPr>
          <w:p w14:paraId="58BA6690">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产生量</w:t>
            </w:r>
          </w:p>
          <w:p w14:paraId="105C3585">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（t/a）</w:t>
            </w:r>
          </w:p>
        </w:tc>
        <w:tc>
          <w:tcPr>
            <w:tcW w:w="4232" w:type="dxa"/>
            <w:noWrap w:val="0"/>
            <w:vAlign w:val="center"/>
          </w:tcPr>
          <w:p w14:paraId="6323AA53">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处置措施</w:t>
            </w:r>
          </w:p>
        </w:tc>
      </w:tr>
      <w:tr w14:paraId="398EC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noWrap w:val="0"/>
            <w:vAlign w:val="center"/>
          </w:tcPr>
          <w:p w14:paraId="388F7ED6">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采矿废石</w:t>
            </w:r>
          </w:p>
        </w:tc>
        <w:tc>
          <w:tcPr>
            <w:tcW w:w="1701" w:type="dxa"/>
            <w:noWrap w:val="0"/>
            <w:vAlign w:val="center"/>
          </w:tcPr>
          <w:p w14:paraId="03E24CA9">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一般固废</w:t>
            </w:r>
            <w:r>
              <w:rPr>
                <w:rFonts w:hint="eastAsia" w:ascii="Times New Roman" w:hAnsi="Times New Roman" w:cs="Times New Roman"/>
                <w:color w:val="000000" w:themeColor="text1"/>
                <w:lang w:val="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081-001-</w:t>
            </w:r>
            <w:r>
              <w:rPr>
                <w:rFonts w:hint="eastAsia" w:cs="Times New Roman"/>
                <w:color w:val="000000" w:themeColor="text1"/>
                <w:lang w:val="en-US" w:eastAsia="zh-CN"/>
                <w14:textFill>
                  <w14:solidFill>
                    <w14:schemeClr w14:val="tx1"/>
                  </w14:solidFill>
                </w14:textFill>
              </w:rPr>
              <w:t>S</w:t>
            </w:r>
            <w:r>
              <w:rPr>
                <w:rFonts w:hint="eastAsia" w:ascii="Times New Roman" w:hAnsi="Times New Roman" w:cs="Times New Roman"/>
                <w:color w:val="000000" w:themeColor="text1"/>
                <w14:textFill>
                  <w14:solidFill>
                    <w14:schemeClr w14:val="tx1"/>
                  </w14:solidFill>
                </w14:textFill>
              </w:rPr>
              <w:t>29</w:t>
            </w:r>
            <w:r>
              <w:rPr>
                <w:rFonts w:hint="eastAsia" w:ascii="Times New Roman" w:hAnsi="Times New Roman" w:cs="Times New Roman"/>
                <w:color w:val="000000" w:themeColor="text1"/>
                <w:lang w:val="zh-CN"/>
                <w14:textFill>
                  <w14:solidFill>
                    <w14:schemeClr w14:val="tx1"/>
                  </w14:solidFill>
                </w14:textFill>
              </w:rPr>
              <w:t>）</w:t>
            </w:r>
          </w:p>
        </w:tc>
        <w:tc>
          <w:tcPr>
            <w:tcW w:w="992" w:type="dxa"/>
            <w:noWrap w:val="0"/>
            <w:vAlign w:val="center"/>
          </w:tcPr>
          <w:p w14:paraId="66C80C84">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13.97</w:t>
            </w:r>
            <w:r>
              <w:rPr>
                <w:rFonts w:hint="eastAsia" w:ascii="Times New Roman" w:hAnsi="Times New Roman" w:cs="Times New Roman"/>
                <w:color w:val="000000" w:themeColor="text1"/>
                <w14:textFill>
                  <w14:solidFill>
                    <w14:schemeClr w14:val="tx1"/>
                  </w14:solidFill>
                </w14:textFill>
              </w:rPr>
              <w:t>万</w:t>
            </w:r>
          </w:p>
        </w:tc>
        <w:tc>
          <w:tcPr>
            <w:tcW w:w="4232" w:type="dxa"/>
            <w:noWrap w:val="0"/>
            <w:vAlign w:val="center"/>
          </w:tcPr>
          <w:p w14:paraId="67049249">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采出废石由自卸汽车运输至废石堆场排弃，待开采结束并稳沉后，将废石回填至采空区。</w:t>
            </w:r>
          </w:p>
        </w:tc>
      </w:tr>
      <w:tr w14:paraId="0BAEA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noWrap w:val="0"/>
            <w:vAlign w:val="center"/>
          </w:tcPr>
          <w:p w14:paraId="1ADF9308">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生活垃圾</w:t>
            </w:r>
          </w:p>
        </w:tc>
        <w:tc>
          <w:tcPr>
            <w:tcW w:w="1701" w:type="dxa"/>
            <w:noWrap w:val="0"/>
            <w:vAlign w:val="center"/>
          </w:tcPr>
          <w:p w14:paraId="6ACD6BB7">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生活垃圾</w:t>
            </w:r>
            <w:r>
              <w:rPr>
                <w:rFonts w:hint="eastAsia" w:ascii="Times New Roman" w:hAnsi="Times New Roman" w:cs="Times New Roman"/>
                <w:color w:val="000000" w:themeColor="text1"/>
                <w:lang w:val="zh-CN"/>
                <w14:textFill>
                  <w14:solidFill>
                    <w14:schemeClr w14:val="tx1"/>
                  </w14:solidFill>
                </w14:textFill>
              </w:rPr>
              <w:t>（900-099-S64）</w:t>
            </w:r>
          </w:p>
        </w:tc>
        <w:tc>
          <w:tcPr>
            <w:tcW w:w="992" w:type="dxa"/>
            <w:noWrap w:val="0"/>
            <w:vAlign w:val="center"/>
          </w:tcPr>
          <w:p w14:paraId="7F01AA67">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c>
          <w:tcPr>
            <w:tcW w:w="4232" w:type="dxa"/>
            <w:noWrap w:val="0"/>
            <w:vAlign w:val="center"/>
          </w:tcPr>
          <w:p w14:paraId="2EEE23E2">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集中收集，定期拉运至雅满苏镇生活垃圾填埋场填埋处置。</w:t>
            </w:r>
          </w:p>
        </w:tc>
      </w:tr>
      <w:tr w14:paraId="5B56F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noWrap w:val="0"/>
            <w:vAlign w:val="center"/>
          </w:tcPr>
          <w:p w14:paraId="059C6FA7">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沉淀池底泥</w:t>
            </w:r>
          </w:p>
        </w:tc>
        <w:tc>
          <w:tcPr>
            <w:tcW w:w="1701" w:type="dxa"/>
            <w:noWrap w:val="0"/>
            <w:vAlign w:val="center"/>
          </w:tcPr>
          <w:p w14:paraId="7CA9E3DF">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一般固废</w:t>
            </w:r>
            <w:r>
              <w:rPr>
                <w:rFonts w:hint="eastAsia" w:ascii="Times New Roman" w:hAnsi="Times New Roman" w:cs="Times New Roman"/>
                <w:color w:val="000000" w:themeColor="text1"/>
                <w:szCs w:val="21"/>
                <w:lang w:val="zh-CN"/>
                <w14:textFill>
                  <w14:solidFill>
                    <w14:schemeClr w14:val="tx1"/>
                  </w14:solidFill>
                </w14:textFill>
              </w:rPr>
              <w:t>（900-099-S07）</w:t>
            </w:r>
          </w:p>
        </w:tc>
        <w:tc>
          <w:tcPr>
            <w:tcW w:w="992" w:type="dxa"/>
            <w:noWrap w:val="0"/>
            <w:vAlign w:val="center"/>
          </w:tcPr>
          <w:p w14:paraId="0CF02BDC">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45.4</w:t>
            </w:r>
          </w:p>
        </w:tc>
        <w:tc>
          <w:tcPr>
            <w:tcW w:w="4232" w:type="dxa"/>
            <w:noWrap w:val="0"/>
            <w:vAlign w:val="center"/>
          </w:tcPr>
          <w:p w14:paraId="119D68C8">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送至废石堆场暂存，后期用于矿山土地复垦。</w:t>
            </w:r>
          </w:p>
        </w:tc>
      </w:tr>
      <w:tr w14:paraId="4B339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noWrap w:val="0"/>
            <w:vAlign w:val="center"/>
          </w:tcPr>
          <w:p w14:paraId="5730975D">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污水处理站底泥</w:t>
            </w:r>
          </w:p>
        </w:tc>
        <w:tc>
          <w:tcPr>
            <w:tcW w:w="1701" w:type="dxa"/>
            <w:noWrap w:val="0"/>
            <w:vAlign w:val="center"/>
          </w:tcPr>
          <w:p w14:paraId="171DF918">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一般固废</w:t>
            </w:r>
            <w:r>
              <w:rPr>
                <w:rFonts w:hint="eastAsia" w:ascii="Times New Roman" w:hAnsi="Times New Roman" w:cs="Times New Roman"/>
                <w:color w:val="000000" w:themeColor="text1"/>
                <w:szCs w:val="21"/>
                <w:lang w:val="zh-CN"/>
                <w14:textFill>
                  <w14:solidFill>
                    <w14:schemeClr w14:val="tx1"/>
                  </w14:solidFill>
                </w14:textFill>
              </w:rPr>
              <w:t>（900-099-S07）</w:t>
            </w:r>
          </w:p>
        </w:tc>
        <w:tc>
          <w:tcPr>
            <w:tcW w:w="992" w:type="dxa"/>
            <w:noWrap w:val="0"/>
            <w:vAlign w:val="center"/>
          </w:tcPr>
          <w:p w14:paraId="29642337">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4232" w:type="dxa"/>
            <w:noWrap w:val="0"/>
            <w:vAlign w:val="center"/>
          </w:tcPr>
          <w:p w14:paraId="472237CB">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统一收集后定期拉运至雅满苏镇生活垃圾填埋场填埋处置。</w:t>
            </w:r>
          </w:p>
        </w:tc>
      </w:tr>
      <w:tr w14:paraId="06C07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noWrap w:val="0"/>
            <w:vAlign w:val="center"/>
          </w:tcPr>
          <w:p w14:paraId="2A8FC3B6">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废矿物油、</w:t>
            </w:r>
            <w:r>
              <w:rPr>
                <w:rFonts w:hint="eastAsia" w:cs="Times New Roman"/>
                <w:color w:val="000000" w:themeColor="text1"/>
                <w:lang w:eastAsia="zh-CN"/>
                <w14:textFill>
                  <w14:solidFill>
                    <w14:schemeClr w14:val="tx1"/>
                  </w14:solidFill>
                </w14:textFill>
              </w:rPr>
              <w:t>废油桶</w:t>
            </w:r>
          </w:p>
        </w:tc>
        <w:tc>
          <w:tcPr>
            <w:tcW w:w="1701" w:type="dxa"/>
            <w:noWrap w:val="0"/>
            <w:vAlign w:val="center"/>
          </w:tcPr>
          <w:p w14:paraId="1BF636BF">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危险废物HW08（900-21</w:t>
            </w:r>
            <w:r>
              <w:rPr>
                <w:rFonts w:hint="eastAsia"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t>-08）</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900-249-08</w:t>
            </w:r>
            <w:r>
              <w:rPr>
                <w:rFonts w:hint="eastAsia" w:cs="Times New Roman"/>
                <w:color w:val="000000" w:themeColor="text1"/>
                <w:lang w:eastAsia="zh-CN"/>
                <w14:textFill>
                  <w14:solidFill>
                    <w14:schemeClr w14:val="tx1"/>
                  </w14:solidFill>
                </w14:textFill>
              </w:rPr>
              <w:t>）</w:t>
            </w:r>
          </w:p>
        </w:tc>
        <w:tc>
          <w:tcPr>
            <w:tcW w:w="992" w:type="dxa"/>
            <w:noWrap w:val="0"/>
            <w:vAlign w:val="center"/>
          </w:tcPr>
          <w:p w14:paraId="74D86E58">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4232" w:type="dxa"/>
            <w:noWrap w:val="0"/>
            <w:vAlign w:val="center"/>
          </w:tcPr>
          <w:p w14:paraId="2D21BC3A">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收集至矿区</w:t>
            </w:r>
            <w:r>
              <w:rPr>
                <w:rFonts w:hint="eastAsia" w:cs="Times New Roman"/>
                <w:color w:val="000000" w:themeColor="text1"/>
                <w:lang w:eastAsia="zh-CN"/>
                <w14:textFill>
                  <w14:solidFill>
                    <w14:schemeClr w14:val="tx1"/>
                  </w14:solidFill>
                </w14:textFill>
              </w:rPr>
              <w:t>危废贮存点</w:t>
            </w:r>
            <w:r>
              <w:rPr>
                <w:rFonts w:hint="eastAsia"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委托</w:t>
            </w:r>
            <w:r>
              <w:rPr>
                <w:rFonts w:hint="eastAsia" w:ascii="Times New Roman" w:hAnsi="Times New Roman" w:cs="Times New Roman"/>
                <w:color w:val="000000" w:themeColor="text1"/>
                <w14:textFill>
                  <w14:solidFill>
                    <w14:schemeClr w14:val="tx1"/>
                  </w14:solidFill>
                </w14:textFill>
              </w:rPr>
              <w:t>具有相应危险废物处置资质的单位进行</w:t>
            </w:r>
            <w:r>
              <w:rPr>
                <w:rFonts w:hint="default" w:ascii="Times New Roman" w:hAnsi="Times New Roman" w:cs="Times New Roman"/>
                <w:color w:val="000000" w:themeColor="text1"/>
                <w14:textFill>
                  <w14:solidFill>
                    <w14:schemeClr w14:val="tx1"/>
                  </w14:solidFill>
                </w14:textFill>
              </w:rPr>
              <w:t>处置</w:t>
            </w:r>
            <w:r>
              <w:rPr>
                <w:rFonts w:hint="eastAsia" w:ascii="Times New Roman" w:hAnsi="Times New Roman" w:cs="Times New Roman"/>
                <w:color w:val="000000" w:themeColor="text1"/>
                <w14:textFill>
                  <w14:solidFill>
                    <w14:schemeClr w14:val="tx1"/>
                  </w14:solidFill>
                </w14:textFill>
              </w:rPr>
              <w:t>。</w:t>
            </w:r>
          </w:p>
        </w:tc>
      </w:tr>
    </w:tbl>
    <w:p w14:paraId="3CEBADC3">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4</w:t>
      </w:r>
      <w:r>
        <w:rPr>
          <w:rFonts w:hint="eastAsia" w:ascii="Times New Roman" w:hAnsi="Times New Roman"/>
          <w:bCs w:val="0"/>
          <w:color w:val="000000" w:themeColor="text1"/>
          <w:kern w:val="2"/>
          <w:szCs w:val="24"/>
          <w14:textFill>
            <w14:solidFill>
              <w14:schemeClr w14:val="tx1"/>
            </w14:solidFill>
          </w14:textFill>
        </w:rPr>
        <w:t>.5生态环境</w:t>
      </w:r>
    </w:p>
    <w:p w14:paraId="059A69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本项目建成后，造成的生态环境破坏和生态影响，有以下几个方面：</w:t>
      </w:r>
    </w:p>
    <w:p w14:paraId="490A64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（1）工程占地对区域土地利用结构产生影响；</w:t>
      </w:r>
    </w:p>
    <w:p w14:paraId="386CA3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（2）地表错动影响，矿区的开采破坏了开采区岩层的原始基础和应力平衡，会导致上覆岩层和地表产生移动变形，破坏土壤结构和植被资源</w:t>
      </w:r>
      <w:r>
        <w:rPr>
          <w:rFonts w:hint="eastAsia" w:cs="Times New Roman"/>
          <w:color w:val="000000" w:themeColor="text1"/>
          <w:sz w:val="24"/>
          <w:szCs w:val="24"/>
          <w:lang w:eastAsia="zh-CN"/>
          <w14:textFill>
            <w14:solidFill>
              <w14:schemeClr w14:val="tx1"/>
            </w14:solidFill>
          </w14:textFill>
        </w:rPr>
        <w:t>、</w:t>
      </w:r>
      <w:r>
        <w:rPr>
          <w:rFonts w:hint="eastAsia" w:eastAsia="宋体"/>
          <w:bCs/>
          <w:color w:val="000000" w:themeColor="text1"/>
          <w:kern w:val="2"/>
          <w:sz w:val="24"/>
          <w14:textFill>
            <w14:solidFill>
              <w14:schemeClr w14:val="tx1"/>
            </w14:solidFill>
          </w14:textFill>
        </w:rPr>
        <w:t>戈壁的</w:t>
      </w:r>
      <w:r>
        <w:rPr>
          <w:rFonts w:eastAsia="宋体"/>
          <w:bCs/>
          <w:color w:val="000000" w:themeColor="text1"/>
          <w:kern w:val="2"/>
          <w:sz w:val="24"/>
          <w14:textFill>
            <w14:solidFill>
              <w14:schemeClr w14:val="tx1"/>
            </w14:solidFill>
          </w14:textFill>
        </w:rPr>
        <w:t>地表</w:t>
      </w:r>
      <w:r>
        <w:rPr>
          <w:rFonts w:hint="eastAsia" w:eastAsia="宋体"/>
          <w:bCs/>
          <w:color w:val="000000" w:themeColor="text1"/>
          <w:kern w:val="2"/>
          <w:sz w:val="24"/>
          <w14:textFill>
            <w14:solidFill>
              <w14:schemeClr w14:val="tx1"/>
            </w14:solidFill>
          </w14:textFill>
        </w:rPr>
        <w:t>砾幕层</w:t>
      </w:r>
      <w:r>
        <w:rPr>
          <w:rFonts w:hint="eastAsia" w:ascii="Times New Roman" w:hAnsi="Times New Roman" w:eastAsia="宋体" w:cs="Times New Roman"/>
          <w:color w:val="000000" w:themeColor="text1"/>
          <w:sz w:val="24"/>
          <w:szCs w:val="24"/>
          <w14:textFill>
            <w14:solidFill>
              <w14:schemeClr w14:val="tx1"/>
            </w14:solidFill>
          </w14:textFill>
        </w:rPr>
        <w:t>，局部生态环境受到破坏；</w:t>
      </w:r>
    </w:p>
    <w:p w14:paraId="695C977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（3）地下开采扬尘</w:t>
      </w:r>
      <w:r>
        <w:rPr>
          <w:rFonts w:hint="eastAsia" w:cs="Times New Roman"/>
          <w:color w:val="000000" w:themeColor="text1"/>
          <w:sz w:val="24"/>
          <w:szCs w:val="24"/>
          <w:lang w:val="en-US" w:eastAsia="zh-CN"/>
          <w14:textFill>
            <w14:solidFill>
              <w14:schemeClr w14:val="tx1"/>
            </w14:solidFill>
          </w14:textFill>
        </w:rPr>
        <w:t>使</w:t>
      </w:r>
      <w:r>
        <w:rPr>
          <w:rFonts w:hint="eastAsia" w:ascii="Times New Roman" w:hAnsi="Times New Roman" w:eastAsia="宋体" w:cs="Times New Roman"/>
          <w:color w:val="000000" w:themeColor="text1"/>
          <w:sz w:val="24"/>
          <w:szCs w:val="24"/>
          <w14:textFill>
            <w14:solidFill>
              <w14:schemeClr w14:val="tx1"/>
            </w14:solidFill>
          </w14:textFill>
        </w:rPr>
        <w:t>区域内及周边地表植被生长、地表水环境受到一定影响</w:t>
      </w:r>
      <w:r>
        <w:rPr>
          <w:rFonts w:hint="eastAsia" w:cs="Times New Roman"/>
          <w:color w:val="000000" w:themeColor="text1"/>
          <w:sz w:val="24"/>
          <w:szCs w:val="24"/>
          <w:lang w:eastAsia="zh-CN"/>
          <w14:textFill>
            <w14:solidFill>
              <w14:schemeClr w14:val="tx1"/>
            </w14:solidFill>
          </w14:textFill>
        </w:rPr>
        <w:t>；</w:t>
      </w:r>
    </w:p>
    <w:p w14:paraId="52185A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w:t>
      </w:r>
      <w:r>
        <w:rPr>
          <w:rFonts w:hint="eastAsia"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工作人员扰动和设备噪声、灯光等也会对区域野生动物的栖息、觅食及繁殖等产生一定影响。</w:t>
      </w:r>
    </w:p>
    <w:p w14:paraId="694625E0">
      <w:pPr>
        <w:pStyle w:val="4"/>
        <w:spacing w:before="60" w:after="60" w:line="480" w:lineRule="exact"/>
        <w:rPr>
          <w:color w:val="000000" w:themeColor="text1"/>
          <w:kern w:val="2"/>
          <w14:textFill>
            <w14:solidFill>
              <w14:schemeClr w14:val="tx1"/>
            </w14:solidFill>
          </w14:textFill>
        </w:rPr>
      </w:pPr>
      <w:bookmarkStart w:id="315" w:name="_Toc522"/>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5</w:t>
      </w:r>
      <w:r>
        <w:rPr>
          <w:rFonts w:hint="eastAsia"/>
          <w:color w:val="000000" w:themeColor="text1"/>
          <w:kern w:val="2"/>
          <w14:textFill>
            <w14:solidFill>
              <w14:schemeClr w14:val="tx1"/>
            </w14:solidFill>
          </w14:textFill>
        </w:rPr>
        <w:t>非正常工况/事故工况污染源分析</w:t>
      </w:r>
      <w:bookmarkEnd w:id="315"/>
    </w:p>
    <w:p w14:paraId="1F2D8F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bookmarkStart w:id="316" w:name="_Toc4238"/>
      <w:r>
        <w:rPr>
          <w:rFonts w:hint="eastAsia" w:ascii="Times New Roman" w:hAnsi="Times New Roman" w:eastAsia="宋体" w:cs="Times New Roman"/>
          <w:color w:val="000000" w:themeColor="text1"/>
          <w:sz w:val="24"/>
          <w:szCs w:val="24"/>
          <w14:textFill>
            <w14:solidFill>
              <w14:schemeClr w14:val="tx1"/>
            </w14:solidFill>
          </w14:textFill>
        </w:rPr>
        <w:t>（1）矿井涌水非正常工况排放</w:t>
      </w:r>
    </w:p>
    <w:p w14:paraId="32D1A61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矿井涌水非正常工况排放包括两种情形。</w:t>
      </w:r>
    </w:p>
    <w:p w14:paraId="74B448C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排水设备损坏或异常，造成矿井涌水无法正常抽送而溢出沉淀池。因井下开采为连续作业，矿井涌水需连续抽送，故井下排水工程在设计时已考虑到事故工况，所有抽排水设备均1用2备，确保井下排水工程正常工作，不因设备运行异常造成矿井涌水事故排放。</w:t>
      </w:r>
    </w:p>
    <w:p w14:paraId="0C35A1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②矿山停产检修、设备维护，矿井涌水无法用于生产。本项目最大涌水量为1600m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/d（66.67m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/h）。项目生产检修、设备维护时间一般不超过6个小时，矿井涌水沉淀池（容积</w:t>
      </w:r>
      <w:r>
        <w:rPr>
          <w:rFonts w:hint="eastAsia" w:cs="Times New Roman"/>
          <w:color w:val="000000" w:themeColor="text1"/>
          <w:sz w:val="24"/>
          <w:szCs w:val="24"/>
          <w:lang w:val="en-US" w:eastAsia="zh-CN"/>
          <w14:textFill>
            <w14:solidFill>
              <w14:schemeClr w14:val="tx1"/>
            </w14:solidFill>
          </w14:textFill>
        </w:rPr>
        <w:t>800</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）可储存</w:t>
      </w:r>
      <w:r>
        <w:rPr>
          <w:rFonts w:hint="eastAsia" w:cs="Times New Roman"/>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14:textFill>
            <w14:solidFill>
              <w14:schemeClr w14:val="tx1"/>
            </w14:solidFill>
          </w14:textFill>
        </w:rPr>
        <w:t>小时的最大涌水量，满足最大涌水量排放收集要求。</w:t>
      </w:r>
    </w:p>
    <w:p w14:paraId="46950E3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（2）生活污水处理设施运行异常</w:t>
      </w:r>
    </w:p>
    <w:p w14:paraId="7A75AAC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非正常工况主要是生活污水处理设施异常，生活污水尾水达不到正常处理效率。当污水处理设施发生故障时，生活污水无法进行及时处理，可能对污水处理设施造成冲击。非正常工况下，生活用水临时停水，生活污水站临时停用，尽快修复设备后再进行处理。</w:t>
      </w:r>
    </w:p>
    <w:p w14:paraId="4B4D846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非正常情况下污染物排放情况见下表。</w:t>
      </w:r>
    </w:p>
    <w:p w14:paraId="5A65BBF2">
      <w:pPr>
        <w:pStyle w:val="18"/>
        <w:spacing w:line="480" w:lineRule="exact"/>
        <w:ind w:firstLine="0" w:firstLineChars="0"/>
        <w:jc w:val="center"/>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表3.</w:t>
      </w:r>
      <w:r>
        <w:rPr>
          <w:b/>
          <w:bCs/>
          <w:color w:val="000000" w:themeColor="text1"/>
          <w:sz w:val="24"/>
          <w:szCs w:val="28"/>
          <w14:textFill>
            <w14:solidFill>
              <w14:schemeClr w14:val="tx1"/>
            </w14:solidFill>
          </w14:textFill>
        </w:rPr>
        <w:t>3</w:t>
      </w:r>
      <w:r>
        <w:rPr>
          <w:rFonts w:hint="eastAsia"/>
          <w:b/>
          <w:bCs/>
          <w:color w:val="000000" w:themeColor="text1"/>
          <w:sz w:val="24"/>
          <w:szCs w:val="28"/>
          <w14:textFill>
            <w14:solidFill>
              <w14:schemeClr w14:val="tx1"/>
            </w14:solidFill>
          </w14:textFill>
        </w:rPr>
        <w:t>-1</w:t>
      </w:r>
      <w:r>
        <w:rPr>
          <w:b/>
          <w:bCs/>
          <w:color w:val="000000" w:themeColor="text1"/>
          <w:sz w:val="24"/>
          <w:szCs w:val="28"/>
          <w14:textFill>
            <w14:solidFill>
              <w14:schemeClr w14:val="tx1"/>
            </w14:solidFill>
          </w14:textFill>
        </w:rPr>
        <w:t>4</w:t>
      </w:r>
      <w:r>
        <w:rPr>
          <w:rFonts w:hint="eastAsia"/>
          <w:b/>
          <w:bCs/>
          <w:color w:val="000000" w:themeColor="text1"/>
          <w:sz w:val="24"/>
          <w:szCs w:val="28"/>
          <w14:textFill>
            <w14:solidFill>
              <w14:schemeClr w14:val="tx1"/>
            </w14:solidFill>
          </w14:textFill>
        </w:rPr>
        <w:t xml:space="preserve">    非正常工况污染源排放一览表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178"/>
        <w:gridCol w:w="2548"/>
        <w:gridCol w:w="1139"/>
        <w:gridCol w:w="848"/>
        <w:gridCol w:w="1006"/>
        <w:gridCol w:w="1174"/>
      </w:tblGrid>
      <w:tr w14:paraId="27699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9" w:type="pct"/>
            <w:noWrap w:val="0"/>
            <w:vAlign w:val="center"/>
          </w:tcPr>
          <w:p w14:paraId="73E352CC">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序号</w:t>
            </w:r>
          </w:p>
        </w:tc>
        <w:tc>
          <w:tcPr>
            <w:tcW w:w="691" w:type="pct"/>
            <w:noWrap w:val="0"/>
            <w:vAlign w:val="center"/>
          </w:tcPr>
          <w:p w14:paraId="01A412AA">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非正常工况排放源</w:t>
            </w:r>
          </w:p>
        </w:tc>
        <w:tc>
          <w:tcPr>
            <w:tcW w:w="1494" w:type="pct"/>
            <w:noWrap w:val="0"/>
            <w:vAlign w:val="center"/>
          </w:tcPr>
          <w:p w14:paraId="71AB1AD9">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非正常排放原因</w:t>
            </w:r>
          </w:p>
        </w:tc>
        <w:tc>
          <w:tcPr>
            <w:tcW w:w="668" w:type="pct"/>
            <w:noWrap w:val="0"/>
            <w:vAlign w:val="center"/>
          </w:tcPr>
          <w:p w14:paraId="6B610262">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单次事故时间h/次</w:t>
            </w:r>
          </w:p>
        </w:tc>
        <w:tc>
          <w:tcPr>
            <w:tcW w:w="497" w:type="pct"/>
            <w:noWrap w:val="0"/>
            <w:vAlign w:val="center"/>
          </w:tcPr>
          <w:p w14:paraId="6E0133F5">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年发生频次/次</w:t>
            </w:r>
          </w:p>
        </w:tc>
        <w:tc>
          <w:tcPr>
            <w:tcW w:w="590" w:type="pct"/>
            <w:noWrap w:val="0"/>
            <w:vAlign w:val="center"/>
          </w:tcPr>
          <w:p w14:paraId="3A4C4D4A">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污染物</w:t>
            </w:r>
          </w:p>
        </w:tc>
        <w:tc>
          <w:tcPr>
            <w:tcW w:w="688" w:type="pct"/>
            <w:noWrap w:val="0"/>
            <w:vAlign w:val="center"/>
          </w:tcPr>
          <w:p w14:paraId="2E0B25B1">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非正常排放源强</w:t>
            </w:r>
          </w:p>
        </w:tc>
      </w:tr>
      <w:tr w14:paraId="12879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noWrap w:val="0"/>
            <w:vAlign w:val="center"/>
          </w:tcPr>
          <w:p w14:paraId="537B28C9">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691" w:type="pct"/>
            <w:noWrap w:val="0"/>
            <w:vAlign w:val="center"/>
          </w:tcPr>
          <w:p w14:paraId="405C35D1">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矿井涌水</w:t>
            </w:r>
          </w:p>
        </w:tc>
        <w:tc>
          <w:tcPr>
            <w:tcW w:w="1494" w:type="pct"/>
            <w:noWrap w:val="0"/>
            <w:vAlign w:val="center"/>
          </w:tcPr>
          <w:p w14:paraId="16366A5C">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矿山停产检修、设备维护、抽排水设备损坏</w:t>
            </w:r>
          </w:p>
        </w:tc>
        <w:tc>
          <w:tcPr>
            <w:tcW w:w="668" w:type="pct"/>
            <w:noWrap w:val="0"/>
            <w:vAlign w:val="center"/>
          </w:tcPr>
          <w:p w14:paraId="5B12CD16">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w:t>
            </w:r>
          </w:p>
        </w:tc>
        <w:tc>
          <w:tcPr>
            <w:tcW w:w="497" w:type="pct"/>
            <w:noWrap w:val="0"/>
            <w:vAlign w:val="center"/>
          </w:tcPr>
          <w:p w14:paraId="52175791">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p>
        </w:tc>
        <w:tc>
          <w:tcPr>
            <w:tcW w:w="590" w:type="pct"/>
            <w:noWrap w:val="0"/>
            <w:vAlign w:val="center"/>
          </w:tcPr>
          <w:p w14:paraId="53DD165B">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废水量</w:t>
            </w:r>
          </w:p>
        </w:tc>
        <w:tc>
          <w:tcPr>
            <w:tcW w:w="688" w:type="pct"/>
            <w:noWrap w:val="0"/>
            <w:vAlign w:val="center"/>
          </w:tcPr>
          <w:p w14:paraId="4BCE7F1B">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400</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p>
        </w:tc>
      </w:tr>
      <w:tr w14:paraId="2AE5F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Merge w:val="restart"/>
            <w:noWrap w:val="0"/>
            <w:vAlign w:val="center"/>
          </w:tcPr>
          <w:p w14:paraId="646275EE">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691" w:type="pct"/>
            <w:vMerge w:val="restart"/>
            <w:noWrap w:val="0"/>
            <w:vAlign w:val="center"/>
          </w:tcPr>
          <w:p w14:paraId="04535B84">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生活污水</w:t>
            </w:r>
          </w:p>
        </w:tc>
        <w:tc>
          <w:tcPr>
            <w:tcW w:w="1494" w:type="pct"/>
            <w:vMerge w:val="restart"/>
            <w:noWrap w:val="0"/>
            <w:vAlign w:val="center"/>
          </w:tcPr>
          <w:p w14:paraId="647EEDCE">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设备故障</w:t>
            </w:r>
          </w:p>
        </w:tc>
        <w:tc>
          <w:tcPr>
            <w:tcW w:w="668" w:type="pct"/>
            <w:vMerge w:val="restart"/>
            <w:noWrap w:val="0"/>
            <w:vAlign w:val="center"/>
          </w:tcPr>
          <w:p w14:paraId="44084C1B">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w:t>
            </w:r>
          </w:p>
        </w:tc>
        <w:tc>
          <w:tcPr>
            <w:tcW w:w="497" w:type="pct"/>
            <w:vMerge w:val="restart"/>
            <w:noWrap w:val="0"/>
            <w:vAlign w:val="center"/>
          </w:tcPr>
          <w:p w14:paraId="3BAD4E3B">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p>
        </w:tc>
        <w:tc>
          <w:tcPr>
            <w:tcW w:w="590" w:type="pct"/>
            <w:noWrap w:val="0"/>
            <w:vAlign w:val="center"/>
          </w:tcPr>
          <w:p w14:paraId="737AB0B5">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污水量</w:t>
            </w:r>
          </w:p>
        </w:tc>
        <w:tc>
          <w:tcPr>
            <w:tcW w:w="688" w:type="pct"/>
            <w:noWrap w:val="0"/>
            <w:vAlign w:val="center"/>
          </w:tcPr>
          <w:p w14:paraId="3CD87B64">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p>
        </w:tc>
      </w:tr>
      <w:tr w14:paraId="709C1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Merge w:val="continue"/>
            <w:noWrap w:val="0"/>
            <w:vAlign w:val="center"/>
          </w:tcPr>
          <w:p w14:paraId="21EE3461">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14:textFill>
                  <w14:solidFill>
                    <w14:schemeClr w14:val="tx1"/>
                  </w14:solidFill>
                </w14:textFill>
              </w:rPr>
            </w:pPr>
          </w:p>
        </w:tc>
        <w:tc>
          <w:tcPr>
            <w:tcW w:w="691" w:type="pct"/>
            <w:vMerge w:val="continue"/>
            <w:noWrap w:val="0"/>
            <w:vAlign w:val="center"/>
          </w:tcPr>
          <w:p w14:paraId="7B6611F2">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p>
        </w:tc>
        <w:tc>
          <w:tcPr>
            <w:tcW w:w="1494" w:type="pct"/>
            <w:vMerge w:val="continue"/>
            <w:noWrap w:val="0"/>
            <w:vAlign w:val="center"/>
          </w:tcPr>
          <w:p w14:paraId="2F96948E">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68" w:type="pct"/>
            <w:vMerge w:val="continue"/>
            <w:noWrap w:val="0"/>
            <w:vAlign w:val="center"/>
          </w:tcPr>
          <w:p w14:paraId="3E7264E1">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497" w:type="pct"/>
            <w:vMerge w:val="continue"/>
            <w:noWrap w:val="0"/>
            <w:vAlign w:val="center"/>
          </w:tcPr>
          <w:p w14:paraId="62490385">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590" w:type="pct"/>
            <w:noWrap w:val="0"/>
            <w:vAlign w:val="center"/>
          </w:tcPr>
          <w:p w14:paraId="3406A913">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COD</w:t>
            </w:r>
          </w:p>
        </w:tc>
        <w:tc>
          <w:tcPr>
            <w:tcW w:w="688" w:type="pct"/>
            <w:noWrap w:val="0"/>
            <w:vAlign w:val="center"/>
          </w:tcPr>
          <w:p w14:paraId="3138F4B6">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0.51</w:t>
            </w:r>
            <w:r>
              <w:rPr>
                <w:rFonts w:hint="eastAsia" w:ascii="Times New Roman" w:hAnsi="Times New Roman" w:cs="Times New Roman"/>
                <w:color w:val="000000" w:themeColor="text1"/>
                <w14:textFill>
                  <w14:solidFill>
                    <w14:schemeClr w14:val="tx1"/>
                  </w14:solidFill>
                </w14:textFill>
              </w:rPr>
              <w:t>kg</w:t>
            </w:r>
          </w:p>
        </w:tc>
      </w:tr>
      <w:tr w14:paraId="1903F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Merge w:val="continue"/>
            <w:noWrap w:val="0"/>
            <w:vAlign w:val="center"/>
          </w:tcPr>
          <w:p w14:paraId="5AA82FD2">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691" w:type="pct"/>
            <w:vMerge w:val="continue"/>
            <w:noWrap w:val="0"/>
            <w:vAlign w:val="center"/>
          </w:tcPr>
          <w:p w14:paraId="049B9569">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p>
        </w:tc>
        <w:tc>
          <w:tcPr>
            <w:tcW w:w="1494" w:type="pct"/>
            <w:vMerge w:val="continue"/>
            <w:noWrap w:val="0"/>
            <w:vAlign w:val="center"/>
          </w:tcPr>
          <w:p w14:paraId="25BF965B">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68" w:type="pct"/>
            <w:vMerge w:val="continue"/>
            <w:noWrap w:val="0"/>
            <w:vAlign w:val="center"/>
          </w:tcPr>
          <w:p w14:paraId="440FA763">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497" w:type="pct"/>
            <w:vMerge w:val="continue"/>
            <w:noWrap w:val="0"/>
            <w:vAlign w:val="center"/>
          </w:tcPr>
          <w:p w14:paraId="210575A9">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590" w:type="pct"/>
            <w:noWrap w:val="0"/>
            <w:vAlign w:val="center"/>
          </w:tcPr>
          <w:p w14:paraId="29FDE826">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BOD</w:t>
            </w:r>
            <w:r>
              <w:rPr>
                <w:rFonts w:hint="default" w:ascii="Times New Roman" w:hAnsi="Times New Roman" w:cs="Times New Roman"/>
                <w:color w:val="000000" w:themeColor="text1"/>
                <w:vertAlign w:val="subscript"/>
                <w14:textFill>
                  <w14:solidFill>
                    <w14:schemeClr w14:val="tx1"/>
                  </w14:solidFill>
                </w14:textFill>
              </w:rPr>
              <w:t>5</w:t>
            </w:r>
          </w:p>
        </w:tc>
        <w:tc>
          <w:tcPr>
            <w:tcW w:w="688" w:type="pct"/>
            <w:noWrap w:val="0"/>
            <w:vAlign w:val="center"/>
          </w:tcPr>
          <w:p w14:paraId="2B65E2CD">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0.35</w:t>
            </w:r>
            <w:r>
              <w:rPr>
                <w:rFonts w:hint="eastAsia" w:ascii="Times New Roman" w:hAnsi="Times New Roman" w:cs="Times New Roman"/>
                <w:color w:val="000000" w:themeColor="text1"/>
                <w14:textFill>
                  <w14:solidFill>
                    <w14:schemeClr w14:val="tx1"/>
                  </w14:solidFill>
                </w14:textFill>
              </w:rPr>
              <w:t>kg</w:t>
            </w:r>
          </w:p>
        </w:tc>
      </w:tr>
      <w:tr w14:paraId="0A444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Merge w:val="continue"/>
            <w:noWrap w:val="0"/>
            <w:vAlign w:val="center"/>
          </w:tcPr>
          <w:p w14:paraId="36769424">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691" w:type="pct"/>
            <w:vMerge w:val="continue"/>
            <w:noWrap w:val="0"/>
            <w:vAlign w:val="center"/>
          </w:tcPr>
          <w:p w14:paraId="6A102251">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p>
        </w:tc>
        <w:tc>
          <w:tcPr>
            <w:tcW w:w="1494" w:type="pct"/>
            <w:vMerge w:val="continue"/>
            <w:noWrap w:val="0"/>
            <w:vAlign w:val="center"/>
          </w:tcPr>
          <w:p w14:paraId="04B4E0F6">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68" w:type="pct"/>
            <w:vMerge w:val="continue"/>
            <w:noWrap w:val="0"/>
            <w:vAlign w:val="center"/>
          </w:tcPr>
          <w:p w14:paraId="2A4847CC">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497" w:type="pct"/>
            <w:vMerge w:val="continue"/>
            <w:noWrap w:val="0"/>
            <w:vAlign w:val="center"/>
          </w:tcPr>
          <w:p w14:paraId="0915560E">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590" w:type="pct"/>
            <w:noWrap w:val="0"/>
            <w:vAlign w:val="center"/>
          </w:tcPr>
          <w:p w14:paraId="38F19B5D">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SS</w:t>
            </w:r>
          </w:p>
        </w:tc>
        <w:tc>
          <w:tcPr>
            <w:tcW w:w="688" w:type="pct"/>
            <w:noWrap w:val="0"/>
            <w:vAlign w:val="center"/>
          </w:tcPr>
          <w:p w14:paraId="7079D2A5">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0.56</w:t>
            </w:r>
            <w:r>
              <w:rPr>
                <w:rFonts w:hint="eastAsia" w:ascii="Times New Roman" w:hAnsi="Times New Roman" w:cs="Times New Roman"/>
                <w:color w:val="000000" w:themeColor="text1"/>
                <w14:textFill>
                  <w14:solidFill>
                    <w14:schemeClr w14:val="tx1"/>
                  </w14:solidFill>
                </w14:textFill>
              </w:rPr>
              <w:t>kg</w:t>
            </w:r>
          </w:p>
        </w:tc>
      </w:tr>
      <w:tr w14:paraId="190DD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Merge w:val="continue"/>
            <w:noWrap w:val="0"/>
            <w:vAlign w:val="center"/>
          </w:tcPr>
          <w:p w14:paraId="2611D384">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691" w:type="pct"/>
            <w:vMerge w:val="continue"/>
            <w:noWrap w:val="0"/>
            <w:vAlign w:val="center"/>
          </w:tcPr>
          <w:p w14:paraId="6BA9F7DC">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p>
        </w:tc>
        <w:tc>
          <w:tcPr>
            <w:tcW w:w="1494" w:type="pct"/>
            <w:vMerge w:val="continue"/>
            <w:noWrap w:val="0"/>
            <w:vAlign w:val="center"/>
          </w:tcPr>
          <w:p w14:paraId="73D90976">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68" w:type="pct"/>
            <w:vMerge w:val="continue"/>
            <w:noWrap w:val="0"/>
            <w:vAlign w:val="center"/>
          </w:tcPr>
          <w:p w14:paraId="1DF5389D">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497" w:type="pct"/>
            <w:vMerge w:val="continue"/>
            <w:noWrap w:val="0"/>
            <w:vAlign w:val="center"/>
          </w:tcPr>
          <w:p w14:paraId="3AE2C0BD">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590" w:type="pct"/>
            <w:noWrap w:val="0"/>
            <w:vAlign w:val="center"/>
          </w:tcPr>
          <w:p w14:paraId="5F9D9C79">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N</w:t>
            </w:r>
          </w:p>
        </w:tc>
        <w:tc>
          <w:tcPr>
            <w:tcW w:w="688" w:type="pct"/>
            <w:noWrap w:val="0"/>
            <w:vAlign w:val="center"/>
          </w:tcPr>
          <w:p w14:paraId="4A0938F6">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w:t>
            </w:r>
            <w:r>
              <w:rPr>
                <w:rFonts w:hint="eastAsia" w:ascii="Times New Roman" w:hAnsi="Times New Roman" w:cs="Times New Roman"/>
                <w:color w:val="000000" w:themeColor="text1"/>
                <w14:textFill>
                  <w14:solidFill>
                    <w14:schemeClr w14:val="tx1"/>
                  </w14:solidFill>
                </w14:textFill>
              </w:rPr>
              <w:t>kg</w:t>
            </w:r>
          </w:p>
        </w:tc>
      </w:tr>
      <w:tr w14:paraId="1392D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Merge w:val="continue"/>
            <w:noWrap w:val="0"/>
            <w:vAlign w:val="center"/>
          </w:tcPr>
          <w:p w14:paraId="585B0D6F">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691" w:type="pct"/>
            <w:vMerge w:val="continue"/>
            <w:noWrap w:val="0"/>
            <w:vAlign w:val="center"/>
          </w:tcPr>
          <w:p w14:paraId="5DA81289">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p>
        </w:tc>
        <w:tc>
          <w:tcPr>
            <w:tcW w:w="1494" w:type="pct"/>
            <w:vMerge w:val="continue"/>
            <w:noWrap w:val="0"/>
            <w:vAlign w:val="center"/>
          </w:tcPr>
          <w:p w14:paraId="40E54B00">
            <w:pPr>
              <w:keepNext w:val="0"/>
              <w:keepLines w:val="0"/>
              <w:suppressLineNumbers w:val="0"/>
              <w:autoSpaceDE w:val="0"/>
              <w:autoSpaceDN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c>
          <w:tcPr>
            <w:tcW w:w="668" w:type="pct"/>
            <w:vMerge w:val="continue"/>
            <w:noWrap w:val="0"/>
            <w:vAlign w:val="center"/>
          </w:tcPr>
          <w:p w14:paraId="09150354">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497" w:type="pct"/>
            <w:vMerge w:val="continue"/>
            <w:noWrap w:val="0"/>
            <w:vAlign w:val="center"/>
          </w:tcPr>
          <w:p w14:paraId="3567EB9E">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p>
        </w:tc>
        <w:tc>
          <w:tcPr>
            <w:tcW w:w="590" w:type="pct"/>
            <w:noWrap w:val="0"/>
            <w:vAlign w:val="center"/>
          </w:tcPr>
          <w:p w14:paraId="4288C27D">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动植物油</w:t>
            </w:r>
          </w:p>
        </w:tc>
        <w:tc>
          <w:tcPr>
            <w:tcW w:w="688" w:type="pct"/>
            <w:noWrap w:val="0"/>
            <w:vAlign w:val="center"/>
          </w:tcPr>
          <w:p w14:paraId="53162FE9">
            <w:pPr>
              <w:keepNext w:val="0"/>
              <w:keepLines w:val="0"/>
              <w:suppressLineNumbers w:val="0"/>
              <w:autoSpaceDE w:val="0"/>
              <w:autoSpaceDN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0.06</w:t>
            </w:r>
            <w:r>
              <w:rPr>
                <w:rFonts w:hint="eastAsia" w:ascii="Times New Roman" w:hAnsi="Times New Roman" w:cs="Times New Roman"/>
                <w:color w:val="000000" w:themeColor="text1"/>
                <w14:textFill>
                  <w14:solidFill>
                    <w14:schemeClr w14:val="tx1"/>
                  </w14:solidFill>
                </w14:textFill>
              </w:rPr>
              <w:t>kg</w:t>
            </w:r>
          </w:p>
        </w:tc>
      </w:tr>
    </w:tbl>
    <w:p w14:paraId="30B35ABA">
      <w:pPr>
        <w:pStyle w:val="4"/>
        <w:spacing w:before="60" w:after="60" w:line="480" w:lineRule="exact"/>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6</w:t>
      </w:r>
      <w:r>
        <w:rPr>
          <w:rFonts w:hint="eastAsia"/>
          <w:color w:val="000000" w:themeColor="text1"/>
          <w:kern w:val="2"/>
          <w14:textFill>
            <w14:solidFill>
              <w14:schemeClr w14:val="tx1"/>
            </w14:solidFill>
          </w14:textFill>
        </w:rPr>
        <w:t>闭矿期污染源分析</w:t>
      </w:r>
      <w:bookmarkEnd w:id="316"/>
    </w:p>
    <w:p w14:paraId="05291B6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本项目</w:t>
      </w:r>
      <w:r>
        <w:rPr>
          <w:rFonts w:hint="default" w:ascii="Times New Roman" w:hAnsi="Times New Roman" w:cs="Times New Roman"/>
          <w:color w:val="000000" w:themeColor="text1"/>
          <w:sz w:val="24"/>
          <w:szCs w:val="24"/>
          <w14:textFill>
            <w14:solidFill>
              <w14:schemeClr w14:val="tx1"/>
            </w14:solidFill>
          </w14:textFill>
        </w:rPr>
        <w:t>矿山服务期满后，实施工程内容主要是对地面建构筑物进行拆除、封闭平硐，清理遗留固体废物，并对工程迹地实施生态恢复治理。根据工程施工期和开采期污染源强及污染防治措施分析可知，施工期和开采期各类污染物均可得到有效处置，不会遗留至服务期满。鉴于此，本矿山服务期满后工程实施过程中产生</w:t>
      </w:r>
      <w:r>
        <w:rPr>
          <w:rFonts w:hint="eastAsia" w:cs="Times New Roman"/>
          <w:color w:val="000000" w:themeColor="text1"/>
          <w:sz w:val="24"/>
          <w:szCs w:val="24"/>
          <w:lang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污染物主要为建构筑物拆除产生的建筑垃圾、工程施工过程中施工扬尘和施工噪声。</w:t>
      </w:r>
    </w:p>
    <w:p w14:paraId="671244B7">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6</w:t>
      </w:r>
      <w:r>
        <w:rPr>
          <w:rFonts w:hint="eastAsia" w:ascii="Times New Roman" w:hAnsi="Times New Roman"/>
          <w:bCs w:val="0"/>
          <w:color w:val="000000" w:themeColor="text1"/>
          <w:kern w:val="2"/>
          <w:szCs w:val="24"/>
          <w14:textFill>
            <w14:solidFill>
              <w14:schemeClr w14:val="tx1"/>
            </w14:solidFill>
          </w14:textFill>
        </w:rPr>
        <w:t>.1大气污染物</w:t>
      </w:r>
    </w:p>
    <w:p w14:paraId="3B2EE6B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（1）施工扬尘</w:t>
      </w:r>
    </w:p>
    <w:p w14:paraId="6AFE77F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矿山服务期满后，在建构筑物拆除过程中将产生施工扬尘，该扬尘产生浓度及产生量与被拆除建构筑物结构形式、拆除过程中的气候条件、拆除作业方式等有关。通过采取洒水降尘、拆除建筑垃圾及时清运、禁止有风天气开展施工作业等形式，可有效降低服务期满后工程施工造成的扬尘影响。</w:t>
      </w:r>
    </w:p>
    <w:p w14:paraId="2776D0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（2）施工机械尾气</w:t>
      </w:r>
    </w:p>
    <w:p w14:paraId="332683E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矿山服务期满后，建构筑物拆除过程中使用工程机械主要为装载机、挖掘机、运输汽车等，其运行过程中将排放燃油机械尾气，主要污染物为CO、NOx、THC等。</w:t>
      </w:r>
    </w:p>
    <w:p w14:paraId="4EA6E6CB">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6</w:t>
      </w:r>
      <w:r>
        <w:rPr>
          <w:rFonts w:hint="eastAsia" w:ascii="Times New Roman" w:hAnsi="Times New Roman"/>
          <w:bCs w:val="0"/>
          <w:color w:val="000000" w:themeColor="text1"/>
          <w:kern w:val="2"/>
          <w:szCs w:val="24"/>
          <w14:textFill>
            <w14:solidFill>
              <w14:schemeClr w14:val="tx1"/>
            </w14:solidFill>
          </w14:textFill>
        </w:rPr>
        <w:t>.2噪声污染</w:t>
      </w:r>
    </w:p>
    <w:p w14:paraId="6681B2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矿山服务期满后，建构筑物拆除过程中产生噪声源主要来自装载机、挖掘机、运输汽车等工程机械，其声级强度在70～90dB(A)之间。施工机械均为间歇运行，噪声持续时间较短，随着施工活动的结束，闭矿期施工机械噪声影响也将随即消失。</w:t>
      </w:r>
    </w:p>
    <w:p w14:paraId="0948447A">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6</w:t>
      </w:r>
      <w:r>
        <w:rPr>
          <w:rFonts w:hint="eastAsia" w:ascii="Times New Roman" w:hAnsi="Times New Roman"/>
          <w:bCs w:val="0"/>
          <w:color w:val="000000" w:themeColor="text1"/>
          <w:kern w:val="2"/>
          <w:szCs w:val="24"/>
          <w14:textFill>
            <w14:solidFill>
              <w14:schemeClr w14:val="tx1"/>
            </w14:solidFill>
          </w14:textFill>
        </w:rPr>
        <w:t>.3固体废物</w:t>
      </w:r>
    </w:p>
    <w:p w14:paraId="12008C6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矿山服务期满后，需对地面生产生活设施进行拆除，</w:t>
      </w:r>
      <w:r>
        <w:rPr>
          <w:rFonts w:hint="eastAsia" w:cs="Times New Roman"/>
          <w:color w:val="000000" w:themeColor="text1"/>
          <w:sz w:val="24"/>
          <w:szCs w:val="24"/>
          <w:lang w:val="en-US" w:eastAsia="zh-CN"/>
          <w14:textFill>
            <w14:solidFill>
              <w14:schemeClr w14:val="tx1"/>
            </w14:solidFill>
          </w14:textFill>
        </w:rPr>
        <w:t>将</w:t>
      </w:r>
      <w:r>
        <w:rPr>
          <w:rFonts w:hint="eastAsia" w:ascii="Times New Roman" w:hAnsi="Times New Roman" w:eastAsia="宋体" w:cs="Times New Roman"/>
          <w:color w:val="000000" w:themeColor="text1"/>
          <w:sz w:val="24"/>
          <w:szCs w:val="24"/>
          <w:lang w:eastAsia="zh-CN"/>
          <w14:textFill>
            <w14:solidFill>
              <w14:schemeClr w14:val="tx1"/>
            </w14:solidFill>
          </w14:textFill>
        </w:rPr>
        <w:t>产生的</w:t>
      </w:r>
      <w:r>
        <w:rPr>
          <w:rFonts w:hint="eastAsia" w:ascii="Times New Roman" w:hAnsi="Times New Roman" w:eastAsia="宋体" w:cs="Times New Roman"/>
          <w:color w:val="000000" w:themeColor="text1"/>
          <w:sz w:val="24"/>
          <w:szCs w:val="24"/>
          <w14:textFill>
            <w14:solidFill>
              <w14:schemeClr w14:val="tx1"/>
            </w14:solidFill>
          </w14:textFill>
        </w:rPr>
        <w:t>建筑垃圾运至当地</w:t>
      </w:r>
      <w:r>
        <w:rPr>
          <w:rFonts w:hint="eastAsia" w:cs="Times New Roman"/>
          <w:color w:val="000000" w:themeColor="text1"/>
          <w:sz w:val="24"/>
          <w:szCs w:val="24"/>
          <w:lang w:val="en-US" w:eastAsia="zh-CN"/>
          <w14:textFill>
            <w14:solidFill>
              <w14:schemeClr w14:val="tx1"/>
            </w14:solidFill>
          </w14:textFill>
        </w:rPr>
        <w:t>环卫部门</w:t>
      </w:r>
      <w:r>
        <w:rPr>
          <w:rFonts w:hint="eastAsia" w:ascii="Times New Roman" w:hAnsi="Times New Roman" w:eastAsia="宋体" w:cs="Times New Roman"/>
          <w:color w:val="000000" w:themeColor="text1"/>
          <w:sz w:val="24"/>
          <w:szCs w:val="24"/>
          <w14:textFill>
            <w14:solidFill>
              <w14:schemeClr w14:val="tx1"/>
            </w14:solidFill>
          </w14:textFill>
        </w:rPr>
        <w:t>指定</w:t>
      </w:r>
      <w:r>
        <w:rPr>
          <w:rFonts w:hint="eastAsia" w:cs="Times New Roman"/>
          <w:color w:val="000000" w:themeColor="text1"/>
          <w:sz w:val="24"/>
          <w:szCs w:val="24"/>
          <w:lang w:val="en-US" w:eastAsia="zh-CN"/>
          <w14:textFill>
            <w14:solidFill>
              <w14:schemeClr w14:val="tx1"/>
            </w14:solidFill>
          </w14:textFill>
        </w:rPr>
        <w:t>场所</w:t>
      </w:r>
      <w:r>
        <w:rPr>
          <w:rFonts w:hint="eastAsia" w:ascii="Times New Roman" w:hAnsi="Times New Roman" w:eastAsia="宋体" w:cs="Times New Roman"/>
          <w:color w:val="000000" w:themeColor="text1"/>
          <w:sz w:val="24"/>
          <w:szCs w:val="24"/>
          <w14:textFill>
            <w14:solidFill>
              <w14:schemeClr w14:val="tx1"/>
            </w14:solidFill>
          </w14:textFill>
        </w:rPr>
        <w:t>处置。</w:t>
      </w:r>
    </w:p>
    <w:p w14:paraId="56AC4F3C">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6</w:t>
      </w:r>
      <w:r>
        <w:rPr>
          <w:rFonts w:hint="eastAsia" w:ascii="Times New Roman" w:hAnsi="Times New Roman"/>
          <w:bCs w:val="0"/>
          <w:color w:val="000000" w:themeColor="text1"/>
          <w:kern w:val="2"/>
          <w:szCs w:val="24"/>
          <w14:textFill>
            <w14:solidFill>
              <w14:schemeClr w14:val="tx1"/>
            </w14:solidFill>
          </w14:textFill>
        </w:rPr>
        <w:t>.4生态影响</w:t>
      </w:r>
    </w:p>
    <w:p w14:paraId="129BBE3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矿山服务期满后，建设单位对地面建构筑物进行拆除、封闭井口，同时对工程迹地进行生态恢复。此外，由于采空区沉陷的滞后效应，在矿山闭矿后的一段时间内仍会出现地表沉陷，此段时间内主要是沉陷对地表植被、土地的破坏，加剧区域水土流失，直到最终形成稳定的沉陷区为止，按照本环评及矿山恢复治理方案中提出的治理措施，并按计划逐步实施，可降低该时段沉陷生态环境影响，再通过后续的工程、绿化相接的水土保持治理，可在短期内恢复到原有生态质量水平。</w:t>
      </w:r>
    </w:p>
    <w:p w14:paraId="6B525E10">
      <w:pPr>
        <w:pStyle w:val="4"/>
        <w:spacing w:before="60" w:after="60" w:line="480" w:lineRule="exact"/>
        <w:rPr>
          <w:color w:val="000000" w:themeColor="text1"/>
          <w:kern w:val="2"/>
          <w14:textFill>
            <w14:solidFill>
              <w14:schemeClr w14:val="tx1"/>
            </w14:solidFill>
          </w14:textFill>
        </w:rPr>
      </w:pPr>
      <w:bookmarkStart w:id="317" w:name="_Toc12074"/>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7</w:t>
      </w:r>
      <w:r>
        <w:rPr>
          <w:rFonts w:hint="eastAsia"/>
          <w:color w:val="000000" w:themeColor="text1"/>
          <w:kern w:val="2"/>
          <w14:textFill>
            <w14:solidFill>
              <w14:schemeClr w14:val="tx1"/>
            </w14:solidFill>
          </w14:textFill>
        </w:rPr>
        <w:t>污染物排放情况汇总</w:t>
      </w:r>
      <w:bookmarkEnd w:id="317"/>
    </w:p>
    <w:p w14:paraId="51E90911">
      <w:pPr>
        <w:pStyle w:val="18"/>
        <w:spacing w:line="480" w:lineRule="exact"/>
        <w:ind w:firstLine="48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本</w:t>
      </w:r>
      <w:r>
        <w:rPr>
          <w:rFonts w:hint="eastAsia"/>
          <w:color w:val="000000" w:themeColor="text1"/>
          <w:sz w:val="24"/>
          <w:szCs w:val="28"/>
          <w14:textFill>
            <w14:solidFill>
              <w14:schemeClr w14:val="tx1"/>
            </w14:solidFill>
          </w14:textFill>
        </w:rPr>
        <w:t>项目主要</w:t>
      </w:r>
      <w:r>
        <w:rPr>
          <w:color w:val="000000" w:themeColor="text1"/>
          <w:sz w:val="24"/>
          <w:szCs w:val="28"/>
          <w14:textFill>
            <w14:solidFill>
              <w14:schemeClr w14:val="tx1"/>
            </w14:solidFill>
          </w14:textFill>
        </w:rPr>
        <w:t>污染物排放情况汇总见表3.3-15。</w:t>
      </w:r>
    </w:p>
    <w:p w14:paraId="7EBFE00A">
      <w:pPr>
        <w:pStyle w:val="18"/>
        <w:spacing w:line="480" w:lineRule="exact"/>
        <w:ind w:firstLine="0" w:firstLineChars="0"/>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表3.3-15</w:t>
      </w:r>
      <w:r>
        <w:rPr>
          <w:rFonts w:hint="eastAsia"/>
          <w:b/>
          <w:bCs/>
          <w:color w:val="000000" w:themeColor="text1"/>
          <w:sz w:val="24"/>
          <w:szCs w:val="28"/>
          <w14:textFill>
            <w14:solidFill>
              <w14:schemeClr w14:val="tx1"/>
            </w14:solidFill>
          </w14:textFill>
        </w:rPr>
        <w:t xml:space="preserve">    </w:t>
      </w:r>
      <w:r>
        <w:rPr>
          <w:b/>
          <w:bCs/>
          <w:color w:val="000000" w:themeColor="text1"/>
          <w:sz w:val="24"/>
          <w:szCs w:val="28"/>
          <w14:textFill>
            <w14:solidFill>
              <w14:schemeClr w14:val="tx1"/>
            </w14:solidFill>
          </w14:textFill>
        </w:rPr>
        <w:t>本</w:t>
      </w:r>
      <w:r>
        <w:rPr>
          <w:rFonts w:hint="eastAsia"/>
          <w:b/>
          <w:bCs/>
          <w:color w:val="000000" w:themeColor="text1"/>
          <w:sz w:val="24"/>
          <w:szCs w:val="28"/>
          <w14:textFill>
            <w14:solidFill>
              <w14:schemeClr w14:val="tx1"/>
            </w14:solidFill>
          </w14:textFill>
        </w:rPr>
        <w:t>项目主要</w:t>
      </w:r>
      <w:r>
        <w:rPr>
          <w:b/>
          <w:bCs/>
          <w:color w:val="000000" w:themeColor="text1"/>
          <w:sz w:val="24"/>
          <w:szCs w:val="28"/>
          <w14:textFill>
            <w14:solidFill>
              <w14:schemeClr w14:val="tx1"/>
            </w14:solidFill>
          </w14:textFill>
        </w:rPr>
        <w:t>污染物排放情况汇总表</w:t>
      </w:r>
    </w:p>
    <w:tbl>
      <w:tblPr>
        <w:tblStyle w:val="79"/>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492"/>
        <w:gridCol w:w="1933"/>
        <w:gridCol w:w="1733"/>
        <w:gridCol w:w="1487"/>
        <w:gridCol w:w="1393"/>
        <w:gridCol w:w="1295"/>
      </w:tblGrid>
      <w:tr w14:paraId="2CBEA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tblHeader/>
          <w:jc w:val="center"/>
        </w:trPr>
        <w:tc>
          <w:tcPr>
            <w:tcW w:w="295" w:type="pct"/>
            <w:tcBorders>
              <w:right w:val="single" w:color="auto" w:sz="4" w:space="0"/>
            </w:tcBorders>
            <w:noWrap w:val="0"/>
            <w:vAlign w:val="center"/>
          </w:tcPr>
          <w:p w14:paraId="3B1E8F69">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要素</w:t>
            </w:r>
          </w:p>
        </w:tc>
        <w:tc>
          <w:tcPr>
            <w:tcW w:w="1160" w:type="pct"/>
            <w:tcBorders>
              <w:left w:val="single" w:color="auto" w:sz="4" w:space="0"/>
            </w:tcBorders>
            <w:noWrap w:val="0"/>
            <w:vAlign w:val="center"/>
          </w:tcPr>
          <w:p w14:paraId="1C8109BA">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污染源</w:t>
            </w:r>
          </w:p>
        </w:tc>
        <w:tc>
          <w:tcPr>
            <w:tcW w:w="1040" w:type="pct"/>
            <w:noWrap w:val="0"/>
            <w:vAlign w:val="center"/>
          </w:tcPr>
          <w:p w14:paraId="30AC49DD">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污染物名称</w:t>
            </w:r>
          </w:p>
        </w:tc>
        <w:tc>
          <w:tcPr>
            <w:tcW w:w="892" w:type="pct"/>
            <w:noWrap w:val="0"/>
            <w:vAlign w:val="center"/>
          </w:tcPr>
          <w:p w14:paraId="307C8BF0">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项目产生量</w:t>
            </w:r>
          </w:p>
        </w:tc>
        <w:tc>
          <w:tcPr>
            <w:tcW w:w="836" w:type="pct"/>
            <w:noWrap w:val="0"/>
            <w:vAlign w:val="center"/>
          </w:tcPr>
          <w:p w14:paraId="2C321D55">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项目削减量</w:t>
            </w:r>
          </w:p>
        </w:tc>
        <w:tc>
          <w:tcPr>
            <w:tcW w:w="777" w:type="pct"/>
            <w:noWrap w:val="0"/>
            <w:vAlign w:val="center"/>
          </w:tcPr>
          <w:p w14:paraId="5A7DECAB">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项目排放量</w:t>
            </w:r>
          </w:p>
        </w:tc>
      </w:tr>
      <w:tr w14:paraId="74F465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restart"/>
            <w:tcBorders>
              <w:right w:val="single" w:color="auto" w:sz="4" w:space="0"/>
            </w:tcBorders>
            <w:noWrap w:val="0"/>
            <w:vAlign w:val="center"/>
          </w:tcPr>
          <w:p w14:paraId="47613981">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大气污染物</w:t>
            </w:r>
          </w:p>
        </w:tc>
        <w:tc>
          <w:tcPr>
            <w:tcW w:w="1160" w:type="pct"/>
            <w:vMerge w:val="restart"/>
            <w:tcBorders>
              <w:left w:val="single" w:color="auto" w:sz="4" w:space="0"/>
            </w:tcBorders>
            <w:noWrap w:val="0"/>
            <w:vAlign w:val="center"/>
          </w:tcPr>
          <w:p w14:paraId="14C5C9FE">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爆破废气</w:t>
            </w:r>
          </w:p>
        </w:tc>
        <w:tc>
          <w:tcPr>
            <w:tcW w:w="1040" w:type="pct"/>
            <w:noWrap w:val="0"/>
            <w:vAlign w:val="center"/>
          </w:tcPr>
          <w:p w14:paraId="325B3DE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892" w:type="pct"/>
            <w:noWrap w:val="0"/>
            <w:vAlign w:val="center"/>
          </w:tcPr>
          <w:p w14:paraId="6153119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4.26</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3876206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3.408</w:t>
            </w:r>
            <w:r>
              <w:rPr>
                <w:rFonts w:hint="eastAsia" w:ascii="Times New Roman" w:hAnsi="Times New Roman" w:cs="Times New Roman"/>
                <w:bCs/>
                <w:color w:val="000000" w:themeColor="text1"/>
                <w14:textFill>
                  <w14:solidFill>
                    <w14:schemeClr w14:val="tx1"/>
                  </w14:solidFill>
                </w14:textFill>
              </w:rPr>
              <w:t>t/a</w:t>
            </w:r>
          </w:p>
        </w:tc>
        <w:tc>
          <w:tcPr>
            <w:tcW w:w="777" w:type="pct"/>
            <w:noWrap w:val="0"/>
            <w:vAlign w:val="center"/>
          </w:tcPr>
          <w:p w14:paraId="2EFDD0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0.852</w:t>
            </w:r>
            <w:r>
              <w:rPr>
                <w:rFonts w:hint="eastAsia" w:ascii="Times New Roman" w:hAnsi="Times New Roman" w:cs="Times New Roman"/>
                <w:bCs/>
                <w:color w:val="000000" w:themeColor="text1"/>
                <w14:textFill>
                  <w14:solidFill>
                    <w14:schemeClr w14:val="tx1"/>
                  </w14:solidFill>
                </w14:textFill>
              </w:rPr>
              <w:t>t/a</w:t>
            </w:r>
          </w:p>
        </w:tc>
      </w:tr>
      <w:tr w14:paraId="06989C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51754DB1">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vMerge w:val="continue"/>
            <w:tcBorders>
              <w:left w:val="single" w:color="auto" w:sz="4" w:space="0"/>
            </w:tcBorders>
            <w:noWrap w:val="0"/>
            <w:vAlign w:val="center"/>
          </w:tcPr>
          <w:p w14:paraId="2F78AEF7">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40" w:type="pct"/>
            <w:noWrap w:val="0"/>
            <w:vAlign w:val="center"/>
          </w:tcPr>
          <w:p w14:paraId="70EA602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CO</w:t>
            </w:r>
          </w:p>
        </w:tc>
        <w:tc>
          <w:tcPr>
            <w:tcW w:w="892" w:type="pct"/>
            <w:noWrap w:val="0"/>
            <w:vAlign w:val="center"/>
          </w:tcPr>
          <w:p w14:paraId="0E1167E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1.512</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0641692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0</w:t>
            </w:r>
          </w:p>
        </w:tc>
        <w:tc>
          <w:tcPr>
            <w:tcW w:w="777" w:type="pct"/>
            <w:noWrap w:val="0"/>
            <w:vAlign w:val="center"/>
          </w:tcPr>
          <w:p w14:paraId="1D19883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1.512</w:t>
            </w:r>
            <w:r>
              <w:rPr>
                <w:rFonts w:hint="eastAsia" w:ascii="Times New Roman" w:hAnsi="Times New Roman" w:cs="Times New Roman"/>
                <w:bCs/>
                <w:color w:val="000000" w:themeColor="text1"/>
                <w14:textFill>
                  <w14:solidFill>
                    <w14:schemeClr w14:val="tx1"/>
                  </w14:solidFill>
                </w14:textFill>
              </w:rPr>
              <w:t>t/a</w:t>
            </w:r>
          </w:p>
        </w:tc>
      </w:tr>
      <w:tr w14:paraId="03331E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74586B21">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vMerge w:val="continue"/>
            <w:tcBorders>
              <w:left w:val="single" w:color="auto" w:sz="4" w:space="0"/>
            </w:tcBorders>
            <w:noWrap w:val="0"/>
            <w:vAlign w:val="center"/>
          </w:tcPr>
          <w:p w14:paraId="24F1A6D9">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40" w:type="pct"/>
            <w:noWrap w:val="0"/>
            <w:vAlign w:val="center"/>
          </w:tcPr>
          <w:p w14:paraId="5DD9AD7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NOx</w:t>
            </w:r>
          </w:p>
        </w:tc>
        <w:tc>
          <w:tcPr>
            <w:tcW w:w="892" w:type="pct"/>
            <w:noWrap w:val="0"/>
            <w:vAlign w:val="center"/>
          </w:tcPr>
          <w:p w14:paraId="25EF79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3.504</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486835F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0</w:t>
            </w:r>
          </w:p>
        </w:tc>
        <w:tc>
          <w:tcPr>
            <w:tcW w:w="777" w:type="pct"/>
            <w:noWrap w:val="0"/>
            <w:vAlign w:val="center"/>
          </w:tcPr>
          <w:p w14:paraId="0F3094F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3.504</w:t>
            </w:r>
            <w:r>
              <w:rPr>
                <w:rFonts w:hint="eastAsia" w:ascii="Times New Roman" w:hAnsi="Times New Roman" w:cs="Times New Roman"/>
                <w:bCs/>
                <w:color w:val="000000" w:themeColor="text1"/>
                <w14:textFill>
                  <w14:solidFill>
                    <w14:schemeClr w14:val="tx1"/>
                  </w14:solidFill>
                </w14:textFill>
              </w:rPr>
              <w:t>t/a</w:t>
            </w:r>
          </w:p>
        </w:tc>
      </w:tr>
      <w:tr w14:paraId="7096C3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099568F5">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tcBorders>
              <w:left w:val="single" w:color="auto" w:sz="4" w:space="0"/>
            </w:tcBorders>
            <w:noWrap w:val="0"/>
            <w:vAlign w:val="center"/>
          </w:tcPr>
          <w:p w14:paraId="58938DB6">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井下装载、运输粉尘</w:t>
            </w:r>
          </w:p>
        </w:tc>
        <w:tc>
          <w:tcPr>
            <w:tcW w:w="1040" w:type="pct"/>
            <w:noWrap w:val="0"/>
            <w:vAlign w:val="center"/>
          </w:tcPr>
          <w:p w14:paraId="566C152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892" w:type="pct"/>
            <w:noWrap w:val="0"/>
            <w:vAlign w:val="center"/>
          </w:tcPr>
          <w:p w14:paraId="587C01A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少量</w:t>
            </w:r>
          </w:p>
        </w:tc>
        <w:tc>
          <w:tcPr>
            <w:tcW w:w="836" w:type="pct"/>
            <w:noWrap w:val="0"/>
            <w:vAlign w:val="center"/>
          </w:tcPr>
          <w:p w14:paraId="1609A79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少量</w:t>
            </w:r>
          </w:p>
        </w:tc>
        <w:tc>
          <w:tcPr>
            <w:tcW w:w="777" w:type="pct"/>
            <w:noWrap w:val="0"/>
            <w:vAlign w:val="center"/>
          </w:tcPr>
          <w:p w14:paraId="2A9BF7D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少量</w:t>
            </w:r>
          </w:p>
        </w:tc>
      </w:tr>
      <w:tr w14:paraId="149D04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283" w:hRule="atLeast"/>
          <w:jc w:val="center"/>
        </w:trPr>
        <w:tc>
          <w:tcPr>
            <w:tcW w:w="295" w:type="pct"/>
            <w:vMerge w:val="continue"/>
            <w:tcBorders>
              <w:right w:val="single" w:color="auto" w:sz="4" w:space="0"/>
            </w:tcBorders>
            <w:noWrap w:val="0"/>
            <w:vAlign w:val="center"/>
          </w:tcPr>
          <w:p w14:paraId="62D1271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p>
        </w:tc>
        <w:tc>
          <w:tcPr>
            <w:tcW w:w="1160" w:type="pct"/>
            <w:tcBorders>
              <w:left w:val="single" w:color="auto" w:sz="4" w:space="0"/>
            </w:tcBorders>
            <w:noWrap w:val="0"/>
            <w:vAlign w:val="center"/>
          </w:tcPr>
          <w:p w14:paraId="794A7420">
            <w:pPr>
              <w:pStyle w:val="475"/>
              <w:keepNext w:val="0"/>
              <w:keepLines w:val="0"/>
              <w:suppressLineNumbers w:val="0"/>
              <w:spacing w:before="0" w:beforeLines="0" w:beforeAutospacing="0" w:after="0" w:afterLines="0" w:afterAutospacing="0" w:line="360" w:lineRule="exact"/>
              <w:ind w:left="0" w:right="0" w:firstLine="0" w:firstLineChars="0"/>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废石堆场扬尘</w:t>
            </w:r>
          </w:p>
        </w:tc>
        <w:tc>
          <w:tcPr>
            <w:tcW w:w="1040" w:type="pct"/>
            <w:noWrap w:val="0"/>
            <w:vAlign w:val="center"/>
          </w:tcPr>
          <w:p w14:paraId="0BC4D3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892" w:type="pct"/>
            <w:noWrap w:val="0"/>
            <w:vAlign w:val="center"/>
          </w:tcPr>
          <w:p w14:paraId="203FCD4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18.29</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00416FB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14.632</w:t>
            </w:r>
            <w:r>
              <w:rPr>
                <w:rFonts w:hint="eastAsia" w:ascii="Times New Roman" w:hAnsi="Times New Roman" w:cs="Times New Roman"/>
                <w:bCs/>
                <w:color w:val="000000" w:themeColor="text1"/>
                <w14:textFill>
                  <w14:solidFill>
                    <w14:schemeClr w14:val="tx1"/>
                  </w14:solidFill>
                </w14:textFill>
              </w:rPr>
              <w:t>t/a</w:t>
            </w:r>
          </w:p>
        </w:tc>
        <w:tc>
          <w:tcPr>
            <w:tcW w:w="777" w:type="pct"/>
            <w:noWrap w:val="0"/>
            <w:vAlign w:val="center"/>
          </w:tcPr>
          <w:p w14:paraId="5247ED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3.6</w:t>
            </w:r>
            <w:r>
              <w:rPr>
                <w:rFonts w:hint="eastAsia" w:cs="Times New Roman"/>
                <w:bCs/>
                <w:color w:val="000000" w:themeColor="text1"/>
                <w:lang w:val="en-US" w:eastAsia="zh-CN"/>
                <w14:textFill>
                  <w14:solidFill>
                    <w14:schemeClr w14:val="tx1"/>
                  </w14:solidFill>
                </w14:textFill>
              </w:rPr>
              <w:t>58</w:t>
            </w:r>
            <w:r>
              <w:rPr>
                <w:rFonts w:hint="eastAsia" w:ascii="Times New Roman" w:hAnsi="Times New Roman" w:cs="Times New Roman"/>
                <w:bCs/>
                <w:color w:val="000000" w:themeColor="text1"/>
                <w14:textFill>
                  <w14:solidFill>
                    <w14:schemeClr w14:val="tx1"/>
                  </w14:solidFill>
                </w14:textFill>
              </w:rPr>
              <w:t>t/a</w:t>
            </w:r>
          </w:p>
        </w:tc>
      </w:tr>
      <w:tr w14:paraId="0D163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3D12DDE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p>
        </w:tc>
        <w:tc>
          <w:tcPr>
            <w:tcW w:w="1160" w:type="pct"/>
            <w:tcBorders>
              <w:left w:val="single" w:color="auto" w:sz="4" w:space="0"/>
            </w:tcBorders>
            <w:noWrap w:val="0"/>
            <w:vAlign w:val="center"/>
          </w:tcPr>
          <w:p w14:paraId="48AF0065">
            <w:pPr>
              <w:pStyle w:val="475"/>
              <w:keepNext w:val="0"/>
              <w:keepLines w:val="0"/>
              <w:suppressLineNumbers w:val="0"/>
              <w:spacing w:before="0" w:beforeLines="0" w:beforeAutospacing="0" w:after="0" w:afterLines="0" w:afterAutospacing="0" w:line="360" w:lineRule="exact"/>
              <w:ind w:left="0" w:right="0" w:firstLine="0" w:firstLineChars="0"/>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道路运输扬尘</w:t>
            </w:r>
          </w:p>
        </w:tc>
        <w:tc>
          <w:tcPr>
            <w:tcW w:w="1040" w:type="pct"/>
            <w:noWrap w:val="0"/>
            <w:vAlign w:val="center"/>
          </w:tcPr>
          <w:p w14:paraId="71BF991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892" w:type="pct"/>
            <w:noWrap w:val="0"/>
            <w:vAlign w:val="center"/>
          </w:tcPr>
          <w:p w14:paraId="3B867C1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40.97</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5D1C4E5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32.78</w:t>
            </w:r>
            <w:r>
              <w:rPr>
                <w:rFonts w:hint="eastAsia" w:ascii="Times New Roman" w:hAnsi="Times New Roman" w:cs="Times New Roman"/>
                <w:bCs/>
                <w:color w:val="000000" w:themeColor="text1"/>
                <w14:textFill>
                  <w14:solidFill>
                    <w14:schemeClr w14:val="tx1"/>
                  </w14:solidFill>
                </w14:textFill>
              </w:rPr>
              <w:t>t/a</w:t>
            </w:r>
          </w:p>
        </w:tc>
        <w:tc>
          <w:tcPr>
            <w:tcW w:w="777" w:type="pct"/>
            <w:noWrap w:val="0"/>
            <w:vAlign w:val="center"/>
          </w:tcPr>
          <w:p w14:paraId="3ECE1DD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8.19</w:t>
            </w:r>
            <w:r>
              <w:rPr>
                <w:rFonts w:hint="eastAsia" w:ascii="Times New Roman" w:hAnsi="Times New Roman" w:cs="Times New Roman"/>
                <w:bCs/>
                <w:color w:val="000000" w:themeColor="text1"/>
                <w14:textFill>
                  <w14:solidFill>
                    <w14:schemeClr w14:val="tx1"/>
                  </w14:solidFill>
                </w14:textFill>
              </w:rPr>
              <w:t>t/a</w:t>
            </w:r>
          </w:p>
        </w:tc>
      </w:tr>
      <w:tr w14:paraId="435D2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39930586">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color w:val="000000" w:themeColor="text1"/>
                <w:kern w:val="2"/>
                <w:sz w:val="21"/>
                <w:szCs w:val="21"/>
                <w:lang w:val="zh-CN" w:bidi="zh-CN"/>
                <w14:textFill>
                  <w14:solidFill>
                    <w14:schemeClr w14:val="tx1"/>
                  </w14:solidFill>
                </w14:textFill>
              </w:rPr>
            </w:pPr>
          </w:p>
        </w:tc>
        <w:tc>
          <w:tcPr>
            <w:tcW w:w="1160" w:type="pct"/>
            <w:vMerge w:val="restart"/>
            <w:tcBorders>
              <w:left w:val="single" w:color="auto" w:sz="4" w:space="0"/>
            </w:tcBorders>
            <w:noWrap w:val="0"/>
            <w:vAlign w:val="center"/>
          </w:tcPr>
          <w:p w14:paraId="6F74C285">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柴油燃烧废气</w:t>
            </w:r>
          </w:p>
        </w:tc>
        <w:tc>
          <w:tcPr>
            <w:tcW w:w="1040" w:type="pct"/>
            <w:noWrap w:val="0"/>
            <w:vAlign w:val="center"/>
          </w:tcPr>
          <w:p w14:paraId="00874E2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892" w:type="pct"/>
            <w:noWrap w:val="0"/>
            <w:vAlign w:val="center"/>
          </w:tcPr>
          <w:p w14:paraId="397C52E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702D7B6A">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kern w:val="2"/>
                <w:sz w:val="21"/>
                <w:szCs w:val="21"/>
                <w:lang w:bidi="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bidi="zh-CN"/>
                <w14:textFill>
                  <w14:solidFill>
                    <w14:schemeClr w14:val="tx1"/>
                  </w14:solidFill>
                </w14:textFill>
              </w:rPr>
              <w:t>0</w:t>
            </w:r>
          </w:p>
        </w:tc>
        <w:tc>
          <w:tcPr>
            <w:tcW w:w="777" w:type="pct"/>
            <w:noWrap w:val="0"/>
            <w:vAlign w:val="center"/>
          </w:tcPr>
          <w:p w14:paraId="063CB5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5.60</w:t>
            </w:r>
            <w:r>
              <w:rPr>
                <w:rFonts w:hint="eastAsia" w:ascii="Times New Roman" w:hAnsi="Times New Roman" w:cs="Times New Roman"/>
                <w:bCs/>
                <w:color w:val="000000" w:themeColor="text1"/>
                <w14:textFill>
                  <w14:solidFill>
                    <w14:schemeClr w14:val="tx1"/>
                  </w14:solidFill>
                </w14:textFill>
              </w:rPr>
              <w:t>t/a</w:t>
            </w:r>
          </w:p>
        </w:tc>
      </w:tr>
      <w:tr w14:paraId="29186E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4CACAF9A">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color w:val="000000" w:themeColor="text1"/>
                <w:kern w:val="2"/>
                <w:sz w:val="21"/>
                <w:szCs w:val="21"/>
                <w:lang w:val="zh-CN" w:bidi="zh-CN"/>
                <w14:textFill>
                  <w14:solidFill>
                    <w14:schemeClr w14:val="tx1"/>
                  </w14:solidFill>
                </w14:textFill>
              </w:rPr>
            </w:pPr>
          </w:p>
        </w:tc>
        <w:tc>
          <w:tcPr>
            <w:tcW w:w="1160" w:type="pct"/>
            <w:vMerge w:val="continue"/>
            <w:tcBorders>
              <w:left w:val="single" w:color="auto" w:sz="4" w:space="0"/>
            </w:tcBorders>
            <w:noWrap w:val="0"/>
            <w:vAlign w:val="center"/>
          </w:tcPr>
          <w:p w14:paraId="3C8BE1F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Cs/>
                <w:color w:val="000000" w:themeColor="text1"/>
                <w14:textFill>
                  <w14:solidFill>
                    <w14:schemeClr w14:val="tx1"/>
                  </w14:solidFill>
                </w14:textFill>
              </w:rPr>
            </w:pPr>
          </w:p>
        </w:tc>
        <w:tc>
          <w:tcPr>
            <w:tcW w:w="1040" w:type="pct"/>
            <w:noWrap w:val="0"/>
            <w:vAlign w:val="center"/>
          </w:tcPr>
          <w:p w14:paraId="355EB5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X</w:t>
            </w:r>
          </w:p>
        </w:tc>
        <w:tc>
          <w:tcPr>
            <w:tcW w:w="892" w:type="pct"/>
            <w:noWrap w:val="0"/>
            <w:vAlign w:val="center"/>
          </w:tcPr>
          <w:p w14:paraId="7542670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25.62</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45A032BC">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kern w:val="2"/>
                <w:sz w:val="21"/>
                <w:szCs w:val="21"/>
                <w:lang w:bidi="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bidi="zh-CN"/>
                <w14:textFill>
                  <w14:solidFill>
                    <w14:schemeClr w14:val="tx1"/>
                  </w14:solidFill>
                </w14:textFill>
              </w:rPr>
              <w:t>0</w:t>
            </w:r>
          </w:p>
        </w:tc>
        <w:tc>
          <w:tcPr>
            <w:tcW w:w="777" w:type="pct"/>
            <w:noWrap w:val="0"/>
            <w:vAlign w:val="center"/>
          </w:tcPr>
          <w:p w14:paraId="3893EF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25.62</w:t>
            </w:r>
            <w:r>
              <w:rPr>
                <w:rFonts w:hint="eastAsia" w:ascii="Times New Roman" w:hAnsi="Times New Roman" w:cs="Times New Roman"/>
                <w:bCs/>
                <w:color w:val="000000" w:themeColor="text1"/>
                <w14:textFill>
                  <w14:solidFill>
                    <w14:schemeClr w14:val="tx1"/>
                  </w14:solidFill>
                </w14:textFill>
              </w:rPr>
              <w:t>t/a</w:t>
            </w:r>
          </w:p>
        </w:tc>
      </w:tr>
      <w:tr w14:paraId="56DC4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2614CA50">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color w:val="000000" w:themeColor="text1"/>
                <w:kern w:val="2"/>
                <w:sz w:val="21"/>
                <w:szCs w:val="21"/>
                <w:lang w:val="zh-CN" w:bidi="zh-CN"/>
                <w14:textFill>
                  <w14:solidFill>
                    <w14:schemeClr w14:val="tx1"/>
                  </w14:solidFill>
                </w14:textFill>
              </w:rPr>
            </w:pPr>
          </w:p>
        </w:tc>
        <w:tc>
          <w:tcPr>
            <w:tcW w:w="1160" w:type="pct"/>
            <w:vMerge w:val="continue"/>
            <w:tcBorders>
              <w:left w:val="single" w:color="auto" w:sz="4" w:space="0"/>
            </w:tcBorders>
            <w:noWrap w:val="0"/>
            <w:vAlign w:val="center"/>
          </w:tcPr>
          <w:p w14:paraId="3663CD2B">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Cs/>
                <w:color w:val="000000" w:themeColor="text1"/>
                <w14:textFill>
                  <w14:solidFill>
                    <w14:schemeClr w14:val="tx1"/>
                  </w14:solidFill>
                </w14:textFill>
              </w:rPr>
            </w:pPr>
          </w:p>
        </w:tc>
        <w:tc>
          <w:tcPr>
            <w:tcW w:w="1040" w:type="pct"/>
            <w:noWrap w:val="0"/>
            <w:vAlign w:val="center"/>
          </w:tcPr>
          <w:p w14:paraId="5A2B6E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THC</w:t>
            </w:r>
          </w:p>
        </w:tc>
        <w:tc>
          <w:tcPr>
            <w:tcW w:w="892" w:type="pct"/>
            <w:noWrap w:val="0"/>
            <w:vAlign w:val="center"/>
          </w:tcPr>
          <w:p w14:paraId="39AF46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9.51</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599F453F">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kern w:val="2"/>
                <w:sz w:val="21"/>
                <w:szCs w:val="21"/>
                <w:lang w:bidi="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bidi="zh-CN"/>
                <w14:textFill>
                  <w14:solidFill>
                    <w14:schemeClr w14:val="tx1"/>
                  </w14:solidFill>
                </w14:textFill>
              </w:rPr>
              <w:t>0</w:t>
            </w:r>
          </w:p>
        </w:tc>
        <w:tc>
          <w:tcPr>
            <w:tcW w:w="777" w:type="pct"/>
            <w:noWrap w:val="0"/>
            <w:vAlign w:val="center"/>
          </w:tcPr>
          <w:p w14:paraId="0ED9D7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9.51</w:t>
            </w:r>
            <w:r>
              <w:rPr>
                <w:rFonts w:hint="eastAsia" w:ascii="Times New Roman" w:hAnsi="Times New Roman" w:cs="Times New Roman"/>
                <w:bCs/>
                <w:color w:val="000000" w:themeColor="text1"/>
                <w14:textFill>
                  <w14:solidFill>
                    <w14:schemeClr w14:val="tx1"/>
                  </w14:solidFill>
                </w14:textFill>
              </w:rPr>
              <w:t>t/a</w:t>
            </w:r>
          </w:p>
        </w:tc>
      </w:tr>
      <w:tr w14:paraId="5BDE3F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00E76469">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color w:val="000000" w:themeColor="text1"/>
                <w:kern w:val="2"/>
                <w:sz w:val="21"/>
                <w:szCs w:val="21"/>
                <w:lang w:val="zh-CN" w:bidi="zh-CN"/>
                <w14:textFill>
                  <w14:solidFill>
                    <w14:schemeClr w14:val="tx1"/>
                  </w14:solidFill>
                </w14:textFill>
              </w:rPr>
            </w:pPr>
          </w:p>
        </w:tc>
        <w:tc>
          <w:tcPr>
            <w:tcW w:w="1160" w:type="pct"/>
            <w:vMerge w:val="continue"/>
            <w:tcBorders>
              <w:left w:val="single" w:color="auto" w:sz="4" w:space="0"/>
            </w:tcBorders>
            <w:noWrap w:val="0"/>
            <w:vAlign w:val="center"/>
          </w:tcPr>
          <w:p w14:paraId="57B17E3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cs="Times New Roman"/>
                <w:bCs/>
                <w:color w:val="000000" w:themeColor="text1"/>
                <w14:textFill>
                  <w14:solidFill>
                    <w14:schemeClr w14:val="tx1"/>
                  </w14:solidFill>
                </w14:textFill>
              </w:rPr>
            </w:pPr>
          </w:p>
        </w:tc>
        <w:tc>
          <w:tcPr>
            <w:tcW w:w="1040" w:type="pct"/>
            <w:noWrap w:val="0"/>
            <w:vAlign w:val="center"/>
          </w:tcPr>
          <w:p w14:paraId="62216FC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892" w:type="pct"/>
            <w:noWrap w:val="0"/>
            <w:vAlign w:val="center"/>
          </w:tcPr>
          <w:p w14:paraId="6C4D52A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r>
              <w:rPr>
                <w:rFonts w:hint="eastAsia" w:ascii="Times New Roman" w:hAnsi="Times New Roman" w:cs="Times New Roman"/>
                <w:bCs/>
                <w:color w:val="000000" w:themeColor="text1"/>
                <w14:textFill>
                  <w14:solidFill>
                    <w14:schemeClr w14:val="tx1"/>
                  </w14:solidFill>
                </w14:textFill>
              </w:rPr>
              <w:t>t/a</w:t>
            </w:r>
          </w:p>
        </w:tc>
        <w:tc>
          <w:tcPr>
            <w:tcW w:w="836" w:type="pct"/>
            <w:noWrap w:val="0"/>
            <w:vAlign w:val="center"/>
          </w:tcPr>
          <w:p w14:paraId="48490FE5">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kern w:val="2"/>
                <w:sz w:val="21"/>
                <w:szCs w:val="21"/>
                <w:lang w:bidi="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bidi="zh-CN"/>
                <w14:textFill>
                  <w14:solidFill>
                    <w14:schemeClr w14:val="tx1"/>
                  </w14:solidFill>
                </w14:textFill>
              </w:rPr>
              <w:t>0</w:t>
            </w:r>
          </w:p>
        </w:tc>
        <w:tc>
          <w:tcPr>
            <w:tcW w:w="777" w:type="pct"/>
            <w:noWrap w:val="0"/>
            <w:vAlign w:val="center"/>
          </w:tcPr>
          <w:p w14:paraId="6355FA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1.63</w:t>
            </w:r>
            <w:r>
              <w:rPr>
                <w:rFonts w:hint="eastAsia" w:ascii="Times New Roman" w:hAnsi="Times New Roman" w:cs="Times New Roman"/>
                <w:bCs/>
                <w:color w:val="000000" w:themeColor="text1"/>
                <w14:textFill>
                  <w14:solidFill>
                    <w14:schemeClr w14:val="tx1"/>
                  </w14:solidFill>
                </w14:textFill>
              </w:rPr>
              <w:t>t/a</w:t>
            </w:r>
          </w:p>
        </w:tc>
      </w:tr>
      <w:tr w14:paraId="34298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restart"/>
            <w:tcBorders>
              <w:right w:val="single" w:color="auto" w:sz="4" w:space="0"/>
            </w:tcBorders>
            <w:noWrap w:val="0"/>
            <w:vAlign w:val="center"/>
          </w:tcPr>
          <w:p w14:paraId="6F448B7F">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水污染物</w:t>
            </w:r>
          </w:p>
        </w:tc>
        <w:tc>
          <w:tcPr>
            <w:tcW w:w="1160" w:type="pct"/>
            <w:tcBorders>
              <w:left w:val="single" w:color="auto" w:sz="4" w:space="0"/>
            </w:tcBorders>
            <w:noWrap w:val="0"/>
            <w:vAlign w:val="center"/>
          </w:tcPr>
          <w:p w14:paraId="1B77E622">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矿井涌水</w:t>
            </w:r>
          </w:p>
        </w:tc>
        <w:tc>
          <w:tcPr>
            <w:tcW w:w="1040" w:type="pct"/>
            <w:noWrap w:val="0"/>
            <w:vAlign w:val="center"/>
          </w:tcPr>
          <w:p w14:paraId="5FE78CCE">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废水量</w:t>
            </w:r>
          </w:p>
        </w:tc>
        <w:tc>
          <w:tcPr>
            <w:tcW w:w="892" w:type="pct"/>
            <w:noWrap w:val="0"/>
            <w:vAlign w:val="center"/>
          </w:tcPr>
          <w:p w14:paraId="2560961B">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1600m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/d</w:t>
            </w:r>
          </w:p>
        </w:tc>
        <w:tc>
          <w:tcPr>
            <w:tcW w:w="836" w:type="pct"/>
            <w:noWrap w:val="0"/>
            <w:vAlign w:val="center"/>
          </w:tcPr>
          <w:p w14:paraId="1DF2F0D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1600m</w:t>
            </w:r>
            <w:r>
              <w:rPr>
                <w:rFonts w:hint="default" w:ascii="Times New Roman" w:hAnsi="Times New Roman" w:cs="Times New Roman"/>
                <w:bCs/>
                <w:color w:val="000000" w:themeColor="text1"/>
                <w:szCs w:val="21"/>
                <w:vertAlign w:val="superscript"/>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/d</w:t>
            </w:r>
          </w:p>
        </w:tc>
        <w:tc>
          <w:tcPr>
            <w:tcW w:w="777" w:type="pct"/>
            <w:noWrap w:val="0"/>
            <w:vAlign w:val="center"/>
          </w:tcPr>
          <w:p w14:paraId="7876E181">
            <w:pPr>
              <w:pStyle w:val="475"/>
              <w:keepNext w:val="0"/>
              <w:keepLines w:val="0"/>
              <w:suppressLineNumbers w:val="0"/>
              <w:spacing w:before="0" w:beforeLines="0" w:beforeAutospacing="0" w:after="0" w:afterLines="0" w:afterAutospacing="0" w:line="360" w:lineRule="exact"/>
              <w:ind w:left="0" w:right="0" w:firstLine="0" w:firstLineChars="0"/>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0</w:t>
            </w:r>
          </w:p>
        </w:tc>
      </w:tr>
      <w:tr w14:paraId="1485CE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490AC459">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vMerge w:val="restart"/>
            <w:tcBorders>
              <w:left w:val="single" w:color="auto" w:sz="4" w:space="0"/>
            </w:tcBorders>
            <w:noWrap w:val="0"/>
            <w:vAlign w:val="center"/>
          </w:tcPr>
          <w:p w14:paraId="355EB7D8">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生活污水</w:t>
            </w:r>
          </w:p>
        </w:tc>
        <w:tc>
          <w:tcPr>
            <w:tcW w:w="1040" w:type="pct"/>
            <w:noWrap w:val="0"/>
            <w:vAlign w:val="center"/>
          </w:tcPr>
          <w:p w14:paraId="31DE4A76">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废水量</w:t>
            </w:r>
          </w:p>
        </w:tc>
        <w:tc>
          <w:tcPr>
            <w:tcW w:w="892" w:type="pct"/>
            <w:noWrap w:val="0"/>
            <w:vAlign w:val="center"/>
          </w:tcPr>
          <w:p w14:paraId="0B2E9060">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160</w:t>
            </w:r>
            <w:r>
              <w:rPr>
                <w:rFonts w:hint="default" w:ascii="Times New Roman" w:hAnsi="Times New Roman" w:eastAsia="宋体" w:cs="Times New Roman"/>
                <w:b w:val="0"/>
                <w:bCs/>
                <w:color w:val="000000" w:themeColor="text1"/>
                <w:sz w:val="21"/>
                <w:szCs w:val="21"/>
                <w14:textFill>
                  <w14:solidFill>
                    <w14:schemeClr w14:val="tx1"/>
                  </w14:solidFill>
                </w14:textFill>
              </w:rPr>
              <w:t>0</w:t>
            </w:r>
            <w:r>
              <w:rPr>
                <w:rFonts w:hint="eastAsia" w:ascii="Times New Roman" w:hAnsi="Times New Roman" w:eastAsia="宋体" w:cs="Times New Roman"/>
                <w:b w:val="0"/>
                <w:bCs/>
                <w:color w:val="000000" w:themeColor="text1"/>
                <w:sz w:val="21"/>
                <w:szCs w:val="21"/>
                <w14:textFill>
                  <w14:solidFill>
                    <w14:schemeClr w14:val="tx1"/>
                  </w14:solidFill>
                </w14:textFill>
              </w:rPr>
              <w:t>m</w:t>
            </w:r>
            <w:r>
              <w:rPr>
                <w:rFonts w:hint="eastAsia"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b w:val="0"/>
                <w:bCs/>
                <w:color w:val="000000" w:themeColor="text1"/>
                <w:sz w:val="21"/>
                <w:szCs w:val="21"/>
                <w14:textFill>
                  <w14:solidFill>
                    <w14:schemeClr w14:val="tx1"/>
                  </w14:solidFill>
                </w14:textFill>
              </w:rPr>
              <w:t>/a</w:t>
            </w:r>
          </w:p>
        </w:tc>
        <w:tc>
          <w:tcPr>
            <w:tcW w:w="836" w:type="pct"/>
            <w:noWrap w:val="0"/>
            <w:vAlign w:val="center"/>
          </w:tcPr>
          <w:p w14:paraId="16D8A6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1600</w:t>
            </w:r>
            <w:r>
              <w:rPr>
                <w:rFonts w:hint="eastAsia" w:ascii="Times New Roman" w:hAnsi="Times New Roman" w:cs="Times New Roman"/>
                <w:bCs/>
                <w:color w:val="000000" w:themeColor="text1"/>
                <w:szCs w:val="21"/>
                <w14:textFill>
                  <w14:solidFill>
                    <w14:schemeClr w14:val="tx1"/>
                  </w14:solidFill>
                </w14:textFill>
              </w:rPr>
              <w:t>m</w:t>
            </w:r>
            <w:r>
              <w:rPr>
                <w:rFonts w:hint="eastAsia" w:ascii="Times New Roman" w:hAnsi="Times New Roman" w:cs="Times New Roman"/>
                <w:bCs/>
                <w:color w:val="000000" w:themeColor="text1"/>
                <w:szCs w:val="21"/>
                <w:vertAlign w:val="superscript"/>
                <w14:textFill>
                  <w14:solidFill>
                    <w14:schemeClr w14:val="tx1"/>
                  </w14:solidFill>
                </w14:textFill>
              </w:rPr>
              <w:t>3</w:t>
            </w:r>
            <w:r>
              <w:rPr>
                <w:rFonts w:hint="eastAsia" w:ascii="Times New Roman" w:hAnsi="Times New Roman" w:cs="Times New Roman"/>
                <w:bCs/>
                <w:color w:val="000000" w:themeColor="text1"/>
                <w:szCs w:val="21"/>
                <w14:textFill>
                  <w14:solidFill>
                    <w14:schemeClr w14:val="tx1"/>
                  </w14:solidFill>
                </w14:textFill>
              </w:rPr>
              <w:t>/a</w:t>
            </w:r>
          </w:p>
        </w:tc>
        <w:tc>
          <w:tcPr>
            <w:tcW w:w="777" w:type="pct"/>
            <w:noWrap w:val="0"/>
            <w:vAlign w:val="center"/>
          </w:tcPr>
          <w:p w14:paraId="285302CE">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0</w:t>
            </w:r>
          </w:p>
        </w:tc>
      </w:tr>
      <w:tr w14:paraId="3A3417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6489CE76">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vMerge w:val="continue"/>
            <w:tcBorders>
              <w:left w:val="single" w:color="auto" w:sz="4" w:space="0"/>
            </w:tcBorders>
            <w:noWrap w:val="0"/>
            <w:vAlign w:val="center"/>
          </w:tcPr>
          <w:p w14:paraId="2A265B65">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40" w:type="pct"/>
            <w:noWrap w:val="0"/>
            <w:vAlign w:val="center"/>
          </w:tcPr>
          <w:p w14:paraId="719DFFE3">
            <w:pPr>
              <w:pStyle w:val="679"/>
              <w:keepNext w:val="0"/>
              <w:keepLines w:val="0"/>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pacing w:val="-1"/>
                <w:sz w:val="21"/>
                <w:szCs w:val="21"/>
                <w14:textFill>
                  <w14:solidFill>
                    <w14:schemeClr w14:val="tx1"/>
                  </w14:solidFill>
                </w14:textFill>
              </w:rPr>
              <w:t>SS</w:t>
            </w:r>
          </w:p>
        </w:tc>
        <w:tc>
          <w:tcPr>
            <w:tcW w:w="1487" w:type="dxa"/>
            <w:noWrap w:val="0"/>
            <w:vAlign w:val="center"/>
          </w:tcPr>
          <w:p w14:paraId="20F41DD5">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0.56</w:t>
            </w:r>
            <w:r>
              <w:rPr>
                <w:rFonts w:hint="default" w:ascii="Times New Roman" w:hAnsi="Times New Roman" w:cs="Times New Roman"/>
                <w:color w:val="000000" w:themeColor="text1"/>
                <w14:textFill>
                  <w14:solidFill>
                    <w14:schemeClr w14:val="tx1"/>
                  </w14:solidFill>
                </w14:textFill>
              </w:rPr>
              <w:t>t/a</w:t>
            </w:r>
          </w:p>
        </w:tc>
        <w:tc>
          <w:tcPr>
            <w:tcW w:w="1393" w:type="dxa"/>
            <w:noWrap w:val="0"/>
            <w:vAlign w:val="center"/>
          </w:tcPr>
          <w:p w14:paraId="29253704">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0.56</w:t>
            </w:r>
            <w:r>
              <w:rPr>
                <w:rFonts w:hint="default" w:ascii="Times New Roman" w:hAnsi="Times New Roman" w:cs="Times New Roman"/>
                <w:color w:val="000000" w:themeColor="text1"/>
                <w14:textFill>
                  <w14:solidFill>
                    <w14:schemeClr w14:val="tx1"/>
                  </w14:solidFill>
                </w14:textFill>
              </w:rPr>
              <w:t>t/a</w:t>
            </w:r>
          </w:p>
        </w:tc>
        <w:tc>
          <w:tcPr>
            <w:tcW w:w="777" w:type="pct"/>
            <w:noWrap w:val="0"/>
            <w:vAlign w:val="center"/>
          </w:tcPr>
          <w:p w14:paraId="13BC5A3D">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lang w:bidi="zh-CN"/>
                <w14:textFill>
                  <w14:solidFill>
                    <w14:schemeClr w14:val="tx1"/>
                  </w14:solidFill>
                </w14:textFill>
              </w:rPr>
            </w:pPr>
            <w:r>
              <w:rPr>
                <w:rFonts w:hint="eastAsia" w:ascii="Times New Roman" w:hAnsi="Times New Roman" w:cs="Times New Roman"/>
                <w:bCs/>
                <w:color w:val="000000" w:themeColor="text1"/>
                <w:lang w:bidi="zh-CN"/>
                <w14:textFill>
                  <w14:solidFill>
                    <w14:schemeClr w14:val="tx1"/>
                  </w14:solidFill>
                </w14:textFill>
              </w:rPr>
              <w:t>0</w:t>
            </w:r>
          </w:p>
        </w:tc>
      </w:tr>
      <w:tr w14:paraId="4D57A0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4C698067">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vMerge w:val="continue"/>
            <w:tcBorders>
              <w:left w:val="single" w:color="auto" w:sz="4" w:space="0"/>
            </w:tcBorders>
            <w:noWrap w:val="0"/>
            <w:vAlign w:val="center"/>
          </w:tcPr>
          <w:p w14:paraId="6036CCBC">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40" w:type="pct"/>
            <w:noWrap w:val="0"/>
            <w:vAlign w:val="center"/>
          </w:tcPr>
          <w:p w14:paraId="4BA212DB">
            <w:pPr>
              <w:pStyle w:val="679"/>
              <w:keepNext w:val="0"/>
              <w:keepLines w:val="0"/>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pacing w:val="-1"/>
                <w:position w:val="2"/>
                <w:sz w:val="21"/>
                <w:szCs w:val="21"/>
                <w14:textFill>
                  <w14:solidFill>
                    <w14:schemeClr w14:val="tx1"/>
                  </w14:solidFill>
                </w14:textFill>
              </w:rPr>
              <w:t>COD</w:t>
            </w:r>
          </w:p>
        </w:tc>
        <w:tc>
          <w:tcPr>
            <w:tcW w:w="1487" w:type="dxa"/>
            <w:noWrap w:val="0"/>
            <w:vAlign w:val="center"/>
          </w:tcPr>
          <w:p w14:paraId="58018CE0">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0.51</w:t>
            </w:r>
            <w:r>
              <w:rPr>
                <w:rFonts w:hint="default" w:ascii="Times New Roman" w:hAnsi="Times New Roman" w:cs="Times New Roman"/>
                <w:color w:val="000000" w:themeColor="text1"/>
                <w14:textFill>
                  <w14:solidFill>
                    <w14:schemeClr w14:val="tx1"/>
                  </w14:solidFill>
                </w14:textFill>
              </w:rPr>
              <w:t>t/a</w:t>
            </w:r>
          </w:p>
        </w:tc>
        <w:tc>
          <w:tcPr>
            <w:tcW w:w="1393" w:type="dxa"/>
            <w:noWrap w:val="0"/>
            <w:vAlign w:val="center"/>
          </w:tcPr>
          <w:p w14:paraId="280A67DF">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0.51</w:t>
            </w:r>
            <w:r>
              <w:rPr>
                <w:rFonts w:hint="default" w:ascii="Times New Roman" w:hAnsi="Times New Roman" w:cs="Times New Roman"/>
                <w:color w:val="000000" w:themeColor="text1"/>
                <w14:textFill>
                  <w14:solidFill>
                    <w14:schemeClr w14:val="tx1"/>
                  </w14:solidFill>
                </w14:textFill>
              </w:rPr>
              <w:t>t/a</w:t>
            </w:r>
          </w:p>
        </w:tc>
        <w:tc>
          <w:tcPr>
            <w:tcW w:w="777" w:type="pct"/>
            <w:noWrap w:val="0"/>
            <w:vAlign w:val="center"/>
          </w:tcPr>
          <w:p w14:paraId="13DDEBE2">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lang w:bidi="zh-CN"/>
                <w14:textFill>
                  <w14:solidFill>
                    <w14:schemeClr w14:val="tx1"/>
                  </w14:solidFill>
                </w14:textFill>
              </w:rPr>
            </w:pPr>
            <w:r>
              <w:rPr>
                <w:rFonts w:hint="eastAsia" w:ascii="Times New Roman" w:hAnsi="Times New Roman" w:cs="Times New Roman"/>
                <w:bCs/>
                <w:color w:val="000000" w:themeColor="text1"/>
                <w:lang w:bidi="zh-CN"/>
                <w14:textFill>
                  <w14:solidFill>
                    <w14:schemeClr w14:val="tx1"/>
                  </w14:solidFill>
                </w14:textFill>
              </w:rPr>
              <w:t>0</w:t>
            </w:r>
          </w:p>
        </w:tc>
      </w:tr>
      <w:tr w14:paraId="1120C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02062BEE">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vMerge w:val="continue"/>
            <w:tcBorders>
              <w:left w:val="single" w:color="auto" w:sz="4" w:space="0"/>
            </w:tcBorders>
            <w:noWrap w:val="0"/>
            <w:vAlign w:val="center"/>
          </w:tcPr>
          <w:p w14:paraId="2BB87889">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40" w:type="pct"/>
            <w:noWrap w:val="0"/>
            <w:vAlign w:val="center"/>
          </w:tcPr>
          <w:p w14:paraId="2E8CE988">
            <w:pPr>
              <w:pStyle w:val="679"/>
              <w:keepNext w:val="0"/>
              <w:keepLines w:val="0"/>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BOD</w:t>
            </w:r>
          </w:p>
        </w:tc>
        <w:tc>
          <w:tcPr>
            <w:tcW w:w="1487" w:type="dxa"/>
            <w:noWrap w:val="0"/>
            <w:vAlign w:val="center"/>
          </w:tcPr>
          <w:p w14:paraId="49BF4170">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0.35</w:t>
            </w:r>
            <w:r>
              <w:rPr>
                <w:rFonts w:hint="default" w:ascii="Times New Roman" w:hAnsi="Times New Roman" w:cs="Times New Roman"/>
                <w:color w:val="000000" w:themeColor="text1"/>
                <w14:textFill>
                  <w14:solidFill>
                    <w14:schemeClr w14:val="tx1"/>
                  </w14:solidFill>
                </w14:textFill>
              </w:rPr>
              <w:t>t/a</w:t>
            </w:r>
          </w:p>
        </w:tc>
        <w:tc>
          <w:tcPr>
            <w:tcW w:w="1393" w:type="dxa"/>
            <w:noWrap w:val="0"/>
            <w:vAlign w:val="center"/>
          </w:tcPr>
          <w:p w14:paraId="3CDDACFD">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0.35</w:t>
            </w:r>
            <w:r>
              <w:rPr>
                <w:rFonts w:hint="default" w:ascii="Times New Roman" w:hAnsi="Times New Roman" w:cs="Times New Roman"/>
                <w:color w:val="000000" w:themeColor="text1"/>
                <w14:textFill>
                  <w14:solidFill>
                    <w14:schemeClr w14:val="tx1"/>
                  </w14:solidFill>
                </w14:textFill>
              </w:rPr>
              <w:t>t/a</w:t>
            </w:r>
          </w:p>
        </w:tc>
        <w:tc>
          <w:tcPr>
            <w:tcW w:w="777" w:type="pct"/>
            <w:noWrap w:val="0"/>
            <w:vAlign w:val="center"/>
          </w:tcPr>
          <w:p w14:paraId="1AAE917C">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lang w:bidi="zh-CN"/>
                <w14:textFill>
                  <w14:solidFill>
                    <w14:schemeClr w14:val="tx1"/>
                  </w14:solidFill>
                </w14:textFill>
              </w:rPr>
            </w:pPr>
            <w:r>
              <w:rPr>
                <w:rFonts w:hint="eastAsia" w:ascii="Times New Roman" w:hAnsi="Times New Roman" w:cs="Times New Roman"/>
                <w:bCs/>
                <w:color w:val="000000" w:themeColor="text1"/>
                <w:lang w:bidi="zh-CN"/>
                <w14:textFill>
                  <w14:solidFill>
                    <w14:schemeClr w14:val="tx1"/>
                  </w14:solidFill>
                </w14:textFill>
              </w:rPr>
              <w:t>0</w:t>
            </w:r>
          </w:p>
        </w:tc>
      </w:tr>
      <w:tr w14:paraId="2A4DC0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6D56B6D7">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vMerge w:val="continue"/>
            <w:tcBorders>
              <w:left w:val="single" w:color="auto" w:sz="4" w:space="0"/>
            </w:tcBorders>
            <w:noWrap w:val="0"/>
            <w:vAlign w:val="center"/>
          </w:tcPr>
          <w:p w14:paraId="67610CB8">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40" w:type="pct"/>
            <w:noWrap w:val="0"/>
            <w:vAlign w:val="center"/>
          </w:tcPr>
          <w:p w14:paraId="637F7B19">
            <w:pPr>
              <w:pStyle w:val="679"/>
              <w:keepNext w:val="0"/>
              <w:keepLines w:val="0"/>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position w:val="2"/>
                <w:sz w:val="21"/>
                <w:szCs w:val="21"/>
                <w14:textFill>
                  <w14:solidFill>
                    <w14:schemeClr w14:val="tx1"/>
                  </w14:solidFill>
                </w14:textFill>
              </w:rPr>
              <w:t>NH</w:t>
            </w:r>
            <w:r>
              <w:rPr>
                <w:rFonts w:hint="default" w:ascii="Times New Roman" w:hAnsi="Times New Roman" w:cs="Times New Roman"/>
                <w:bCs/>
                <w:color w:val="000000" w:themeColor="text1"/>
                <w:sz w:val="21"/>
                <w:szCs w:val="21"/>
                <w:vertAlign w:val="subscript"/>
                <w14:textFill>
                  <w14:solidFill>
                    <w14:schemeClr w14:val="tx1"/>
                  </w14:solidFill>
                </w14:textFill>
              </w:rPr>
              <w:t>3</w:t>
            </w:r>
            <w:r>
              <w:rPr>
                <w:rFonts w:hint="default" w:ascii="Times New Roman" w:hAnsi="Times New Roman" w:cs="Times New Roman"/>
                <w:bCs/>
                <w:color w:val="000000" w:themeColor="text1"/>
                <w:position w:val="2"/>
                <w:sz w:val="21"/>
                <w:szCs w:val="21"/>
                <w14:textFill>
                  <w14:solidFill>
                    <w14:schemeClr w14:val="tx1"/>
                  </w14:solidFill>
                </w14:textFill>
              </w:rPr>
              <w:t>-N</w:t>
            </w:r>
          </w:p>
        </w:tc>
        <w:tc>
          <w:tcPr>
            <w:tcW w:w="1487" w:type="dxa"/>
            <w:noWrap w:val="0"/>
            <w:vAlign w:val="center"/>
          </w:tcPr>
          <w:p w14:paraId="46281CEA">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0.04</w:t>
            </w:r>
            <w:r>
              <w:rPr>
                <w:rFonts w:hint="default" w:ascii="Times New Roman" w:hAnsi="Times New Roman" w:cs="Times New Roman"/>
                <w:color w:val="000000" w:themeColor="text1"/>
                <w14:textFill>
                  <w14:solidFill>
                    <w14:schemeClr w14:val="tx1"/>
                  </w14:solidFill>
                </w14:textFill>
              </w:rPr>
              <w:t>t/a</w:t>
            </w:r>
          </w:p>
        </w:tc>
        <w:tc>
          <w:tcPr>
            <w:tcW w:w="1393" w:type="dxa"/>
            <w:noWrap w:val="0"/>
            <w:vAlign w:val="center"/>
          </w:tcPr>
          <w:p w14:paraId="4095ADA5">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0.04</w:t>
            </w:r>
            <w:r>
              <w:rPr>
                <w:rFonts w:hint="default" w:ascii="Times New Roman" w:hAnsi="Times New Roman" w:cs="Times New Roman"/>
                <w:color w:val="000000" w:themeColor="text1"/>
                <w14:textFill>
                  <w14:solidFill>
                    <w14:schemeClr w14:val="tx1"/>
                  </w14:solidFill>
                </w14:textFill>
              </w:rPr>
              <w:t>t/a</w:t>
            </w:r>
          </w:p>
        </w:tc>
        <w:tc>
          <w:tcPr>
            <w:tcW w:w="777" w:type="pct"/>
            <w:noWrap w:val="0"/>
            <w:vAlign w:val="center"/>
          </w:tcPr>
          <w:p w14:paraId="694A321E">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lang w:bidi="zh-CN"/>
                <w14:textFill>
                  <w14:solidFill>
                    <w14:schemeClr w14:val="tx1"/>
                  </w14:solidFill>
                </w14:textFill>
              </w:rPr>
            </w:pPr>
            <w:r>
              <w:rPr>
                <w:rFonts w:hint="eastAsia" w:ascii="Times New Roman" w:hAnsi="Times New Roman" w:cs="Times New Roman"/>
                <w:bCs/>
                <w:color w:val="000000" w:themeColor="text1"/>
                <w:lang w:bidi="zh-CN"/>
                <w14:textFill>
                  <w14:solidFill>
                    <w14:schemeClr w14:val="tx1"/>
                  </w14:solidFill>
                </w14:textFill>
              </w:rPr>
              <w:t>0</w:t>
            </w:r>
          </w:p>
        </w:tc>
      </w:tr>
      <w:tr w14:paraId="6CAA7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4DCCD6E5">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vMerge w:val="continue"/>
            <w:tcBorders>
              <w:left w:val="single" w:color="auto" w:sz="4" w:space="0"/>
            </w:tcBorders>
            <w:noWrap w:val="0"/>
            <w:vAlign w:val="center"/>
          </w:tcPr>
          <w:p w14:paraId="1D09FD60">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040" w:type="pct"/>
            <w:noWrap w:val="0"/>
            <w:vAlign w:val="center"/>
          </w:tcPr>
          <w:p w14:paraId="15FFF056">
            <w:pPr>
              <w:pStyle w:val="679"/>
              <w:keepNext w:val="0"/>
              <w:keepLines w:val="0"/>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动植物油</w:t>
            </w:r>
          </w:p>
        </w:tc>
        <w:tc>
          <w:tcPr>
            <w:tcW w:w="1487" w:type="dxa"/>
            <w:noWrap w:val="0"/>
            <w:vAlign w:val="center"/>
          </w:tcPr>
          <w:p w14:paraId="723503FB">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0.06</w:t>
            </w:r>
            <w:r>
              <w:rPr>
                <w:rFonts w:hint="default" w:ascii="Times New Roman" w:hAnsi="Times New Roman" w:cs="Times New Roman"/>
                <w:color w:val="000000" w:themeColor="text1"/>
                <w14:textFill>
                  <w14:solidFill>
                    <w14:schemeClr w14:val="tx1"/>
                  </w14:solidFill>
                </w14:textFill>
              </w:rPr>
              <w:t>t/a</w:t>
            </w:r>
          </w:p>
        </w:tc>
        <w:tc>
          <w:tcPr>
            <w:tcW w:w="1393" w:type="dxa"/>
            <w:noWrap w:val="0"/>
            <w:vAlign w:val="center"/>
          </w:tcPr>
          <w:p w14:paraId="4162DC3A">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cs="Times New Roman"/>
                <w:color w:val="000000" w:themeColor="text1"/>
                <w:kern w:val="0"/>
                <w:lang w:bidi="ar"/>
                <w14:textFill>
                  <w14:solidFill>
                    <w14:schemeClr w14:val="tx1"/>
                  </w14:solidFill>
                </w14:textFill>
              </w:rPr>
            </w:pPr>
            <w:r>
              <w:rPr>
                <w:rFonts w:hint="eastAsia" w:cs="Times New Roman"/>
                <w:color w:val="000000" w:themeColor="text1"/>
                <w:kern w:val="0"/>
                <w:lang w:val="en-US" w:eastAsia="zh-CN" w:bidi="ar"/>
                <w14:textFill>
                  <w14:solidFill>
                    <w14:schemeClr w14:val="tx1"/>
                  </w14:solidFill>
                </w14:textFill>
              </w:rPr>
              <w:t>0.06</w:t>
            </w:r>
            <w:r>
              <w:rPr>
                <w:rFonts w:hint="default" w:ascii="Times New Roman" w:hAnsi="Times New Roman" w:cs="Times New Roman"/>
                <w:color w:val="000000" w:themeColor="text1"/>
                <w14:textFill>
                  <w14:solidFill>
                    <w14:schemeClr w14:val="tx1"/>
                  </w14:solidFill>
                </w14:textFill>
              </w:rPr>
              <w:t>t/a</w:t>
            </w:r>
          </w:p>
        </w:tc>
        <w:tc>
          <w:tcPr>
            <w:tcW w:w="777" w:type="pct"/>
            <w:noWrap w:val="0"/>
            <w:vAlign w:val="center"/>
          </w:tcPr>
          <w:p w14:paraId="7FC4FAB1">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0</w:t>
            </w:r>
          </w:p>
        </w:tc>
      </w:tr>
      <w:tr w14:paraId="1C4D5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vMerge w:val="continue"/>
            <w:tcBorders>
              <w:right w:val="single" w:color="auto" w:sz="4" w:space="0"/>
            </w:tcBorders>
            <w:noWrap w:val="0"/>
            <w:vAlign w:val="center"/>
          </w:tcPr>
          <w:p w14:paraId="6684AE75">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160" w:type="pct"/>
            <w:tcBorders>
              <w:left w:val="single" w:color="auto" w:sz="4" w:space="0"/>
            </w:tcBorders>
            <w:noWrap w:val="0"/>
            <w:vAlign w:val="center"/>
          </w:tcPr>
          <w:p w14:paraId="2D6B876D">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废石堆场淋溶水</w:t>
            </w:r>
          </w:p>
        </w:tc>
        <w:tc>
          <w:tcPr>
            <w:tcW w:w="1040" w:type="pct"/>
            <w:noWrap w:val="0"/>
            <w:vAlign w:val="center"/>
          </w:tcPr>
          <w:p w14:paraId="20650F11">
            <w:pPr>
              <w:pStyle w:val="679"/>
              <w:keepNext w:val="0"/>
              <w:keepLines w:val="0"/>
              <w:suppressLineNumbers w:val="0"/>
              <w:spacing w:before="0" w:beforeAutospacing="0" w:after="0" w:afterAutospacing="0" w:line="360" w:lineRule="exact"/>
              <w:ind w:left="0" w:right="0"/>
              <w:jc w:val="center"/>
              <w:textAlignment w:val="center"/>
              <w:rPr>
                <w:rFonts w:hint="eastAsia"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SS</w:t>
            </w:r>
          </w:p>
        </w:tc>
        <w:tc>
          <w:tcPr>
            <w:tcW w:w="892" w:type="pct"/>
            <w:noWrap w:val="0"/>
            <w:vAlign w:val="center"/>
          </w:tcPr>
          <w:p w14:paraId="1F8545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少量</w:t>
            </w:r>
          </w:p>
        </w:tc>
        <w:tc>
          <w:tcPr>
            <w:tcW w:w="836" w:type="pct"/>
            <w:noWrap w:val="0"/>
            <w:vAlign w:val="center"/>
          </w:tcPr>
          <w:p w14:paraId="2DC66D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w:t>
            </w:r>
          </w:p>
        </w:tc>
        <w:tc>
          <w:tcPr>
            <w:tcW w:w="777" w:type="pct"/>
            <w:noWrap w:val="0"/>
            <w:vAlign w:val="center"/>
          </w:tcPr>
          <w:p w14:paraId="3FA79A2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少量蒸发</w:t>
            </w:r>
          </w:p>
        </w:tc>
      </w:tr>
      <w:tr w14:paraId="0A9F37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295" w:type="pct"/>
            <w:tcBorders>
              <w:right w:val="single" w:color="auto" w:sz="4" w:space="0"/>
            </w:tcBorders>
            <w:noWrap w:val="0"/>
            <w:vAlign w:val="center"/>
          </w:tcPr>
          <w:p w14:paraId="7807C149">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噪声</w:t>
            </w:r>
          </w:p>
        </w:tc>
        <w:tc>
          <w:tcPr>
            <w:tcW w:w="2200" w:type="pct"/>
            <w:gridSpan w:val="2"/>
            <w:tcBorders>
              <w:left w:val="single" w:color="auto" w:sz="4" w:space="0"/>
            </w:tcBorders>
            <w:noWrap w:val="0"/>
            <w:vAlign w:val="center"/>
          </w:tcPr>
          <w:p w14:paraId="6F77E1FC">
            <w:pPr>
              <w:pStyle w:val="475"/>
              <w:keepNext w:val="0"/>
              <w:keepLines w:val="0"/>
              <w:suppressLineNumbers w:val="0"/>
              <w:spacing w:before="0" w:beforeLines="0" w:beforeAutospacing="0" w:after="0" w:afterLines="0" w:afterAutospacing="0" w:line="360" w:lineRule="exact"/>
              <w:ind w:left="0" w:right="0" w:firstLine="0" w:firstLineChars="0"/>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凿岩、爆破、压气、铲装</w:t>
            </w:r>
            <w:r>
              <w:rPr>
                <w:rFonts w:hint="eastAsia" w:ascii="Times New Roman" w:hAnsi="Times New Roman" w:eastAsia="宋体" w:cs="Times New Roman"/>
                <w:b w:val="0"/>
                <w:bCs/>
                <w:color w:val="000000" w:themeColor="text1"/>
                <w:sz w:val="21"/>
                <w:szCs w:val="21"/>
                <w14:textFill>
                  <w14:solidFill>
                    <w14:schemeClr w14:val="tx1"/>
                  </w14:solidFill>
                </w14:textFill>
              </w:rPr>
              <w:t>运输</w:t>
            </w:r>
            <w:r>
              <w:rPr>
                <w:rFonts w:hint="default" w:ascii="Times New Roman" w:hAnsi="Times New Roman" w:eastAsia="宋体" w:cs="Times New Roman"/>
                <w:b w:val="0"/>
                <w:bCs/>
                <w:color w:val="000000" w:themeColor="text1"/>
                <w:sz w:val="21"/>
                <w:szCs w:val="21"/>
                <w14:textFill>
                  <w14:solidFill>
                    <w14:schemeClr w14:val="tx1"/>
                  </w14:solidFill>
                </w14:textFill>
              </w:rPr>
              <w:t>设备等生产作业时均会产生噪</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声</w:t>
            </w:r>
          </w:p>
        </w:tc>
        <w:tc>
          <w:tcPr>
            <w:tcW w:w="2505" w:type="pct"/>
            <w:gridSpan w:val="3"/>
            <w:noWrap w:val="0"/>
            <w:vAlign w:val="center"/>
          </w:tcPr>
          <w:p w14:paraId="7DDCD582">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85</w:t>
            </w:r>
            <w:r>
              <w:rPr>
                <w:rFonts w:hint="eastAsia" w:ascii="Times New Roman" w:hAnsi="Times New Roman" w:eastAsia="宋体" w:cs="Times New Roman"/>
                <w:b w:val="0"/>
                <w:bCs/>
                <w:color w:val="000000" w:themeColor="text1"/>
                <w:sz w:val="21"/>
                <w:szCs w:val="21"/>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eastAsia"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14:textFill>
                  <w14:solidFill>
                    <w14:schemeClr w14:val="tx1"/>
                  </w14:solidFill>
                </w14:textFill>
              </w:rPr>
              <w:t>0dB（A）</w:t>
            </w:r>
          </w:p>
        </w:tc>
      </w:tr>
      <w:tr w14:paraId="28262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25" w:hRule="atLeast"/>
          <w:jc w:val="center"/>
        </w:trPr>
        <w:tc>
          <w:tcPr>
            <w:tcW w:w="1455" w:type="pct"/>
            <w:gridSpan w:val="2"/>
            <w:vMerge w:val="restart"/>
            <w:noWrap w:val="0"/>
            <w:vAlign w:val="center"/>
          </w:tcPr>
          <w:p w14:paraId="0FF0738B">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固体废物</w:t>
            </w:r>
          </w:p>
        </w:tc>
        <w:tc>
          <w:tcPr>
            <w:tcW w:w="1040" w:type="pct"/>
            <w:noWrap w:val="0"/>
            <w:vAlign w:val="center"/>
          </w:tcPr>
          <w:p w14:paraId="0B8E9C1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采矿废石</w:t>
            </w:r>
          </w:p>
        </w:tc>
        <w:tc>
          <w:tcPr>
            <w:tcW w:w="892" w:type="pct"/>
            <w:noWrap w:val="0"/>
            <w:vAlign w:val="center"/>
          </w:tcPr>
          <w:p w14:paraId="6506A718">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13.97</w:t>
            </w:r>
            <w:r>
              <w:rPr>
                <w:rFonts w:hint="eastAsia" w:ascii="Times New Roman" w:hAnsi="Times New Roman" w:cs="Times New Roman"/>
                <w:color w:val="000000" w:themeColor="text1"/>
                <w14:textFill>
                  <w14:solidFill>
                    <w14:schemeClr w14:val="tx1"/>
                  </w14:solidFill>
                </w14:textFill>
              </w:rPr>
              <w:t>万</w:t>
            </w:r>
            <w:r>
              <w:rPr>
                <w:rFonts w:hint="default" w:ascii="Times New Roman" w:hAnsi="Times New Roman" w:cs="Times New Roman"/>
                <w:bCs/>
                <w:color w:val="000000" w:themeColor="text1"/>
                <w:szCs w:val="21"/>
                <w14:textFill>
                  <w14:solidFill>
                    <w14:schemeClr w14:val="tx1"/>
                  </w14:solidFill>
                </w14:textFill>
              </w:rPr>
              <w:t>t/a</w:t>
            </w:r>
          </w:p>
        </w:tc>
        <w:tc>
          <w:tcPr>
            <w:tcW w:w="836" w:type="pct"/>
            <w:noWrap w:val="0"/>
            <w:vAlign w:val="center"/>
          </w:tcPr>
          <w:p w14:paraId="15241D8F">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13.97</w:t>
            </w:r>
            <w:r>
              <w:rPr>
                <w:rFonts w:hint="eastAsia" w:ascii="Times New Roman" w:hAnsi="Times New Roman" w:eastAsia="宋体" w:cs="Times New Roman"/>
                <w:b w:val="0"/>
                <w:bCs/>
                <w:color w:val="000000" w:themeColor="text1"/>
                <w:sz w:val="21"/>
                <w:szCs w:val="21"/>
                <w14:textFill>
                  <w14:solidFill>
                    <w14:schemeClr w14:val="tx1"/>
                  </w14:solidFill>
                </w14:textFill>
              </w:rPr>
              <w:t>万t/a</w:t>
            </w:r>
          </w:p>
        </w:tc>
        <w:tc>
          <w:tcPr>
            <w:tcW w:w="777" w:type="pct"/>
            <w:noWrap w:val="0"/>
            <w:vAlign w:val="center"/>
          </w:tcPr>
          <w:p w14:paraId="249CB7E4">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p>
        </w:tc>
      </w:tr>
      <w:tr w14:paraId="64F963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1455" w:type="pct"/>
            <w:gridSpan w:val="2"/>
            <w:vMerge w:val="continue"/>
            <w:noWrap w:val="0"/>
            <w:vAlign w:val="center"/>
          </w:tcPr>
          <w:p w14:paraId="20599A0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p>
        </w:tc>
        <w:tc>
          <w:tcPr>
            <w:tcW w:w="1040" w:type="pct"/>
            <w:noWrap w:val="0"/>
            <w:vAlign w:val="center"/>
          </w:tcPr>
          <w:p w14:paraId="6EBC01BC">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生活垃圾</w:t>
            </w:r>
          </w:p>
        </w:tc>
        <w:tc>
          <w:tcPr>
            <w:tcW w:w="892" w:type="pct"/>
            <w:noWrap w:val="0"/>
            <w:vAlign w:val="center"/>
          </w:tcPr>
          <w:p w14:paraId="0ABD96C6">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bCs/>
                <w:color w:val="000000" w:themeColor="text1"/>
                <w:szCs w:val="21"/>
                <w14:textFill>
                  <w14:solidFill>
                    <w14:schemeClr w14:val="tx1"/>
                  </w14:solidFill>
                </w14:textFill>
              </w:rPr>
              <w:t>t/a</w:t>
            </w:r>
          </w:p>
        </w:tc>
        <w:tc>
          <w:tcPr>
            <w:tcW w:w="836" w:type="pct"/>
            <w:noWrap w:val="0"/>
            <w:vAlign w:val="center"/>
          </w:tcPr>
          <w:p w14:paraId="007F6347">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0</w:t>
            </w:r>
          </w:p>
        </w:tc>
        <w:tc>
          <w:tcPr>
            <w:tcW w:w="777" w:type="pct"/>
            <w:noWrap w:val="0"/>
            <w:vAlign w:val="center"/>
          </w:tcPr>
          <w:p w14:paraId="44995D1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r>
              <w:rPr>
                <w:rFonts w:hint="default" w:ascii="Times New Roman" w:hAnsi="Times New Roman" w:cs="Times New Roman"/>
                <w:bCs/>
                <w:color w:val="000000" w:themeColor="text1"/>
                <w:szCs w:val="21"/>
                <w14:textFill>
                  <w14:solidFill>
                    <w14:schemeClr w14:val="tx1"/>
                  </w14:solidFill>
                </w14:textFill>
              </w:rPr>
              <w:t>t/a</w:t>
            </w:r>
          </w:p>
        </w:tc>
      </w:tr>
      <w:tr w14:paraId="4B06C6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1455" w:type="pct"/>
            <w:gridSpan w:val="2"/>
            <w:vMerge w:val="continue"/>
            <w:noWrap w:val="0"/>
            <w:vAlign w:val="center"/>
          </w:tcPr>
          <w:p w14:paraId="30B3A64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p>
        </w:tc>
        <w:tc>
          <w:tcPr>
            <w:tcW w:w="1040" w:type="pct"/>
            <w:noWrap w:val="0"/>
            <w:vAlign w:val="center"/>
          </w:tcPr>
          <w:p w14:paraId="3DE2F70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沉淀池底泥</w:t>
            </w:r>
          </w:p>
        </w:tc>
        <w:tc>
          <w:tcPr>
            <w:tcW w:w="892" w:type="pct"/>
            <w:noWrap w:val="0"/>
            <w:vAlign w:val="center"/>
          </w:tcPr>
          <w:p w14:paraId="7454A5EA">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45.5</w:t>
            </w:r>
            <w:r>
              <w:rPr>
                <w:rFonts w:hint="default" w:ascii="Times New Roman" w:hAnsi="Times New Roman" w:cs="Times New Roman"/>
                <w:bCs/>
                <w:color w:val="000000" w:themeColor="text1"/>
                <w:szCs w:val="21"/>
                <w14:textFill>
                  <w14:solidFill>
                    <w14:schemeClr w14:val="tx1"/>
                  </w14:solidFill>
                </w14:textFill>
              </w:rPr>
              <w:t>t/a</w:t>
            </w:r>
          </w:p>
        </w:tc>
        <w:tc>
          <w:tcPr>
            <w:tcW w:w="836" w:type="pct"/>
            <w:noWrap w:val="0"/>
            <w:vAlign w:val="center"/>
          </w:tcPr>
          <w:p w14:paraId="3EAD9832">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45.5t/a</w:t>
            </w:r>
          </w:p>
        </w:tc>
        <w:tc>
          <w:tcPr>
            <w:tcW w:w="777" w:type="pct"/>
            <w:noWrap w:val="0"/>
            <w:vAlign w:val="center"/>
          </w:tcPr>
          <w:p w14:paraId="2391D960">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w:t>
            </w:r>
          </w:p>
        </w:tc>
      </w:tr>
      <w:tr w14:paraId="37C441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1455" w:type="pct"/>
            <w:gridSpan w:val="2"/>
            <w:vMerge w:val="continue"/>
            <w:noWrap w:val="0"/>
            <w:vAlign w:val="center"/>
          </w:tcPr>
          <w:p w14:paraId="1F38CBB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p>
        </w:tc>
        <w:tc>
          <w:tcPr>
            <w:tcW w:w="1040" w:type="pct"/>
            <w:noWrap w:val="0"/>
            <w:vAlign w:val="center"/>
          </w:tcPr>
          <w:p w14:paraId="4CDD3B3F">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污水站污泥</w:t>
            </w:r>
          </w:p>
        </w:tc>
        <w:tc>
          <w:tcPr>
            <w:tcW w:w="892" w:type="pct"/>
            <w:noWrap w:val="0"/>
            <w:vAlign w:val="center"/>
          </w:tcPr>
          <w:p w14:paraId="19DC3846">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r>
              <w:rPr>
                <w:rFonts w:hint="eastAsia" w:ascii="Times New Roman" w:hAnsi="Times New Roman" w:cs="Times New Roman"/>
                <w:color w:val="000000" w:themeColor="text1"/>
                <w14:textFill>
                  <w14:solidFill>
                    <w14:schemeClr w14:val="tx1"/>
                  </w14:solidFill>
                </w14:textFill>
              </w:rPr>
              <w:t>t/a</w:t>
            </w:r>
          </w:p>
        </w:tc>
        <w:tc>
          <w:tcPr>
            <w:tcW w:w="836" w:type="pct"/>
            <w:noWrap w:val="0"/>
            <w:vAlign w:val="center"/>
          </w:tcPr>
          <w:p w14:paraId="3FDA414B">
            <w:pPr>
              <w:pStyle w:val="475"/>
              <w:keepNext w:val="0"/>
              <w:keepLines w:val="0"/>
              <w:suppressLineNumbers w:val="0"/>
              <w:spacing w:before="0" w:beforeLines="0" w:beforeAutospacing="0" w:after="0" w:afterLines="0" w:afterAutospacing="0" w:line="360" w:lineRule="exact"/>
              <w:ind w:left="0" w:right="0" w:firstLine="0" w:firstLineChars="0"/>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0</w:t>
            </w:r>
          </w:p>
        </w:tc>
        <w:tc>
          <w:tcPr>
            <w:tcW w:w="777" w:type="pct"/>
            <w:noWrap w:val="0"/>
            <w:vAlign w:val="center"/>
          </w:tcPr>
          <w:p w14:paraId="21EF13D4">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r>
              <w:rPr>
                <w:rFonts w:hint="eastAsia" w:ascii="Times New Roman" w:hAnsi="Times New Roman" w:cs="Times New Roman"/>
                <w:color w:val="000000" w:themeColor="text1"/>
                <w14:textFill>
                  <w14:solidFill>
                    <w14:schemeClr w14:val="tx1"/>
                  </w14:solidFill>
                </w14:textFill>
              </w:rPr>
              <w:t>t/a</w:t>
            </w:r>
          </w:p>
        </w:tc>
      </w:tr>
      <w:tr w14:paraId="13A85E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283" w:hRule="atLeast"/>
          <w:jc w:val="center"/>
        </w:trPr>
        <w:tc>
          <w:tcPr>
            <w:tcW w:w="1455" w:type="pct"/>
            <w:gridSpan w:val="2"/>
            <w:vMerge w:val="continue"/>
            <w:noWrap w:val="0"/>
            <w:vAlign w:val="center"/>
          </w:tcPr>
          <w:p w14:paraId="0D7B0F6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14:textFill>
                  <w14:solidFill>
                    <w14:schemeClr w14:val="tx1"/>
                  </w14:solidFill>
                </w14:textFill>
              </w:rPr>
            </w:pPr>
          </w:p>
        </w:tc>
        <w:tc>
          <w:tcPr>
            <w:tcW w:w="1040" w:type="pct"/>
            <w:noWrap w:val="0"/>
            <w:vAlign w:val="center"/>
          </w:tcPr>
          <w:p w14:paraId="7CA3043C">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废矿物油</w:t>
            </w:r>
            <w:r>
              <w:rPr>
                <w:rFonts w:hint="eastAsia" w:ascii="Times New Roman" w:hAnsi="Times New Roman" w:cs="Times New Roman"/>
                <w:color w:val="000000" w:themeColor="text1"/>
                <w14:textFill>
                  <w14:solidFill>
                    <w14:schemeClr w14:val="tx1"/>
                  </w14:solidFill>
                </w14:textFill>
              </w:rPr>
              <w:t>、废油桶</w:t>
            </w:r>
          </w:p>
        </w:tc>
        <w:tc>
          <w:tcPr>
            <w:tcW w:w="892" w:type="pct"/>
            <w:noWrap w:val="0"/>
            <w:vAlign w:val="center"/>
          </w:tcPr>
          <w:p w14:paraId="18CF2F19">
            <w:pPr>
              <w:keepNext w:val="0"/>
              <w:keepLines w:val="0"/>
              <w:suppressLineNumbers w:val="0"/>
              <w:autoSpaceDE w:val="0"/>
              <w:autoSpaceDN w:val="0"/>
              <w:spacing w:before="0" w:beforeAutospacing="0" w:after="0" w:afterAutospacing="0" w:line="360" w:lineRule="exact"/>
              <w:ind w:left="0" w:right="0"/>
              <w:jc w:val="center"/>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t/a</w:t>
            </w:r>
          </w:p>
        </w:tc>
        <w:tc>
          <w:tcPr>
            <w:tcW w:w="836" w:type="pct"/>
            <w:noWrap w:val="0"/>
            <w:vAlign w:val="center"/>
          </w:tcPr>
          <w:p w14:paraId="3C8594F4">
            <w:pPr>
              <w:pStyle w:val="475"/>
              <w:keepNext w:val="0"/>
              <w:keepLines w:val="0"/>
              <w:suppressLineNumbers w:val="0"/>
              <w:spacing w:before="0" w:beforeLines="0" w:beforeAutospacing="0" w:after="0" w:afterLines="0" w:afterAutospacing="0" w:line="360" w:lineRule="exact"/>
              <w:ind w:left="0" w:right="0"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0</w:t>
            </w:r>
          </w:p>
        </w:tc>
        <w:tc>
          <w:tcPr>
            <w:tcW w:w="777" w:type="pct"/>
            <w:noWrap w:val="0"/>
            <w:vAlign w:val="center"/>
          </w:tcPr>
          <w:p w14:paraId="7FE01C2B">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t/a</w:t>
            </w:r>
          </w:p>
        </w:tc>
      </w:tr>
    </w:tbl>
    <w:p w14:paraId="08A05F11">
      <w:pPr>
        <w:pStyle w:val="3"/>
        <w:jc w:val="left"/>
        <w:rPr>
          <w:bCs/>
          <w:color w:val="000000" w:themeColor="text1"/>
          <w:kern w:val="2"/>
          <w:szCs w:val="32"/>
          <w14:textFill>
            <w14:solidFill>
              <w14:schemeClr w14:val="tx1"/>
            </w14:solidFill>
          </w14:textFill>
        </w:rPr>
      </w:pPr>
      <w:bookmarkStart w:id="318" w:name="_Toc26536"/>
      <w:bookmarkStart w:id="319" w:name="_Toc8542"/>
      <w:bookmarkStart w:id="320" w:name="_Toc7234"/>
      <w:bookmarkStart w:id="321" w:name="_Toc111767553"/>
      <w:r>
        <w:rPr>
          <w:rFonts w:hint="eastAsia"/>
          <w:bCs/>
          <w:color w:val="000000" w:themeColor="text1"/>
          <w:kern w:val="2"/>
          <w:szCs w:val="32"/>
          <w14:textFill>
            <w14:solidFill>
              <w14:schemeClr w14:val="tx1"/>
            </w14:solidFill>
          </w14:textFill>
        </w:rPr>
        <w:t>3.</w:t>
      </w:r>
      <w:r>
        <w:rPr>
          <w:bCs/>
          <w:color w:val="000000" w:themeColor="text1"/>
          <w:kern w:val="2"/>
          <w:szCs w:val="32"/>
          <w14:textFill>
            <w14:solidFill>
              <w14:schemeClr w14:val="tx1"/>
            </w14:solidFill>
          </w14:textFill>
        </w:rPr>
        <w:t>4与相关规划协调性分析</w:t>
      </w:r>
      <w:bookmarkEnd w:id="318"/>
      <w:bookmarkEnd w:id="319"/>
      <w:bookmarkEnd w:id="320"/>
      <w:bookmarkEnd w:id="321"/>
    </w:p>
    <w:p w14:paraId="7CBA991A">
      <w:pPr>
        <w:pStyle w:val="4"/>
        <w:spacing w:before="60" w:after="60" w:line="480" w:lineRule="exact"/>
        <w:rPr>
          <w:color w:val="000000" w:themeColor="text1"/>
          <w:kern w:val="2"/>
          <w14:textFill>
            <w14:solidFill>
              <w14:schemeClr w14:val="tx1"/>
            </w14:solidFill>
          </w14:textFill>
        </w:rPr>
      </w:pPr>
      <w:bookmarkStart w:id="322" w:name="_Toc13620"/>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4</w:t>
      </w:r>
      <w:r>
        <w:rPr>
          <w:rFonts w:hint="eastAsia"/>
          <w:color w:val="000000" w:themeColor="text1"/>
          <w:kern w:val="2"/>
          <w14:textFill>
            <w14:solidFill>
              <w14:schemeClr w14:val="tx1"/>
            </w14:solidFill>
          </w14:textFill>
        </w:rPr>
        <w:t>.1</w:t>
      </w:r>
      <w:r>
        <w:rPr>
          <w:color w:val="000000" w:themeColor="text1"/>
          <w:kern w:val="2"/>
          <w14:textFill>
            <w14:solidFill>
              <w14:schemeClr w14:val="tx1"/>
            </w14:solidFill>
          </w14:textFill>
        </w:rPr>
        <w:t>产业政策符合性分析</w:t>
      </w:r>
      <w:bookmarkEnd w:id="322"/>
    </w:p>
    <w:p w14:paraId="0DB57AB5">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1.1</w:t>
      </w:r>
      <w:r>
        <w:rPr>
          <w:rFonts w:hint="eastAsia" w:ascii="Times New Roman" w:hAnsi="Times New Roman"/>
          <w:bCs w:val="0"/>
          <w:color w:val="000000" w:themeColor="text1"/>
          <w:kern w:val="2"/>
          <w:szCs w:val="24"/>
          <w14:textFill>
            <w14:solidFill>
              <w14:schemeClr w14:val="tx1"/>
            </w14:solidFill>
          </w14:textFill>
        </w:rPr>
        <w:t>与</w:t>
      </w:r>
      <w:r>
        <w:rPr>
          <w:rFonts w:ascii="Times New Roman" w:hAnsi="Times New Roman"/>
          <w:bCs w:val="0"/>
          <w:color w:val="000000" w:themeColor="text1"/>
          <w:kern w:val="2"/>
          <w:szCs w:val="24"/>
          <w14:textFill>
            <w14:solidFill>
              <w14:schemeClr w14:val="tx1"/>
            </w14:solidFill>
          </w14:textFill>
        </w:rPr>
        <w:t>《产业结构调整指导目录（20</w:t>
      </w:r>
      <w:r>
        <w:rPr>
          <w:rFonts w:hint="eastAsia" w:ascii="Times New Roman" w:hAnsi="Times New Roman"/>
          <w:bCs w:val="0"/>
          <w:color w:val="000000" w:themeColor="text1"/>
          <w:kern w:val="2"/>
          <w:szCs w:val="24"/>
          <w:lang w:val="en-US" w:eastAsia="zh-CN"/>
          <w14:textFill>
            <w14:solidFill>
              <w14:schemeClr w14:val="tx1"/>
            </w14:solidFill>
          </w14:textFill>
        </w:rPr>
        <w:t>24</w:t>
      </w:r>
      <w:r>
        <w:rPr>
          <w:rFonts w:ascii="Times New Roman" w:hAnsi="Times New Roman"/>
          <w:bCs w:val="0"/>
          <w:color w:val="000000" w:themeColor="text1"/>
          <w:kern w:val="2"/>
          <w:szCs w:val="24"/>
          <w14:textFill>
            <w14:solidFill>
              <w14:schemeClr w14:val="tx1"/>
            </w14:solidFill>
          </w14:textFill>
        </w:rPr>
        <w:t>年本）》</w:t>
      </w:r>
      <w:r>
        <w:rPr>
          <w:rFonts w:hint="eastAsia" w:ascii="Times New Roman" w:hAnsi="Times New Roman"/>
          <w:bCs w:val="0"/>
          <w:color w:val="000000" w:themeColor="text1"/>
          <w:kern w:val="2"/>
          <w:szCs w:val="24"/>
          <w14:textFill>
            <w14:solidFill>
              <w14:schemeClr w14:val="tx1"/>
            </w14:solidFill>
          </w14:textFill>
        </w:rPr>
        <w:t>的符合性分析</w:t>
      </w:r>
    </w:p>
    <w:p w14:paraId="02FFE8B4">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本项目为铁矿开采项目，属于</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四十三、黑色金属矿采选业</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。根据《产业结构调整指导目录（20</w:t>
      </w:r>
      <w:r>
        <w:rPr>
          <w:rFonts w:hint="eastAsia"/>
          <w:color w:val="000000" w:themeColor="text1"/>
          <w:sz w:val="24"/>
          <w:szCs w:val="24"/>
          <w:lang w:val="en-US" w:eastAsia="zh-CN"/>
          <w14:textFill>
            <w14:solidFill>
              <w14:schemeClr w14:val="tx1"/>
            </w14:solidFill>
          </w14:textFill>
        </w:rPr>
        <w:t>24</w:t>
      </w:r>
      <w:r>
        <w:rPr>
          <w:color w:val="000000" w:themeColor="text1"/>
          <w:sz w:val="24"/>
          <w:szCs w:val="24"/>
          <w14:textFill>
            <w14:solidFill>
              <w14:schemeClr w14:val="tx1"/>
            </w14:solidFill>
          </w14:textFill>
        </w:rPr>
        <w:t>年本）》，</w:t>
      </w:r>
      <w:r>
        <w:rPr>
          <w:rFonts w:hint="default" w:ascii="Times New Roman" w:hAnsi="Times New Roman" w:eastAsia="宋体" w:cs="Times New Roman"/>
          <w:color w:val="000000" w:themeColor="text1"/>
          <w:kern w:val="10"/>
          <w:sz w:val="24"/>
          <w:szCs w:val="24"/>
          <w14:textFill>
            <w14:solidFill>
              <w14:schemeClr w14:val="tx1"/>
            </w14:solidFill>
          </w14:textFill>
        </w:rPr>
        <w:t>本项目属于鼓励类“八、钢铁1．黑色金属矿山开采、选矿及共伴生矿产综合开发利用</w:t>
      </w:r>
      <w:r>
        <w:rPr>
          <w:rFonts w:hint="default" w:ascii="Times New Roman" w:hAnsi="Times New Roman" w:eastAsia="宋体" w:cs="Times New Roman"/>
          <w:color w:val="000000" w:themeColor="text1"/>
          <w:kern w:val="1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14:textFill>
            <w14:solidFill>
              <w14:schemeClr w14:val="tx1"/>
            </w14:solidFill>
          </w14:textFill>
        </w:rPr>
        <w:t>黑色金属矿山尾矿充填采矿工艺、技术及装备”</w:t>
      </w:r>
      <w:r>
        <w:rPr>
          <w:color w:val="000000" w:themeColor="text1"/>
          <w:sz w:val="24"/>
          <w:szCs w:val="24"/>
          <w14:textFill>
            <w14:solidFill>
              <w14:schemeClr w14:val="tx1"/>
            </w14:solidFill>
          </w14:textFill>
        </w:rPr>
        <w:t>，本项目的建设符合</w:t>
      </w:r>
      <w:r>
        <w:rPr>
          <w:rFonts w:ascii="Times New Roman" w:hAnsi="Times New Roman"/>
          <w:bCs w:val="0"/>
          <w:color w:val="000000" w:themeColor="text1"/>
          <w:kern w:val="2"/>
          <w:sz w:val="24"/>
          <w:szCs w:val="24"/>
          <w14:textFill>
            <w14:solidFill>
              <w14:schemeClr w14:val="tx1"/>
            </w14:solidFill>
          </w14:textFill>
        </w:rPr>
        <w:t>《产业结构调整指导目录（20</w:t>
      </w:r>
      <w:r>
        <w:rPr>
          <w:rFonts w:hint="eastAsia" w:ascii="Times New Roman" w:hAnsi="Times New Roman"/>
          <w:bCs w:val="0"/>
          <w:color w:val="000000" w:themeColor="text1"/>
          <w:kern w:val="2"/>
          <w:sz w:val="24"/>
          <w:szCs w:val="24"/>
          <w:lang w:val="en-US" w:eastAsia="zh-CN"/>
          <w14:textFill>
            <w14:solidFill>
              <w14:schemeClr w14:val="tx1"/>
            </w14:solidFill>
          </w14:textFill>
        </w:rPr>
        <w:t>24</w:t>
      </w:r>
      <w:r>
        <w:rPr>
          <w:rFonts w:ascii="Times New Roman" w:hAnsi="Times New Roman"/>
          <w:bCs w:val="0"/>
          <w:color w:val="000000" w:themeColor="text1"/>
          <w:kern w:val="2"/>
          <w:sz w:val="24"/>
          <w:szCs w:val="24"/>
          <w14:textFill>
            <w14:solidFill>
              <w14:schemeClr w14:val="tx1"/>
            </w14:solidFill>
          </w14:textFill>
        </w:rPr>
        <w:t>年本）》</w:t>
      </w:r>
      <w:r>
        <w:rPr>
          <w:rFonts w:hint="eastAsia" w:ascii="Times New Roman" w:hAnsi="Times New Roman"/>
          <w:bCs w:val="0"/>
          <w:color w:val="000000" w:themeColor="text1"/>
          <w:kern w:val="2"/>
          <w:sz w:val="24"/>
          <w:szCs w:val="24"/>
          <w:lang w:eastAsia="zh-CN"/>
          <w14:textFill>
            <w14:solidFill>
              <w14:schemeClr w14:val="tx1"/>
            </w14:solidFill>
          </w14:textFill>
        </w:rPr>
        <w:t>的</w:t>
      </w:r>
      <w:r>
        <w:rPr>
          <w:rFonts w:hint="eastAsia" w:ascii="Times New Roman" w:hAnsi="Times New Roman"/>
          <w:bCs w:val="0"/>
          <w:color w:val="000000" w:themeColor="text1"/>
          <w:kern w:val="2"/>
          <w:sz w:val="24"/>
          <w:szCs w:val="24"/>
          <w:lang w:val="en-US" w:eastAsia="zh-CN"/>
          <w14:textFill>
            <w14:solidFill>
              <w14:schemeClr w14:val="tx1"/>
            </w14:solidFill>
          </w14:textFill>
        </w:rPr>
        <w:t>相关要求</w:t>
      </w:r>
      <w:r>
        <w:rPr>
          <w:color w:val="000000" w:themeColor="text1"/>
          <w:sz w:val="24"/>
          <w:szCs w:val="24"/>
          <w14:textFill>
            <w14:solidFill>
              <w14:schemeClr w14:val="tx1"/>
            </w14:solidFill>
          </w14:textFill>
        </w:rPr>
        <w:t>。</w:t>
      </w:r>
    </w:p>
    <w:p w14:paraId="7C70AC1D">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1.</w:t>
      </w:r>
      <w:r>
        <w:rPr>
          <w:rFonts w:hint="eastAsia" w:ascii="Times New Roman" w:hAnsi="Times New Roman"/>
          <w:bCs w:val="0"/>
          <w:color w:val="000000" w:themeColor="text1"/>
          <w:kern w:val="2"/>
          <w:szCs w:val="24"/>
          <w:lang w:val="en-US" w:eastAsia="zh-CN"/>
          <w14:textFill>
            <w14:solidFill>
              <w14:schemeClr w14:val="tx1"/>
            </w14:solidFill>
          </w14:textFill>
        </w:rPr>
        <w:t>2</w:t>
      </w:r>
      <w:r>
        <w:rPr>
          <w:rFonts w:hint="eastAsia" w:ascii="Times New Roman" w:hAnsi="Times New Roman"/>
          <w:bCs w:val="0"/>
          <w:color w:val="000000" w:themeColor="text1"/>
          <w:kern w:val="2"/>
          <w:szCs w:val="24"/>
          <w14:textFill>
            <w14:solidFill>
              <w14:schemeClr w14:val="tx1"/>
            </w14:solidFill>
          </w14:textFill>
        </w:rPr>
        <w:t>与</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西部地区鼓励类产业目录（202</w:t>
      </w:r>
      <w:r>
        <w:rPr>
          <w:rFonts w:hint="eastAsia" w:ascii="Times New Roman" w:hAnsi="Times New Roman" w:cs="Times New Roman"/>
          <w:color w:val="000000" w:themeColor="text1"/>
          <w:kern w:val="10"/>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年本）</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的符合性分析</w:t>
      </w:r>
    </w:p>
    <w:p w14:paraId="4E4BCED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西部地区鼓励类产业目录（2025年本）》，铁矿开采项目属于新疆维吾尔自治区（含新疆生产建设兵团）的鼓励类项目——“铁、锰、铜、镍、铅、锌、钨、锡、钛、锑、镁、稀有金属和稀散金属勘探、有序开采、精深加工、加工新技术开发及应用”。因此，本项目的建设符合《西部地区鼓励类产业目录（2025年本）》的要求。</w:t>
      </w:r>
    </w:p>
    <w:p w14:paraId="30C24107">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3.4.1.</w:t>
      </w:r>
      <w:r>
        <w:rPr>
          <w:rFonts w:hint="eastAsia" w:ascii="Times New Roman" w:hAnsi="Times New Roman"/>
          <w:bCs w:val="0"/>
          <w:color w:val="000000" w:themeColor="text1"/>
          <w:kern w:val="2"/>
          <w:szCs w:val="24"/>
          <w:lang w:val="en-US" w:eastAsia="zh-CN"/>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与《矿山生态环境保护与污染防治技术政策》的符合性分析</w:t>
      </w:r>
    </w:p>
    <w:p w14:paraId="5EF35AA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w:t>
      </w:r>
      <w:r>
        <w:rPr>
          <w:rFonts w:hint="eastAsia"/>
          <w:color w:val="000000" w:themeColor="text1"/>
          <w:sz w:val="24"/>
          <w14:textFill>
            <w14:solidFill>
              <w14:schemeClr w14:val="tx1"/>
            </w14:solidFill>
          </w14:textFill>
        </w:rPr>
        <w:t>项目与该</w:t>
      </w:r>
      <w:r>
        <w:rPr>
          <w:color w:val="000000" w:themeColor="text1"/>
          <w:sz w:val="24"/>
          <w14:textFill>
            <w14:solidFill>
              <w14:schemeClr w14:val="tx1"/>
            </w14:solidFill>
          </w14:textFill>
        </w:rPr>
        <w:t>技术政策相关符合性见表3.4-1。</w:t>
      </w:r>
    </w:p>
    <w:p w14:paraId="343389C4">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表3.4-1</w:t>
      </w:r>
      <w:r>
        <w:rPr>
          <w:rFonts w:hint="eastAsia"/>
          <w:b/>
          <w:bCs/>
          <w:color w:val="000000" w:themeColor="text1"/>
          <w:sz w:val="24"/>
          <w14:textFill>
            <w14:solidFill>
              <w14:schemeClr w14:val="tx1"/>
            </w14:solidFill>
          </w14:textFill>
        </w:rPr>
        <w:t xml:space="preserve">    </w:t>
      </w:r>
      <w:r>
        <w:rPr>
          <w:b/>
          <w:bCs/>
          <w:color w:val="000000" w:themeColor="text1"/>
          <w:kern w:val="0"/>
          <w:sz w:val="24"/>
          <w:lang w:bidi="ar"/>
          <w14:textFill>
            <w14:solidFill>
              <w14:schemeClr w14:val="tx1"/>
            </w14:solidFill>
          </w14:textFill>
        </w:rPr>
        <w:t>相关技术政策符合性</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3449"/>
        <w:gridCol w:w="3356"/>
        <w:gridCol w:w="910"/>
      </w:tblGrid>
      <w:tr w14:paraId="0AC00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2" w:type="pct"/>
            <w:noWrap w:val="0"/>
            <w:vAlign w:val="center"/>
          </w:tcPr>
          <w:p w14:paraId="30EFE8B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类别</w:t>
            </w:r>
          </w:p>
        </w:tc>
        <w:tc>
          <w:tcPr>
            <w:tcW w:w="2024" w:type="pct"/>
            <w:noWrap w:val="0"/>
            <w:vAlign w:val="center"/>
          </w:tcPr>
          <w:p w14:paraId="4321575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具体要求</w:t>
            </w:r>
          </w:p>
        </w:tc>
        <w:tc>
          <w:tcPr>
            <w:tcW w:w="1969" w:type="pct"/>
            <w:noWrap w:val="0"/>
            <w:vAlign w:val="center"/>
          </w:tcPr>
          <w:p w14:paraId="67A61C7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w:t>
            </w:r>
          </w:p>
        </w:tc>
        <w:tc>
          <w:tcPr>
            <w:tcW w:w="534" w:type="pct"/>
            <w:noWrap w:val="0"/>
            <w:vAlign w:val="center"/>
          </w:tcPr>
          <w:p w14:paraId="50FBFDC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lang w:eastAsia="zh-Hans"/>
                <w14:textFill>
                  <w14:solidFill>
                    <w14:schemeClr w14:val="tx1"/>
                  </w14:solidFill>
                </w14:textFill>
              </w:rPr>
            </w:pPr>
            <w:r>
              <w:rPr>
                <w:rFonts w:hint="eastAsia" w:ascii="Times New Roman" w:hAnsi="Times New Roman" w:cs="Times New Roman"/>
                <w:b/>
                <w:bCs/>
                <w:color w:val="000000" w:themeColor="text1"/>
                <w:szCs w:val="21"/>
                <w:lang w:eastAsia="zh-Hans"/>
                <w14:textFill>
                  <w14:solidFill>
                    <w14:schemeClr w14:val="tx1"/>
                  </w14:solidFill>
                </w14:textFill>
              </w:rPr>
              <w:t>符合性</w:t>
            </w:r>
          </w:p>
        </w:tc>
      </w:tr>
      <w:tr w14:paraId="340CE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noWrap w:val="0"/>
            <w:vAlign w:val="center"/>
          </w:tcPr>
          <w:p w14:paraId="238E9C3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指导方针</w:t>
            </w:r>
          </w:p>
        </w:tc>
        <w:tc>
          <w:tcPr>
            <w:tcW w:w="2024" w:type="pct"/>
            <w:noWrap w:val="0"/>
            <w:vAlign w:val="center"/>
          </w:tcPr>
          <w:p w14:paraId="22E8AD2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矿产资源的开发应贯彻</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污染防治与生态环境保护并重，生态环境保护与生态环境建设并举；以及预防为主、防治结合、过程控制、综合治理</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的指导方针。</w:t>
            </w:r>
          </w:p>
        </w:tc>
        <w:tc>
          <w:tcPr>
            <w:tcW w:w="1969" w:type="pct"/>
            <w:noWrap w:val="0"/>
            <w:vAlign w:val="center"/>
          </w:tcPr>
          <w:p w14:paraId="4C47F2C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本项目将严格按照本技术政策的指导方针</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矿山开采过程中采用“边开采</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边复垦”的方针</w:t>
            </w:r>
            <w:r>
              <w:rPr>
                <w:rFonts w:hint="eastAsia" w:ascii="Times New Roman" w:hAnsi="Times New Roman" w:cs="Times New Roman"/>
                <w:color w:val="000000" w:themeColor="text1"/>
                <w:szCs w:val="21"/>
                <w14:textFill>
                  <w14:solidFill>
                    <w14:schemeClr w14:val="tx1"/>
                  </w14:solidFill>
                </w14:textFill>
              </w:rPr>
              <w:t>。</w:t>
            </w:r>
          </w:p>
        </w:tc>
        <w:tc>
          <w:tcPr>
            <w:tcW w:w="534" w:type="pct"/>
            <w:noWrap w:val="0"/>
            <w:vAlign w:val="center"/>
          </w:tcPr>
          <w:p w14:paraId="68D8488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6CD16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noWrap w:val="0"/>
            <w:vAlign w:val="center"/>
          </w:tcPr>
          <w:p w14:paraId="3EF689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技术原则</w:t>
            </w:r>
          </w:p>
        </w:tc>
        <w:tc>
          <w:tcPr>
            <w:tcW w:w="2024" w:type="pct"/>
            <w:noWrap w:val="0"/>
            <w:vAlign w:val="center"/>
          </w:tcPr>
          <w:p w14:paraId="642CD1C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发展绿色开采技术，实现矿区生态环境无损或受损最小</w:t>
            </w:r>
            <w:r>
              <w:rPr>
                <w:rFonts w:hint="eastAsia" w:ascii="Times New Roman" w:hAnsi="Times New Roman" w:cs="Times New Roman"/>
                <w:color w:val="000000" w:themeColor="text1"/>
                <w:szCs w:val="21"/>
                <w14:textFill>
                  <w14:solidFill>
                    <w14:schemeClr w14:val="tx1"/>
                  </w14:solidFill>
                </w14:textFill>
              </w:rPr>
              <w:t>。</w:t>
            </w:r>
          </w:p>
        </w:tc>
        <w:tc>
          <w:tcPr>
            <w:tcW w:w="1969" w:type="pct"/>
            <w:noWrap w:val="0"/>
            <w:vAlign w:val="center"/>
          </w:tcPr>
          <w:p w14:paraId="410DA2D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本项目采用国内较为成熟</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使用普遍的工艺进行生产</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在开采过程中使用清洁能源</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采用清洁生产</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vMerge w:val="restart"/>
            <w:noWrap w:val="0"/>
            <w:vAlign w:val="center"/>
          </w:tcPr>
          <w:p w14:paraId="3AF496E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1CBBE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3906B6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13224A3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发展干法或节水的工艺技术，减少水的使用量。</w:t>
            </w:r>
          </w:p>
        </w:tc>
        <w:tc>
          <w:tcPr>
            <w:tcW w:w="1969" w:type="pct"/>
            <w:noWrap w:val="0"/>
            <w:vAlign w:val="center"/>
          </w:tcPr>
          <w:p w14:paraId="08B9BDA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矿井涌水</w:t>
            </w:r>
            <w:r>
              <w:rPr>
                <w:rFonts w:hint="eastAsia" w:ascii="Times New Roman" w:hAnsi="Times New Roman" w:cs="Times New Roman"/>
                <w:color w:val="000000" w:themeColor="text1"/>
                <w:szCs w:val="21"/>
                <w:lang w:eastAsia="zh-Hans"/>
                <w14:textFill>
                  <w14:solidFill>
                    <w14:schemeClr w14:val="tx1"/>
                  </w14:solidFill>
                </w14:textFill>
              </w:rPr>
              <w:t>不外排</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用于井下生产</w:t>
            </w:r>
            <w:r>
              <w:rPr>
                <w:rFonts w:hint="eastAsia" w:ascii="Times New Roman" w:hAnsi="Times New Roman" w:cs="Times New Roman"/>
                <w:color w:val="000000" w:themeColor="text1"/>
                <w:szCs w:val="21"/>
                <w14:textFill>
                  <w14:solidFill>
                    <w14:schemeClr w14:val="tx1"/>
                  </w14:solidFill>
                </w14:textFill>
              </w:rPr>
              <w:t>、矿区绿化及降尘使用，其余输送至选矿厂用于选矿生产；</w:t>
            </w:r>
            <w:r>
              <w:rPr>
                <w:rFonts w:hint="eastAsia" w:ascii="Times New Roman" w:hAnsi="Times New Roman" w:cs="Times New Roman"/>
                <w:color w:val="000000" w:themeColor="text1"/>
                <w:szCs w:val="21"/>
                <w:lang w:eastAsia="zh-Hans"/>
                <w14:textFill>
                  <w14:solidFill>
                    <w14:schemeClr w14:val="tx1"/>
                  </w14:solidFill>
                </w14:textFill>
              </w:rPr>
              <w:t>生活用水经处理达标后，灌溉期用于矿山绿化，非灌溉期将达标后的生活污水输送至选矿厂用于选矿生产</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大大减少了水的使用量</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vMerge w:val="continue"/>
            <w:noWrap w:val="0"/>
            <w:vAlign w:val="center"/>
          </w:tcPr>
          <w:p w14:paraId="168482C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p>
        </w:tc>
      </w:tr>
      <w:tr w14:paraId="6ADD0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05394E3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5402502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发展无废或少废的工艺技术，最大限度地减少废弃物的产生</w:t>
            </w:r>
            <w:r>
              <w:rPr>
                <w:rFonts w:hint="eastAsia" w:ascii="Times New Roman" w:hAnsi="Times New Roman" w:cs="Times New Roman"/>
                <w:color w:val="000000" w:themeColor="text1"/>
                <w:szCs w:val="21"/>
                <w14:textFill>
                  <w14:solidFill>
                    <w14:schemeClr w14:val="tx1"/>
                  </w14:solidFill>
                </w14:textFill>
              </w:rPr>
              <w:t>。</w:t>
            </w:r>
          </w:p>
        </w:tc>
        <w:tc>
          <w:tcPr>
            <w:tcW w:w="1969" w:type="pct"/>
            <w:noWrap w:val="0"/>
            <w:vAlign w:val="center"/>
          </w:tcPr>
          <w:p w14:paraId="63990BE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本项目在运营过程中产生的污染物为扬尘</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柴油燃烧废气、矿井涌水、生活污水</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一般工业固体废物</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危险废物等</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经环保设施及措施处理后</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污染物产生量较小</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vMerge w:val="continue"/>
            <w:noWrap w:val="0"/>
            <w:vAlign w:val="center"/>
          </w:tcPr>
          <w:p w14:paraId="4AFF31C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61F6A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2F9AF79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67CE31A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矿山废物按照先提取有价金属、组分或利用能源，再选择用于建材或其它用途，最后进行无害化处理处置的技术原则。</w:t>
            </w:r>
          </w:p>
        </w:tc>
        <w:tc>
          <w:tcPr>
            <w:tcW w:w="1969" w:type="pct"/>
            <w:noWrap w:val="0"/>
            <w:vAlign w:val="center"/>
          </w:tcPr>
          <w:p w14:paraId="53E1D82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本项目为铁矿采矿项目</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开采废石堆置于废石堆场，待矿区开采结束并稳沉后，将废石全部回填至采空区</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vMerge w:val="continue"/>
            <w:noWrap w:val="0"/>
            <w:vAlign w:val="center"/>
          </w:tcPr>
          <w:p w14:paraId="6FFA838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65E66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noWrap w:val="0"/>
            <w:vAlign w:val="center"/>
          </w:tcPr>
          <w:p w14:paraId="003D45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复垦率</w:t>
            </w:r>
          </w:p>
        </w:tc>
        <w:tc>
          <w:tcPr>
            <w:tcW w:w="2024" w:type="pct"/>
            <w:noWrap w:val="0"/>
            <w:vAlign w:val="center"/>
          </w:tcPr>
          <w:p w14:paraId="08C640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新建矿山应做到边开采、边复垦，破坏土地复垦率达到85%以上。</w:t>
            </w:r>
          </w:p>
        </w:tc>
        <w:tc>
          <w:tcPr>
            <w:tcW w:w="1969" w:type="pct"/>
            <w:noWrap w:val="0"/>
            <w:vAlign w:val="center"/>
          </w:tcPr>
          <w:p w14:paraId="78AEE0C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根据</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矿山地质环境保护与土地复垦方案</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矿区开采过程中要求做到“边开采</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边复垦”</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本项目占地为低覆盖度草地</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复垦后</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土地复垦率可达到</w:t>
            </w:r>
            <w:r>
              <w:rPr>
                <w:rFonts w:hint="default" w:ascii="Times New Roman" w:hAnsi="Times New Roman" w:cs="Times New Roman"/>
                <w:color w:val="000000" w:themeColor="text1"/>
                <w:szCs w:val="21"/>
                <w:lang w:eastAsia="zh-Hans"/>
                <w14:textFill>
                  <w14:solidFill>
                    <w14:schemeClr w14:val="tx1"/>
                  </w14:solidFill>
                </w14:textFill>
              </w:rPr>
              <w:t>85%</w:t>
            </w:r>
            <w:r>
              <w:rPr>
                <w:rFonts w:hint="eastAsia" w:ascii="Times New Roman" w:hAnsi="Times New Roman" w:cs="Times New Roman"/>
                <w:color w:val="000000" w:themeColor="text1"/>
                <w:szCs w:val="21"/>
                <w:lang w:eastAsia="zh-Hans"/>
                <w14:textFill>
                  <w14:solidFill>
                    <w14:schemeClr w14:val="tx1"/>
                  </w14:solidFill>
                </w14:textFill>
              </w:rPr>
              <w:t>以上</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noWrap w:val="0"/>
            <w:vAlign w:val="center"/>
          </w:tcPr>
          <w:p w14:paraId="3CAB62A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76A08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noWrap w:val="0"/>
            <w:vAlign w:val="center"/>
          </w:tcPr>
          <w:p w14:paraId="020FF8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清洁生产</w:t>
            </w:r>
          </w:p>
        </w:tc>
        <w:tc>
          <w:tcPr>
            <w:tcW w:w="2024" w:type="pct"/>
            <w:noWrap w:val="0"/>
            <w:vAlign w:val="center"/>
          </w:tcPr>
          <w:p w14:paraId="51458E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鼓励矿山企业开展清洁生产审核，优先选用采、选矿清洁生产工艺，杜绝落后工艺与设备向新开发矿区和落后地区转移。</w:t>
            </w:r>
          </w:p>
        </w:tc>
        <w:tc>
          <w:tcPr>
            <w:tcW w:w="1969" w:type="pct"/>
            <w:noWrap w:val="0"/>
            <w:vAlign w:val="center"/>
          </w:tcPr>
          <w:p w14:paraId="3C96399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根据中华人民共和国环境保护行业标准（HJ/T294-2006）中的《清洁生产标准 铁矿采选业》中的指标对本项目进行清洁生产水平分析</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本项目清洁水平达到二级标准</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无落后工艺</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noWrap w:val="0"/>
            <w:vAlign w:val="center"/>
          </w:tcPr>
          <w:p w14:paraId="1CCFCC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74E79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noWrap w:val="0"/>
            <w:vAlign w:val="center"/>
          </w:tcPr>
          <w:p w14:paraId="318F83D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矿产资源开发规划与设计</w:t>
            </w:r>
          </w:p>
        </w:tc>
        <w:tc>
          <w:tcPr>
            <w:tcW w:w="2024" w:type="pct"/>
            <w:noWrap w:val="0"/>
            <w:vAlign w:val="center"/>
          </w:tcPr>
          <w:p w14:paraId="1C2AD30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（1）禁止在依法划定的自然保护区（核心区、缓冲区）、风景名胜区、森林公园、饮用水水源保护区、重要湖泊周边、文物古迹所在地、地质遗迹保护区、基本农田保护区等区域内采矿。</w:t>
            </w:r>
          </w:p>
          <w:p w14:paraId="65AA097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（2）禁止在铁路、国道、省道两侧的直观可视范围内进行露天开采。</w:t>
            </w:r>
          </w:p>
          <w:p w14:paraId="4555D4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（3）禁止在地质灾害危险区开采矿产资源。</w:t>
            </w:r>
          </w:p>
          <w:p w14:paraId="53030FE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（4）禁止新建对生态环境产生不可恢复利用的、产生破坏性影响的矿产资源开发项目。</w:t>
            </w:r>
          </w:p>
        </w:tc>
        <w:tc>
          <w:tcPr>
            <w:tcW w:w="1969" w:type="pct"/>
            <w:noWrap w:val="0"/>
            <w:vAlign w:val="center"/>
          </w:tcPr>
          <w:p w14:paraId="695C98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lang w:eastAsia="zh-Hans"/>
                <w14:textFill>
                  <w14:solidFill>
                    <w14:schemeClr w14:val="tx1"/>
                  </w14:solidFill>
                </w14:textFill>
              </w:rPr>
            </w:pPr>
            <w:r>
              <w:rPr>
                <w:rFonts w:hint="eastAsia" w:ascii="Times New Roman" w:hAnsi="Times New Roman" w:cs="Times New Roman"/>
                <w:color w:val="000000" w:themeColor="text1"/>
                <w:lang w:eastAsia="zh-Hans"/>
                <w14:textFill>
                  <w14:solidFill>
                    <w14:schemeClr w14:val="tx1"/>
                  </w14:solidFill>
                </w14:textFill>
              </w:rPr>
              <w:t>本项目位于</w:t>
            </w:r>
            <w:r>
              <w:rPr>
                <w:rFonts w:hint="eastAsia" w:ascii="Times New Roman" w:hAnsi="Times New Roman" w:cs="Times New Roman"/>
                <w:color w:val="000000" w:themeColor="text1"/>
                <w14:textFill>
                  <w14:solidFill>
                    <w14:schemeClr w14:val="tx1"/>
                  </w14:solidFill>
                </w14:textFill>
              </w:rPr>
              <w:t>哈密市伊州区雅满苏镇</w:t>
            </w:r>
            <w:r>
              <w:rPr>
                <w:rFonts w:hint="eastAsia" w:ascii="Times New Roman" w:hAnsi="Times New Roman" w:cs="Times New Roman"/>
                <w:color w:val="000000" w:themeColor="text1"/>
                <w:lang w:eastAsia="zh-Hans"/>
                <w14:textFill>
                  <w14:solidFill>
                    <w14:schemeClr w14:val="tx1"/>
                  </w14:solidFill>
                </w14:textFill>
              </w:rPr>
              <w:t>境内</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项目区占地不涉及</w:t>
            </w:r>
            <w:r>
              <w:rPr>
                <w:rFonts w:hint="default" w:ascii="Times New Roman" w:hAnsi="Times New Roman" w:cs="Times New Roman"/>
                <w:color w:val="000000" w:themeColor="text1"/>
                <w14:textFill>
                  <w14:solidFill>
                    <w14:schemeClr w14:val="tx1"/>
                  </w14:solidFill>
                </w14:textFill>
              </w:rPr>
              <w:t>自然保护区（核心区、缓冲区）、风景名胜区、森林公园、饮用水水源保护区、重要湖泊周边、文物古迹所在地、地质遗迹保护区、基本农田保护区</w:t>
            </w:r>
            <w:r>
              <w:rPr>
                <w:rFonts w:hint="eastAsia" w:ascii="Times New Roman" w:hAnsi="Times New Roman" w:cs="Times New Roman"/>
                <w:color w:val="000000" w:themeColor="text1"/>
                <w:lang w:eastAsia="zh-Hans"/>
                <w14:textFill>
                  <w14:solidFill>
                    <w14:schemeClr w14:val="tx1"/>
                  </w14:solidFill>
                </w14:textFill>
              </w:rPr>
              <w:t>等</w:t>
            </w:r>
            <w:r>
              <w:rPr>
                <w:rFonts w:hint="default" w:ascii="Times New Roman" w:hAnsi="Times New Roman" w:cs="Times New Roman"/>
                <w:color w:val="000000" w:themeColor="text1"/>
                <w:lang w:eastAsia="zh-Hans"/>
                <w14:textFill>
                  <w14:solidFill>
                    <w14:schemeClr w14:val="tx1"/>
                  </w14:solidFill>
                </w14:textFill>
              </w:rPr>
              <w:t>；</w:t>
            </w:r>
          </w:p>
          <w:p w14:paraId="7CF29EA8">
            <w:pPr>
              <w:pStyle w:val="183"/>
              <w:ind w:firstLine="420"/>
              <w:rPr>
                <w:rFonts w:hint="eastAsia" w:ascii="Times New Roman" w:hAnsi="Times New Roman" w:eastAsia="宋体"/>
                <w:color w:val="000000" w:themeColor="text1"/>
                <w:sz w:val="21"/>
                <w:lang w:eastAsia="zh-Hans"/>
                <w14:textFill>
                  <w14:solidFill>
                    <w14:schemeClr w14:val="tx1"/>
                  </w14:solidFill>
                </w14:textFill>
              </w:rPr>
            </w:pPr>
            <w:r>
              <w:rPr>
                <w:rFonts w:hint="eastAsia" w:ascii="Times New Roman" w:hAnsi="Times New Roman" w:eastAsia="宋体"/>
                <w:color w:val="000000" w:themeColor="text1"/>
                <w:sz w:val="21"/>
                <w:lang w:eastAsia="zh-Hans"/>
                <w14:textFill>
                  <w14:solidFill>
                    <w14:schemeClr w14:val="tx1"/>
                  </w14:solidFill>
                </w14:textFill>
              </w:rPr>
              <w:t>本项目</w:t>
            </w:r>
            <w:r>
              <w:rPr>
                <w:rFonts w:ascii="Times New Roman" w:hAnsi="Times New Roman" w:eastAsia="宋体"/>
                <w:color w:val="000000" w:themeColor="text1"/>
                <w:sz w:val="21"/>
                <w:lang w:eastAsia="zh-Hans"/>
                <w14:textFill>
                  <w14:solidFill>
                    <w14:schemeClr w14:val="tx1"/>
                  </w14:solidFill>
                </w14:textFill>
              </w:rPr>
              <w:t>10</w:t>
            </w:r>
            <w:r>
              <w:rPr>
                <w:rFonts w:hint="eastAsia" w:ascii="Times New Roman" w:hAnsi="Times New Roman" w:eastAsia="宋体"/>
                <w:color w:val="000000" w:themeColor="text1"/>
                <w:sz w:val="21"/>
                <w:lang w:eastAsia="zh-Hans"/>
                <w14:textFill>
                  <w14:solidFill>
                    <w14:schemeClr w14:val="tx1"/>
                  </w14:solidFill>
                </w14:textFill>
              </w:rPr>
              <w:t>km范围内无铁路</w:t>
            </w:r>
            <w:r>
              <w:rPr>
                <w:rFonts w:ascii="Times New Roman" w:hAnsi="Times New Roman" w:eastAsia="宋体"/>
                <w:color w:val="000000" w:themeColor="text1"/>
                <w:sz w:val="21"/>
                <w:lang w:eastAsia="zh-Hans"/>
                <w14:textFill>
                  <w14:solidFill>
                    <w14:schemeClr w14:val="tx1"/>
                  </w14:solidFill>
                </w14:textFill>
              </w:rPr>
              <w:t>、</w:t>
            </w:r>
            <w:r>
              <w:rPr>
                <w:rFonts w:hint="eastAsia" w:ascii="Times New Roman" w:hAnsi="Times New Roman" w:eastAsia="宋体"/>
                <w:color w:val="000000" w:themeColor="text1"/>
                <w:sz w:val="21"/>
                <w:lang w:eastAsia="zh-Hans"/>
                <w14:textFill>
                  <w14:solidFill>
                    <w14:schemeClr w14:val="tx1"/>
                  </w14:solidFill>
                </w14:textFill>
              </w:rPr>
              <w:t>国道</w:t>
            </w:r>
            <w:r>
              <w:rPr>
                <w:rFonts w:ascii="Times New Roman" w:hAnsi="Times New Roman" w:eastAsia="宋体"/>
                <w:color w:val="000000" w:themeColor="text1"/>
                <w:sz w:val="21"/>
                <w:lang w:eastAsia="zh-Hans"/>
                <w14:textFill>
                  <w14:solidFill>
                    <w14:schemeClr w14:val="tx1"/>
                  </w14:solidFill>
                </w14:textFill>
              </w:rPr>
              <w:t>、</w:t>
            </w:r>
            <w:r>
              <w:rPr>
                <w:rFonts w:hint="eastAsia" w:ascii="Times New Roman" w:hAnsi="Times New Roman" w:eastAsia="宋体"/>
                <w:color w:val="000000" w:themeColor="text1"/>
                <w:sz w:val="21"/>
                <w:lang w:eastAsia="zh-Hans"/>
                <w14:textFill>
                  <w14:solidFill>
                    <w14:schemeClr w14:val="tx1"/>
                  </w14:solidFill>
                </w14:textFill>
              </w:rPr>
              <w:t>省道等交通设施</w:t>
            </w:r>
            <w:r>
              <w:rPr>
                <w:rFonts w:ascii="Times New Roman" w:hAnsi="Times New Roman" w:eastAsia="宋体"/>
                <w:color w:val="000000" w:themeColor="text1"/>
                <w:sz w:val="21"/>
                <w:lang w:eastAsia="zh-Hans"/>
                <w14:textFill>
                  <w14:solidFill>
                    <w14:schemeClr w14:val="tx1"/>
                  </w14:solidFill>
                </w14:textFill>
              </w:rPr>
              <w:t>，</w:t>
            </w:r>
            <w:r>
              <w:rPr>
                <w:rFonts w:hint="eastAsia" w:ascii="Times New Roman" w:hAnsi="Times New Roman" w:eastAsia="宋体"/>
                <w:color w:val="000000" w:themeColor="text1"/>
                <w:sz w:val="21"/>
                <w:lang w:eastAsia="zh-Hans"/>
                <w14:textFill>
                  <w14:solidFill>
                    <w14:schemeClr w14:val="tx1"/>
                  </w14:solidFill>
                </w14:textFill>
              </w:rPr>
              <w:t>本项目在闭矿后将对矿区内生态及土地进行整治恢复至原貌</w:t>
            </w:r>
            <w:r>
              <w:rPr>
                <w:rFonts w:ascii="Times New Roman" w:hAnsi="Times New Roman" w:eastAsia="宋体"/>
                <w:color w:val="000000" w:themeColor="text1"/>
                <w:sz w:val="21"/>
                <w:lang w:eastAsia="zh-Hans"/>
                <w14:textFill>
                  <w14:solidFill>
                    <w14:schemeClr w14:val="tx1"/>
                  </w14:solidFill>
                </w14:textFill>
              </w:rPr>
              <w:t>。</w:t>
            </w:r>
          </w:p>
        </w:tc>
        <w:tc>
          <w:tcPr>
            <w:tcW w:w="534" w:type="pct"/>
            <w:noWrap w:val="0"/>
            <w:vAlign w:val="center"/>
          </w:tcPr>
          <w:p w14:paraId="368EB14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6EE7D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6F9462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0F18931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（1）限制在生态功能保护区和自然保护区（过渡区）内开采矿产资源。生态功能保护区内的开采活动必须符合当地的环境功能区规划，并按规定进行控制性开采，开采活动不得影响本功能区内的主导生态功能。</w:t>
            </w:r>
          </w:p>
          <w:p w14:paraId="121672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（2）限制在地质灾害易发区、水土流失严重区域等生态脆弱区内开采矿产资源。</w:t>
            </w:r>
          </w:p>
        </w:tc>
        <w:tc>
          <w:tcPr>
            <w:tcW w:w="1969" w:type="pct"/>
            <w:noWrap w:val="0"/>
            <w:vAlign w:val="center"/>
          </w:tcPr>
          <w:p w14:paraId="0B71854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本项目区不涉及生态功能保护区和自然保护区</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过渡区</w:t>
            </w:r>
            <w:r>
              <w:rPr>
                <w:rFonts w:hint="default" w:ascii="Times New Roman" w:hAnsi="Times New Roman" w:cs="Times New Roman"/>
                <w:color w:val="000000" w:themeColor="text1"/>
                <w:szCs w:val="21"/>
                <w:lang w:eastAsia="zh-Hans"/>
                <w14:textFill>
                  <w14:solidFill>
                    <w14:schemeClr w14:val="tx1"/>
                  </w14:solidFill>
                </w14:textFill>
              </w:rPr>
              <w:t>）；</w:t>
            </w:r>
          </w:p>
          <w:p w14:paraId="4482B42A">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本项目区生态服务功能为</w:t>
            </w:r>
            <w:r>
              <w:rPr>
                <w:rFonts w:hint="eastAsia" w:ascii="宋体" w:hAnsi="宋体" w:cs="Times New Roman"/>
                <w:color w:val="000000" w:themeColor="text1"/>
                <w14:textFill>
                  <w14:solidFill>
                    <w14:schemeClr w14:val="tx1"/>
                  </w14:solidFill>
                </w14:textFill>
              </w:rPr>
              <w:t>荒漠化控制、生物多样性维护、矿产资源开发</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开采活动不会影响功能区的主导生态功能</w:t>
            </w:r>
            <w:r>
              <w:rPr>
                <w:rFonts w:hint="eastAsia" w:ascii="Times New Roman" w:hAnsi="Times New Roman" w:cs="Times New Roman"/>
                <w:color w:val="000000" w:themeColor="text1"/>
                <w:szCs w:val="21"/>
                <w14:textFill>
                  <w14:solidFill>
                    <w14:schemeClr w14:val="tx1"/>
                  </w14:solidFill>
                </w14:textFill>
              </w:rPr>
              <w:t>；</w:t>
            </w:r>
          </w:p>
          <w:p w14:paraId="78BBA73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本项目区不属于地质灾害易发区</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水土流失严重区等生态脆弱区</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noWrap w:val="0"/>
            <w:vAlign w:val="center"/>
          </w:tcPr>
          <w:p w14:paraId="63C6089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6BA62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6AE119A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672F49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矿</w:t>
            </w:r>
            <w:r>
              <w:rPr>
                <w:rFonts w:hint="default" w:ascii="Times New Roman" w:hAnsi="Times New Roman" w:cs="Times New Roman"/>
                <w:color w:val="000000" w:themeColor="text1"/>
                <w:szCs w:val="21"/>
                <w14:textFill>
                  <w14:solidFill>
                    <w14:schemeClr w14:val="tx1"/>
                  </w14:solidFill>
                </w14:textFill>
              </w:rPr>
              <w:t>产资源开发应符合国家产业政策要求，选址、布局应符合所在地的区域发展规划。</w:t>
            </w:r>
          </w:p>
          <w:p w14:paraId="5106FE5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（2）矿产资源开发企业应制定矿产资源综合开发规划，并应进行环境影响评价，规划内容包括资源开发利用、生态环境保护、地质灾害防治、水土保持、废弃地复垦等。</w:t>
            </w:r>
          </w:p>
        </w:tc>
        <w:tc>
          <w:tcPr>
            <w:tcW w:w="1969" w:type="pct"/>
            <w:noWrap w:val="0"/>
            <w:vAlign w:val="center"/>
          </w:tcPr>
          <w:p w14:paraId="60D6059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本项目建设符合国家产业政策</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选址</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布局符合</w:t>
            </w:r>
            <w:r>
              <w:rPr>
                <w:rFonts w:hint="default" w:ascii="Times New Roman" w:hAnsi="Times New Roman" w:cs="Times New Roman"/>
                <w:color w:val="000000" w:themeColor="text1"/>
                <w:szCs w:val="21"/>
                <w:lang w:eastAsia="zh-Hans"/>
                <w14:textFill>
                  <w14:solidFill>
                    <w14:schemeClr w14:val="tx1"/>
                  </w14:solidFill>
                </w14:textFill>
              </w:rPr>
              <w:t>《新疆维吾尔自治区重点行业生态环境准入条件（2024年）》；</w:t>
            </w:r>
            <w:r>
              <w:rPr>
                <w:rFonts w:hint="eastAsia" w:ascii="Times New Roman" w:hAnsi="Times New Roman" w:cs="Times New Roman"/>
                <w:color w:val="000000" w:themeColor="text1"/>
                <w:szCs w:val="21"/>
                <w:lang w:eastAsia="zh-Hans"/>
                <w14:textFill>
                  <w14:solidFill>
                    <w14:schemeClr w14:val="tx1"/>
                  </w14:solidFill>
                </w14:textFill>
              </w:rPr>
              <w:t>本项目已</w:t>
            </w:r>
            <w:r>
              <w:rPr>
                <w:rFonts w:hint="eastAsia" w:ascii="Times New Roman" w:hAnsi="Times New Roman" w:cs="Times New Roman"/>
                <w:color w:val="000000" w:themeColor="text1"/>
                <w:szCs w:val="21"/>
                <w14:textFill>
                  <w14:solidFill>
                    <w14:schemeClr w14:val="tx1"/>
                  </w14:solidFill>
                </w14:textFill>
              </w:rPr>
              <w:t>开展矿产资源</w:t>
            </w:r>
            <w:r>
              <w:rPr>
                <w:rFonts w:hint="eastAsia" w:ascii="Times New Roman" w:hAnsi="Times New Roman" w:cs="Times New Roman"/>
                <w:color w:val="000000" w:themeColor="text1"/>
                <w:szCs w:val="21"/>
                <w:lang w:eastAsia="zh-Hans"/>
                <w14:textFill>
                  <w14:solidFill>
                    <w14:schemeClr w14:val="tx1"/>
                  </w14:solidFill>
                </w14:textFill>
              </w:rPr>
              <w:t>开发利用方案</w:t>
            </w:r>
            <w:r>
              <w:rPr>
                <w:rFonts w:hint="eastAsia" w:ascii="Times New Roman" w:hAnsi="Times New Roman" w:cs="Times New Roman"/>
                <w:color w:val="000000" w:themeColor="text1"/>
                <w:szCs w:val="21"/>
                <w14:textFill>
                  <w14:solidFill>
                    <w14:schemeClr w14:val="tx1"/>
                  </w14:solidFill>
                </w14:textFill>
              </w:rPr>
              <w:t>编制工作</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环境影响评价工作</w:t>
            </w:r>
            <w:r>
              <w:rPr>
                <w:rFonts w:hint="eastAsia" w:cs="Times New Roman"/>
                <w:color w:val="000000" w:themeColor="text1"/>
                <w:szCs w:val="21"/>
                <w:lang w:val="en-US" w:eastAsia="zh-CN"/>
                <w14:textFill>
                  <w14:solidFill>
                    <w14:schemeClr w14:val="tx1"/>
                  </w14:solidFill>
                </w14:textFill>
              </w:rPr>
              <w:t>正</w:t>
            </w:r>
            <w:r>
              <w:rPr>
                <w:rFonts w:hint="eastAsia" w:ascii="Times New Roman" w:hAnsi="Times New Roman" w:cs="Times New Roman"/>
                <w:color w:val="000000" w:themeColor="text1"/>
                <w:szCs w:val="21"/>
                <w14:textFill>
                  <w14:solidFill>
                    <w14:schemeClr w14:val="tx1"/>
                  </w14:solidFill>
                </w14:textFill>
              </w:rPr>
              <w:t>在进行</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noWrap w:val="0"/>
            <w:vAlign w:val="center"/>
          </w:tcPr>
          <w:p w14:paraId="4333761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7721F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72420E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0EA9D8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应优先选择废物产生量少、水重复利用率高，对矿区生态环境影响小的采、选矿生产工艺与技术。</w:t>
            </w:r>
          </w:p>
        </w:tc>
        <w:tc>
          <w:tcPr>
            <w:tcW w:w="1969" w:type="pct"/>
            <w:noWrap w:val="0"/>
            <w:vAlign w:val="center"/>
          </w:tcPr>
          <w:p w14:paraId="4BC065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本项目在运营过程中产生的污染物为扬尘</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柴油燃烧废气、矿井涌水、生活污水</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一般工业固体废物</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危险废物等</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经环保设施及措施处理后</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污染物产生量较小</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noWrap w:val="0"/>
            <w:vAlign w:val="center"/>
          </w:tcPr>
          <w:p w14:paraId="5AF53F7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74C2F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3204DD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17506B1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地面运输系统设计时，宜</w:t>
            </w:r>
            <w:r>
              <w:rPr>
                <w:rFonts w:hint="eastAsia" w:ascii="Times New Roman" w:hAnsi="Times New Roman" w:cs="Times New Roman"/>
                <w:color w:val="000000" w:themeColor="text1"/>
                <w:szCs w:val="21"/>
                <w:lang w:eastAsia="zh-Hans"/>
                <w14:textFill>
                  <w14:solidFill>
                    <w14:schemeClr w14:val="tx1"/>
                  </w14:solidFill>
                </w14:textFill>
              </w:rPr>
              <w:t>优先</w:t>
            </w:r>
            <w:r>
              <w:rPr>
                <w:rFonts w:hint="default" w:ascii="Times New Roman" w:hAnsi="Times New Roman" w:cs="Times New Roman"/>
                <w:color w:val="000000" w:themeColor="text1"/>
                <w:szCs w:val="21"/>
                <w14:textFill>
                  <w14:solidFill>
                    <w14:schemeClr w14:val="tx1"/>
                  </w14:solidFill>
                </w14:textFill>
              </w:rPr>
              <w:t>考虑采用封闭运输通道运输矿物和固体废物。</w:t>
            </w:r>
          </w:p>
        </w:tc>
        <w:tc>
          <w:tcPr>
            <w:tcW w:w="1969" w:type="pct"/>
            <w:noWrap w:val="0"/>
            <w:vAlign w:val="center"/>
          </w:tcPr>
          <w:p w14:paraId="37215B5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本项目</w:t>
            </w:r>
            <w:r>
              <w:rPr>
                <w:rFonts w:hint="eastAsia" w:ascii="Times New Roman" w:hAnsi="Times New Roman" w:cs="Times New Roman"/>
                <w:color w:val="000000" w:themeColor="text1"/>
                <w:szCs w:val="21"/>
                <w14:textFill>
                  <w14:solidFill>
                    <w14:schemeClr w14:val="tx1"/>
                  </w14:solidFill>
                </w14:textFill>
              </w:rPr>
              <w:t>原矿地面</w:t>
            </w:r>
            <w:r>
              <w:rPr>
                <w:rFonts w:hint="eastAsia" w:ascii="Times New Roman" w:hAnsi="Times New Roman" w:cs="Times New Roman"/>
                <w:color w:val="000000" w:themeColor="text1"/>
                <w:szCs w:val="21"/>
                <w:lang w:eastAsia="zh-Hans"/>
                <w14:textFill>
                  <w14:solidFill>
                    <w14:schemeClr w14:val="tx1"/>
                  </w14:solidFill>
                </w14:textFill>
              </w:rPr>
              <w:t>运输采用</w:t>
            </w:r>
            <w:r>
              <w:rPr>
                <w:rFonts w:hint="eastAsia" w:ascii="Times New Roman" w:hAnsi="Times New Roman" w:cs="Times New Roman"/>
                <w:color w:val="000000" w:themeColor="text1"/>
                <w:szCs w:val="21"/>
                <w14:textFill>
                  <w14:solidFill>
                    <w14:schemeClr w14:val="tx1"/>
                  </w14:solidFill>
                </w14:textFill>
              </w:rPr>
              <w:t>车辆运输，运输时加盖篷布、封闭运输。</w:t>
            </w:r>
          </w:p>
        </w:tc>
        <w:tc>
          <w:tcPr>
            <w:tcW w:w="534" w:type="pct"/>
            <w:noWrap w:val="0"/>
            <w:vAlign w:val="center"/>
          </w:tcPr>
          <w:p w14:paraId="153F828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664AE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noWrap w:val="0"/>
            <w:vAlign w:val="center"/>
          </w:tcPr>
          <w:p w14:paraId="74620DB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矿山</w:t>
            </w:r>
          </w:p>
          <w:p w14:paraId="6A526D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基建</w:t>
            </w:r>
          </w:p>
        </w:tc>
        <w:tc>
          <w:tcPr>
            <w:tcW w:w="2024" w:type="pct"/>
            <w:noWrap w:val="0"/>
            <w:vAlign w:val="center"/>
          </w:tcPr>
          <w:p w14:paraId="25D57FC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对矿山勘探性钻孔应采取封闭等措施进行处理，以确保生产安全。</w:t>
            </w:r>
          </w:p>
          <w:p w14:paraId="4D5E8E08">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（2）对矿山基建可能影响的具有保护价值的动、植物资源，应优先采取就地、就近保护措施。</w:t>
            </w:r>
          </w:p>
          <w:p w14:paraId="0E648EA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对矿山基建产生的表土、底土和岩石等应分类堆放、分类管理和充分利用。</w:t>
            </w:r>
          </w:p>
          <w:p w14:paraId="1FDFD8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矿山基建应尽量少占用农田和耕地，矿山基建临时性占地应及时恢复。</w:t>
            </w:r>
          </w:p>
        </w:tc>
        <w:tc>
          <w:tcPr>
            <w:tcW w:w="1969" w:type="pct"/>
            <w:noWrap w:val="0"/>
            <w:vAlign w:val="center"/>
          </w:tcPr>
          <w:p w14:paraId="7069D252">
            <w:pPr>
              <w:keepNext w:val="0"/>
              <w:keepLines w:val="0"/>
              <w:suppressLineNumbers w:val="0"/>
              <w:topLinePunct/>
              <w:spacing w:before="0" w:beforeAutospacing="0" w:after="0" w:afterAutospacing="0" w:line="360" w:lineRule="exact"/>
              <w:ind w:left="0" w:right="0"/>
              <w:jc w:val="center"/>
              <w:rPr>
                <w:rFonts w:hint="eastAsia" w:ascii="Times New Roman" w:hAnsi="Times New Roman" w:cs="Times New Roman"/>
                <w:color w:val="000000" w:themeColor="text1"/>
                <w:lang w:eastAsia="zh-Hans"/>
                <w14:textFill>
                  <w14:solidFill>
                    <w14:schemeClr w14:val="tx1"/>
                  </w14:solidFill>
                </w14:textFill>
              </w:rPr>
            </w:pPr>
            <w:r>
              <w:rPr>
                <w:rFonts w:hint="eastAsia" w:ascii="Times New Roman" w:hAnsi="Times New Roman" w:cs="Times New Roman"/>
                <w:color w:val="000000" w:themeColor="text1"/>
                <w:lang w:eastAsia="zh-Hans"/>
                <w14:textFill>
                  <w14:solidFill>
                    <w14:schemeClr w14:val="tx1"/>
                  </w14:solidFill>
                </w14:textFill>
              </w:rPr>
              <w:t>本项目勘探期间的钻孔已进行封闭处理</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确保后期生产安全</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矿区范围内无具有保护价值的动</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植物资源</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基建产生的表土</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底土和岩石均分类堆放至废石堆场内</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后期闭矿后用于矿山生态</w:t>
            </w:r>
            <w:r>
              <w:rPr>
                <w:rFonts w:hint="eastAsia" w:cs="Times New Roman"/>
                <w:color w:val="000000" w:themeColor="text1"/>
                <w:lang w:val="en-US" w:eastAsia="zh-CN"/>
                <w14:textFill>
                  <w14:solidFill>
                    <w14:schemeClr w14:val="tx1"/>
                  </w14:solidFill>
                </w14:textFill>
              </w:rPr>
              <w:t>修复</w:t>
            </w:r>
            <w:r>
              <w:rPr>
                <w:rFonts w:hint="eastAsia" w:ascii="Times New Roman" w:hAnsi="Times New Roman" w:cs="Times New Roman"/>
                <w:color w:val="000000" w:themeColor="text1"/>
                <w:lang w:eastAsia="zh-Hans"/>
                <w14:textFill>
                  <w14:solidFill>
                    <w14:schemeClr w14:val="tx1"/>
                  </w14:solidFill>
                </w14:textFill>
              </w:rPr>
              <w:t>与土地复垦</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综合利用不外排</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本项目</w:t>
            </w:r>
            <w:r>
              <w:rPr>
                <w:rFonts w:hint="eastAsia" w:ascii="Times New Roman" w:hAnsi="Times New Roman" w:cs="Times New Roman"/>
                <w:color w:val="000000" w:themeColor="text1"/>
                <w14:textFill>
                  <w14:solidFill>
                    <w14:schemeClr w14:val="tx1"/>
                  </w14:solidFill>
                </w14:textFill>
              </w:rPr>
              <w:t>未占用</w:t>
            </w:r>
            <w:r>
              <w:rPr>
                <w:rFonts w:hint="eastAsia" w:ascii="Times New Roman" w:hAnsi="Times New Roman" w:cs="Times New Roman"/>
                <w:color w:val="000000" w:themeColor="text1"/>
                <w:lang w:eastAsia="zh-Hans"/>
                <w14:textFill>
                  <w14:solidFill>
                    <w14:schemeClr w14:val="tx1"/>
                  </w14:solidFill>
                </w14:textFill>
              </w:rPr>
              <w:t>农田和耕地</w:t>
            </w:r>
            <w:r>
              <w:rPr>
                <w:rFonts w:hint="default" w:ascii="Times New Roman" w:hAnsi="Times New Roman" w:cs="Times New Roman"/>
                <w:color w:val="000000" w:themeColor="text1"/>
                <w:lang w:eastAsia="zh-Hans"/>
                <w14:textFill>
                  <w14:solidFill>
                    <w14:schemeClr w14:val="tx1"/>
                  </w14:solidFill>
                </w14:textFill>
              </w:rPr>
              <w:t>，</w:t>
            </w:r>
            <w:r>
              <w:rPr>
                <w:rFonts w:hint="eastAsia" w:ascii="Times New Roman" w:hAnsi="Times New Roman" w:cs="Times New Roman"/>
                <w:color w:val="000000" w:themeColor="text1"/>
                <w:lang w:eastAsia="zh-Hans"/>
                <w14:textFill>
                  <w14:solidFill>
                    <w14:schemeClr w14:val="tx1"/>
                  </w14:solidFill>
                </w14:textFill>
              </w:rPr>
              <w:t>临时占地均按要求进行生态恢复</w:t>
            </w:r>
            <w:r>
              <w:rPr>
                <w:rFonts w:hint="default" w:ascii="Times New Roman" w:hAnsi="Times New Roman" w:cs="Times New Roman"/>
                <w:color w:val="000000" w:themeColor="text1"/>
                <w:lang w:eastAsia="zh-Hans"/>
                <w14:textFill>
                  <w14:solidFill>
                    <w14:schemeClr w14:val="tx1"/>
                  </w14:solidFill>
                </w14:textFill>
              </w:rPr>
              <w:t>。</w:t>
            </w:r>
          </w:p>
        </w:tc>
        <w:tc>
          <w:tcPr>
            <w:tcW w:w="534" w:type="pct"/>
            <w:noWrap w:val="0"/>
            <w:vAlign w:val="center"/>
          </w:tcPr>
          <w:p w14:paraId="606DD6D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0AF3B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noWrap w:val="0"/>
            <w:vAlign w:val="center"/>
          </w:tcPr>
          <w:p w14:paraId="63CE5CC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采矿</w:t>
            </w:r>
          </w:p>
        </w:tc>
        <w:tc>
          <w:tcPr>
            <w:tcW w:w="2024" w:type="pct"/>
            <w:noWrap w:val="0"/>
            <w:vAlign w:val="center"/>
          </w:tcPr>
          <w:p w14:paraId="3294F7D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（1）对于露天开采的矿山，宜推广剥离—排土—造地—复垦一体化技术。</w:t>
            </w:r>
          </w:p>
          <w:p w14:paraId="2E097D21">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（2）推广应用充填采矿工艺技术，提倡废石不出井，利用尾砂、废石充填采空区。</w:t>
            </w:r>
          </w:p>
          <w:p w14:paraId="1B20B26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（3）推广减轻地表沉陷的开采技术，如条带开采、分层间隙开采等技术。</w:t>
            </w:r>
          </w:p>
        </w:tc>
        <w:tc>
          <w:tcPr>
            <w:tcW w:w="1969" w:type="pct"/>
            <w:noWrap w:val="0"/>
            <w:vAlign w:val="center"/>
          </w:tcPr>
          <w:p w14:paraId="65C08BB9">
            <w:pPr>
              <w:pStyle w:val="183"/>
              <w:spacing w:after="0"/>
              <w:ind w:firstLine="0" w:firstLineChars="0"/>
              <w:rPr>
                <w:rFonts w:ascii="Times New Roman" w:hAnsi="Times New Roman" w:eastAsia="宋体"/>
                <w:color w:val="000000" w:themeColor="text1"/>
                <w:sz w:val="21"/>
                <w14:textFill>
                  <w14:solidFill>
                    <w14:schemeClr w14:val="tx1"/>
                  </w14:solidFill>
                </w14:textFill>
              </w:rPr>
            </w:pPr>
            <w:r>
              <w:rPr>
                <w:rFonts w:hint="eastAsia" w:ascii="Times New Roman" w:hAnsi="Times New Roman" w:eastAsia="宋体"/>
                <w:color w:val="000000" w:themeColor="text1"/>
                <w:sz w:val="21"/>
                <w14:textFill>
                  <w14:solidFill>
                    <w14:schemeClr w14:val="tx1"/>
                  </w14:solidFill>
                </w14:textFill>
              </w:rPr>
              <w:t>本项目为井下开采的矿山，非露天开采。施工期掘进废石堆置于废石堆场；井下开采</w:t>
            </w:r>
            <w:r>
              <w:rPr>
                <w:rFonts w:hint="eastAsia" w:ascii="Times New Roman" w:hAnsi="Times New Roman" w:eastAsia="宋体"/>
                <w:color w:val="000000" w:themeColor="text1"/>
                <w:sz w:val="21"/>
                <w:lang w:eastAsia="zh-Hans"/>
                <w14:textFill>
                  <w14:solidFill>
                    <w14:schemeClr w14:val="tx1"/>
                  </w14:solidFill>
                </w14:textFill>
              </w:rPr>
              <w:t>采用湿法凿岩</w:t>
            </w:r>
            <w:r>
              <w:rPr>
                <w:rFonts w:ascii="Times New Roman" w:hAnsi="Times New Roman" w:eastAsia="宋体"/>
                <w:color w:val="000000" w:themeColor="text1"/>
                <w:sz w:val="21"/>
                <w:lang w:eastAsia="zh-Hans"/>
                <w14:textFill>
                  <w14:solidFill>
                    <w14:schemeClr w14:val="tx1"/>
                  </w14:solidFill>
                </w14:textFill>
              </w:rPr>
              <w:t>，</w:t>
            </w:r>
            <w:r>
              <w:rPr>
                <w:rFonts w:hint="eastAsia" w:ascii="Times New Roman" w:hAnsi="Times New Roman" w:eastAsia="宋体"/>
                <w:color w:val="000000" w:themeColor="text1"/>
                <w:sz w:val="21"/>
                <w14:textFill>
                  <w14:solidFill>
                    <w14:schemeClr w14:val="tx1"/>
                  </w14:solidFill>
                </w14:textFill>
              </w:rPr>
              <w:t>运营期</w:t>
            </w:r>
            <w:r>
              <w:rPr>
                <w:rFonts w:hint="eastAsia" w:ascii="Times New Roman" w:hAnsi="Times New Roman" w:eastAsia="宋体"/>
                <w:color w:val="000000" w:themeColor="text1"/>
                <w:sz w:val="21"/>
                <w:lang w:eastAsia="zh-Hans"/>
                <w14:textFill>
                  <w14:solidFill>
                    <w14:schemeClr w14:val="tx1"/>
                  </w14:solidFill>
                </w14:textFill>
              </w:rPr>
              <w:t>废石</w:t>
            </w:r>
            <w:r>
              <w:rPr>
                <w:rFonts w:hint="eastAsia" w:ascii="Times New Roman" w:hAnsi="Times New Roman" w:eastAsia="宋体"/>
                <w:color w:val="000000" w:themeColor="text1"/>
                <w:sz w:val="21"/>
                <w14:textFill>
                  <w14:solidFill>
                    <w14:schemeClr w14:val="tx1"/>
                  </w14:solidFill>
                </w14:textFill>
              </w:rPr>
              <w:t>堆置于废石堆场，待矿区开采结束并稳沉后，将废石全部回填至采空区。</w:t>
            </w:r>
          </w:p>
        </w:tc>
        <w:tc>
          <w:tcPr>
            <w:tcW w:w="534" w:type="pct"/>
            <w:noWrap w:val="0"/>
            <w:vAlign w:val="center"/>
          </w:tcPr>
          <w:p w14:paraId="36DAE6CB">
            <w:pPr>
              <w:pStyle w:val="183"/>
              <w:ind w:firstLine="0" w:firstLineChars="0"/>
              <w:rPr>
                <w:rFonts w:hint="eastAsia" w:ascii="Times New Roman" w:hAnsi="Times New Roman" w:eastAsia="宋体"/>
                <w:color w:val="000000" w:themeColor="text1"/>
                <w:sz w:val="21"/>
                <w:lang w:eastAsia="zh-Hans"/>
                <w14:textFill>
                  <w14:solidFill>
                    <w14:schemeClr w14:val="tx1"/>
                  </w14:solidFill>
                </w14:textFill>
              </w:rPr>
            </w:pPr>
            <w:r>
              <w:rPr>
                <w:rFonts w:hint="eastAsia" w:ascii="Times New Roman" w:hAnsi="Times New Roman" w:eastAsia="宋体"/>
                <w:color w:val="000000" w:themeColor="text1"/>
                <w:kern w:val="2"/>
                <w:sz w:val="21"/>
                <w:lang w:eastAsia="zh-Hans"/>
                <w14:textFill>
                  <w14:solidFill>
                    <w14:schemeClr w14:val="tx1"/>
                  </w14:solidFill>
                </w14:textFill>
              </w:rPr>
              <w:t>符合</w:t>
            </w:r>
          </w:p>
        </w:tc>
      </w:tr>
      <w:tr w14:paraId="29798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562D80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0BD1E3F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（1）鼓励将矿坑水优先利用为生产用水，作为辅助水源加以利用。在干旱缺水地区，鼓励将外排矿坑水用于农林灌溉，其水质应达到相应标准要求。</w:t>
            </w:r>
          </w:p>
          <w:p w14:paraId="1051363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（2）宜采取修筑排水沟、引流渠，预先截堵水，防渗漏处理等措施，防止或减少各种水源进入露天采场和地下井巷。</w:t>
            </w:r>
          </w:p>
          <w:p w14:paraId="4258EAB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（3）宜采取灌浆等工程措施，避免和减少采矿活动破坏地下水均衡系统。</w:t>
            </w:r>
          </w:p>
          <w:p w14:paraId="6158B61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（4）宜采用安装除尘装置，湿式作业，个体防护等措施，防治凿岩、铲装、运输等采矿作业中的粉尘污染。</w:t>
            </w:r>
          </w:p>
        </w:tc>
        <w:tc>
          <w:tcPr>
            <w:tcW w:w="1969" w:type="pct"/>
            <w:noWrap w:val="0"/>
            <w:vAlign w:val="center"/>
          </w:tcPr>
          <w:p w14:paraId="7FB92D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本项目矿井涌水用于生产、绿化、降尘，其余输送至选矿厂用于选矿生产，不外排。本项目将采取修筑截洪沟的措施，</w:t>
            </w:r>
            <w:r>
              <w:rPr>
                <w:rFonts w:hint="eastAsia" w:cs="Times New Roman"/>
                <w:color w:val="000000" w:themeColor="text1"/>
                <w:lang w:val="en-US" w:eastAsia="zh-CN"/>
                <w14:textFill>
                  <w14:solidFill>
                    <w14:schemeClr w14:val="tx1"/>
                  </w14:solidFill>
                </w14:textFill>
              </w:rPr>
              <w:t>防止</w:t>
            </w:r>
            <w:r>
              <w:rPr>
                <w:rFonts w:hint="eastAsia" w:ascii="Times New Roman" w:hAnsi="Times New Roman" w:cs="Times New Roman"/>
                <w:color w:val="000000" w:themeColor="text1"/>
                <w14:textFill>
                  <w14:solidFill>
                    <w14:schemeClr w14:val="tx1"/>
                  </w14:solidFill>
                </w14:textFill>
              </w:rPr>
              <w:t>地表径流进入井巷。</w:t>
            </w:r>
            <w:r>
              <w:rPr>
                <w:rFonts w:hint="eastAsia" w:ascii="Times New Roman" w:hAnsi="Times New Roman" w:cs="Times New Roman"/>
                <w:color w:val="000000" w:themeColor="text1"/>
                <w:szCs w:val="21"/>
                <w:lang w:eastAsia="zh-Hans"/>
                <w14:textFill>
                  <w14:solidFill>
                    <w14:schemeClr w14:val="tx1"/>
                  </w14:solidFill>
                </w14:textFill>
              </w:rPr>
              <w:t>本项目</w:t>
            </w:r>
            <w:r>
              <w:rPr>
                <w:rFonts w:hint="eastAsia" w:ascii="Times New Roman" w:hAnsi="Times New Roman" w:cs="Times New Roman"/>
                <w:color w:val="000000" w:themeColor="text1"/>
                <w:szCs w:val="21"/>
                <w14:textFill>
                  <w14:solidFill>
                    <w14:schemeClr w14:val="tx1"/>
                  </w14:solidFill>
                </w14:textFill>
              </w:rPr>
              <w:t>井下</w:t>
            </w:r>
            <w:r>
              <w:rPr>
                <w:rFonts w:hint="eastAsia" w:ascii="Times New Roman" w:hAnsi="Times New Roman" w:cs="Times New Roman"/>
                <w:color w:val="000000" w:themeColor="text1"/>
                <w:szCs w:val="21"/>
                <w:lang w:eastAsia="zh-Hans"/>
                <w14:textFill>
                  <w14:solidFill>
                    <w14:schemeClr w14:val="tx1"/>
                  </w14:solidFill>
                </w14:textFill>
              </w:rPr>
              <w:t>开采采用湿法凿岩</w:t>
            </w:r>
            <w:r>
              <w:rPr>
                <w:rFonts w:hint="default" w:ascii="Times New Roman" w:hAnsi="Times New Roman" w:cs="Times New Roman"/>
                <w:color w:val="000000" w:themeColor="text1"/>
                <w:szCs w:val="21"/>
                <w:lang w:eastAsia="zh-Hans"/>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定期对</w:t>
            </w:r>
            <w:r>
              <w:rPr>
                <w:rFonts w:hint="eastAsia" w:ascii="Times New Roman" w:hAnsi="Times New Roman" w:cs="Times New Roman"/>
                <w:color w:val="000000" w:themeColor="text1"/>
                <w:szCs w:val="21"/>
                <w14:textFill>
                  <w14:solidFill>
                    <w14:schemeClr w14:val="tx1"/>
                  </w14:solidFill>
                </w14:textFill>
              </w:rPr>
              <w:t>井巷、</w:t>
            </w:r>
            <w:r>
              <w:rPr>
                <w:rFonts w:hint="eastAsia" w:ascii="Times New Roman" w:hAnsi="Times New Roman" w:cs="Times New Roman"/>
                <w:color w:val="000000" w:themeColor="text1"/>
                <w:szCs w:val="21"/>
                <w:lang w:eastAsia="zh-Hans"/>
                <w14:textFill>
                  <w14:solidFill>
                    <w14:schemeClr w14:val="tx1"/>
                  </w14:solidFill>
                </w14:textFill>
              </w:rPr>
              <w:t>道路进行洒水抑尘</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减少扬尘对大气的影响</w:t>
            </w:r>
            <w:r>
              <w:rPr>
                <w:rFonts w:hint="default" w:ascii="Times New Roman" w:hAnsi="Times New Roman" w:cs="Times New Roman"/>
                <w:color w:val="000000" w:themeColor="text1"/>
                <w:szCs w:val="21"/>
                <w:lang w:eastAsia="zh-Hans"/>
                <w14:textFill>
                  <w14:solidFill>
                    <w14:schemeClr w14:val="tx1"/>
                  </w14:solidFill>
                </w14:textFill>
              </w:rPr>
              <w:t>。</w:t>
            </w:r>
          </w:p>
        </w:tc>
        <w:tc>
          <w:tcPr>
            <w:tcW w:w="534" w:type="pct"/>
            <w:noWrap w:val="0"/>
            <w:vAlign w:val="center"/>
          </w:tcPr>
          <w:p w14:paraId="24C142B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25BA1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5FDF591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024" w:type="pct"/>
            <w:noWrap w:val="0"/>
            <w:vAlign w:val="center"/>
          </w:tcPr>
          <w:p w14:paraId="2755664F">
            <w:pPr>
              <w:keepNext w:val="0"/>
              <w:keepLines w:val="0"/>
              <w:numPr>
                <w:ilvl w:val="0"/>
                <w:numId w:val="2"/>
              </w:numPr>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应根据采矿固体废物的性质、贮存场所的工程地质情况，采用完善的防渗、集排水措施，防止淋溶水污染地表水和地下水；</w:t>
            </w:r>
          </w:p>
          <w:p w14:paraId="522D9BB4">
            <w:pPr>
              <w:keepNext w:val="0"/>
              <w:keepLines w:val="0"/>
              <w:numPr>
                <w:ilvl w:val="0"/>
                <w:numId w:val="2"/>
              </w:numPr>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宜采用水覆盖法、湿地法、碱性物料回填等方法，预防和降低废石场的酸性废水污染；</w:t>
            </w:r>
          </w:p>
        </w:tc>
        <w:tc>
          <w:tcPr>
            <w:tcW w:w="1969" w:type="pct"/>
            <w:noWrap w:val="0"/>
            <w:vAlign w:val="center"/>
          </w:tcPr>
          <w:p w14:paraId="76AA25F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default" w:ascii="Times New Roman" w:hAnsi="Times New Roman" w:cs="Times New Roman"/>
                <w:color w:val="000000" w:themeColor="text1"/>
                <w:szCs w:val="21"/>
                <w:lang w:eastAsia="zh-Hans"/>
                <w14:textFill>
                  <w14:solidFill>
                    <w14:schemeClr w14:val="tx1"/>
                  </w14:solidFill>
                </w14:textFill>
              </w:rPr>
              <w:t>对</w:t>
            </w:r>
            <w:r>
              <w:rPr>
                <w:rFonts w:hint="default" w:ascii="Times New Roman" w:hAnsi="Times New Roman" w:cs="Times New Roman"/>
                <w:color w:val="000000" w:themeColor="text1"/>
                <w:szCs w:val="21"/>
                <w14:textFill>
                  <w14:solidFill>
                    <w14:schemeClr w14:val="tx1"/>
                  </w14:solidFill>
                </w14:textFill>
              </w:rPr>
              <w:t>废石堆场</w:t>
            </w:r>
            <w:r>
              <w:rPr>
                <w:rFonts w:hint="default" w:ascii="Times New Roman" w:hAnsi="Times New Roman" w:cs="Times New Roman"/>
                <w:color w:val="000000" w:themeColor="text1"/>
                <w:szCs w:val="21"/>
                <w:lang w:eastAsia="zh-Hans"/>
                <w14:textFill>
                  <w14:solidFill>
                    <w14:schemeClr w14:val="tx1"/>
                  </w14:solidFill>
                </w14:textFill>
              </w:rPr>
              <w:t>设置挡渣坝，截排水设施，堆存的废石要分层堆置、压实和覆土。</w:t>
            </w:r>
            <w:r>
              <w:rPr>
                <w:rFonts w:hint="default" w:ascii="Times New Roman" w:hAnsi="Times New Roman" w:cs="Times New Roman"/>
                <w:color w:val="000000" w:themeColor="text1"/>
                <w:szCs w:val="21"/>
                <w14:textFill>
                  <w14:solidFill>
                    <w14:schemeClr w14:val="tx1"/>
                  </w14:solidFill>
                </w14:textFill>
              </w:rPr>
              <w:t>废石堆场</w:t>
            </w:r>
            <w:r>
              <w:rPr>
                <w:rFonts w:hint="default" w:ascii="Times New Roman" w:hAnsi="Times New Roman" w:cs="Times New Roman"/>
                <w:color w:val="000000" w:themeColor="text1"/>
                <w:szCs w:val="21"/>
                <w:lang w:eastAsia="zh-Hans"/>
                <w14:textFill>
                  <w14:solidFill>
                    <w14:schemeClr w14:val="tx1"/>
                  </w14:solidFill>
                </w14:textFill>
              </w:rPr>
              <w:t>上游来水方向按照一百年一遇的防洪标准设置一条浆砌石结构、梯形断面的截洪沟</w:t>
            </w:r>
            <w:r>
              <w:rPr>
                <w:rFonts w:hint="default" w:ascii="Times New Roman" w:hAnsi="Times New Roman" w:cs="Times New Roman"/>
                <w:color w:val="000000" w:themeColor="text1"/>
                <w14:textFill>
                  <w14:solidFill>
                    <w14:schemeClr w14:val="tx1"/>
                  </w14:solidFill>
                </w14:textFill>
              </w:rPr>
              <w:t>。</w:t>
            </w:r>
          </w:p>
        </w:tc>
        <w:tc>
          <w:tcPr>
            <w:tcW w:w="534" w:type="pct"/>
            <w:noWrap w:val="0"/>
            <w:vAlign w:val="center"/>
          </w:tcPr>
          <w:p w14:paraId="0A35926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r w14:paraId="71DFC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noWrap w:val="0"/>
            <w:vAlign w:val="center"/>
          </w:tcPr>
          <w:p w14:paraId="3707363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废弃地复垦</w:t>
            </w:r>
          </w:p>
        </w:tc>
        <w:tc>
          <w:tcPr>
            <w:tcW w:w="2024" w:type="pct"/>
            <w:noWrap w:val="0"/>
            <w:vAlign w:val="center"/>
          </w:tcPr>
          <w:p w14:paraId="5C9D30F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矿山生产过程中应采取种植植物和覆盖等复垦措施，对</w:t>
            </w:r>
            <w:r>
              <w:rPr>
                <w:rFonts w:hint="eastAsia" w:ascii="Times New Roman" w:hAnsi="Times New Roman" w:cs="Times New Roman"/>
                <w:color w:val="000000" w:themeColor="text1"/>
                <w:szCs w:val="21"/>
                <w:lang w:eastAsia="zh-Hans"/>
                <w14:textFill>
                  <w14:solidFill>
                    <w14:schemeClr w14:val="tx1"/>
                  </w14:solidFill>
                </w14:textFill>
              </w:rPr>
              <w:t>露</w:t>
            </w:r>
            <w:r>
              <w:rPr>
                <w:rFonts w:hint="eastAsia" w:ascii="Times New Roman" w:hAnsi="Times New Roman" w:cs="Times New Roman"/>
                <w:color w:val="000000" w:themeColor="text1"/>
                <w:szCs w:val="21"/>
                <w14:textFill>
                  <w14:solidFill>
                    <w14:schemeClr w14:val="tx1"/>
                  </w14:solidFill>
                </w14:textFill>
              </w:rPr>
              <w:t>天坑、</w:t>
            </w:r>
            <w:r>
              <w:rPr>
                <w:rFonts w:hint="default" w:ascii="Times New Roman" w:hAnsi="Times New Roman" w:cs="Times New Roman"/>
                <w:color w:val="000000" w:themeColor="text1"/>
                <w:szCs w:val="21"/>
                <w14:textFill>
                  <w14:solidFill>
                    <w14:schemeClr w14:val="tx1"/>
                  </w14:solidFill>
                </w14:textFill>
              </w:rPr>
              <w:t>废石场永久性坡面进行稳定化处理，防止水土流失和滑坡。</w:t>
            </w:r>
          </w:p>
          <w:p w14:paraId="2D01A8A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废石场等固废堆场服务期满后，应及时封场和复垦，防止水土流失及风蚀扬尘等。</w:t>
            </w:r>
          </w:p>
        </w:tc>
        <w:tc>
          <w:tcPr>
            <w:tcW w:w="1969" w:type="pct"/>
            <w:noWrap w:val="0"/>
            <w:vAlign w:val="center"/>
          </w:tcPr>
          <w:p w14:paraId="2623C6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石堆场停止使用后，土地应尽量恢复其原有土地功能，平整场地，覆土复垦，覆土厚度不小于0.3m，以防止其对环境的不良影响。用于覆土的土壤取用以不破坏现有植被为前提，尽量不取用地形坡度大的地区的土壤，以避免因取土而造成水土流失量的增加。并加强取土过程的环境管理工作，尽可能减少取土对环境造成的不利影响。</w:t>
            </w:r>
          </w:p>
        </w:tc>
        <w:tc>
          <w:tcPr>
            <w:tcW w:w="534" w:type="pct"/>
            <w:noWrap w:val="0"/>
            <w:vAlign w:val="center"/>
          </w:tcPr>
          <w:p w14:paraId="4DA3A9E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eastAsia="zh-Hans"/>
                <w14:textFill>
                  <w14:solidFill>
                    <w14:schemeClr w14:val="tx1"/>
                  </w14:solidFill>
                </w14:textFill>
              </w:rPr>
            </w:pPr>
            <w:r>
              <w:rPr>
                <w:rFonts w:hint="eastAsia" w:ascii="Times New Roman" w:hAnsi="Times New Roman" w:cs="Times New Roman"/>
                <w:color w:val="000000" w:themeColor="text1"/>
                <w:szCs w:val="21"/>
                <w:lang w:eastAsia="zh-Hans"/>
                <w14:textFill>
                  <w14:solidFill>
                    <w14:schemeClr w14:val="tx1"/>
                  </w14:solidFill>
                </w14:textFill>
              </w:rPr>
              <w:t>符合</w:t>
            </w:r>
          </w:p>
        </w:tc>
      </w:tr>
    </w:tbl>
    <w:p w14:paraId="57E12C3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综上所述，本项目符合《矿山生态环境保护与污染防治技术政策》的相关要求。</w:t>
      </w:r>
    </w:p>
    <w:p w14:paraId="00F5F78A">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3.4.1.</w:t>
      </w:r>
      <w:r>
        <w:rPr>
          <w:rFonts w:hint="eastAsia" w:ascii="Times New Roman" w:hAnsi="Times New Roman"/>
          <w:bCs w:val="0"/>
          <w:color w:val="000000" w:themeColor="text1"/>
          <w:kern w:val="2"/>
          <w:szCs w:val="24"/>
          <w:lang w:val="en-US" w:eastAsia="zh-CN"/>
          <w14:textFill>
            <w14:solidFill>
              <w14:schemeClr w14:val="tx1"/>
            </w14:solidFill>
          </w14:textFill>
        </w:rPr>
        <w:t>4</w:t>
      </w:r>
      <w:r>
        <w:rPr>
          <w:rFonts w:ascii="Times New Roman" w:hAnsi="Times New Roman"/>
          <w:bCs w:val="0"/>
          <w:color w:val="000000" w:themeColor="text1"/>
          <w:kern w:val="2"/>
          <w:szCs w:val="24"/>
          <w14:textFill>
            <w14:solidFill>
              <w14:schemeClr w14:val="tx1"/>
            </w14:solidFill>
          </w14:textFill>
        </w:rPr>
        <w:t>与</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《新疆维吾尔自治区重点行业生态环境准入条件（2024年）》</w:t>
      </w:r>
      <w:r>
        <w:rPr>
          <w:rFonts w:ascii="Times New Roman" w:hAnsi="Times New Roman"/>
          <w:bCs w:val="0"/>
          <w:color w:val="000000" w:themeColor="text1"/>
          <w:kern w:val="2"/>
          <w:szCs w:val="24"/>
          <w14:textFill>
            <w14:solidFill>
              <w14:schemeClr w14:val="tx1"/>
            </w14:solidFill>
          </w14:textFill>
        </w:rPr>
        <w:t>符合性</w:t>
      </w:r>
    </w:p>
    <w:p w14:paraId="5D69D29C">
      <w:pPr>
        <w:spacing w:line="480" w:lineRule="exact"/>
        <w:ind w:firstLine="480" w:firstLineChars="200"/>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《新疆维吾尔自治区重点行业生态环境准入条件（2024年）》对金属矿采选行业的选址及污染防治进行了要求</w:t>
      </w:r>
      <w:r>
        <w:rPr>
          <w:rFonts w:hint="default" w:ascii="Times New Roman" w:hAnsi="Times New Roman" w:eastAsia="宋体" w:cs="Times New Roman"/>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本项目与环境准入条件的符合性分析见表3.4-2。</w:t>
      </w:r>
    </w:p>
    <w:p w14:paraId="2AAAEDC5">
      <w:pPr>
        <w:spacing w:line="480" w:lineRule="exact"/>
        <w:jc w:val="center"/>
        <w:rPr>
          <w:b/>
          <w:color w:val="000000" w:themeColor="text1"/>
          <w:kern w:val="0"/>
          <w:sz w:val="24"/>
          <w:szCs w:val="24"/>
          <w:lang w:bidi="ar"/>
          <w14:textFill>
            <w14:solidFill>
              <w14:schemeClr w14:val="tx1"/>
            </w14:solidFill>
          </w14:textFill>
        </w:rPr>
      </w:pPr>
      <w:r>
        <w:rPr>
          <w:b/>
          <w:color w:val="000000" w:themeColor="text1"/>
          <w:kern w:val="0"/>
          <w:sz w:val="24"/>
          <w:szCs w:val="24"/>
          <w:lang w:bidi="ar"/>
          <w14:textFill>
            <w14:solidFill>
              <w14:schemeClr w14:val="tx1"/>
            </w14:solidFill>
          </w14:textFill>
        </w:rPr>
        <w:t>表3.4-2    本项目与环境准入条件符合性分析表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Layout w:type="autofit"/>
        <w:tblCellMar>
          <w:top w:w="0" w:type="dxa"/>
          <w:left w:w="108" w:type="dxa"/>
          <w:bottom w:w="0" w:type="dxa"/>
          <w:right w:w="108" w:type="dxa"/>
        </w:tblCellMar>
      </w:tblPr>
      <w:tblGrid>
        <w:gridCol w:w="634"/>
        <w:gridCol w:w="4072"/>
        <w:gridCol w:w="3039"/>
        <w:gridCol w:w="774"/>
      </w:tblGrid>
      <w:tr w14:paraId="2508385E">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tblHeader/>
          <w:jc w:val="center"/>
        </w:trPr>
        <w:tc>
          <w:tcPr>
            <w:tcW w:w="372" w:type="pct"/>
            <w:noWrap w:val="0"/>
            <w:vAlign w:val="center"/>
          </w:tcPr>
          <w:p w14:paraId="21E168A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项目</w:t>
            </w:r>
          </w:p>
        </w:tc>
        <w:tc>
          <w:tcPr>
            <w:tcW w:w="2389" w:type="pct"/>
            <w:noWrap w:val="0"/>
            <w:vAlign w:val="center"/>
          </w:tcPr>
          <w:p w14:paraId="2349800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准入条件要求</w:t>
            </w:r>
          </w:p>
        </w:tc>
        <w:tc>
          <w:tcPr>
            <w:tcW w:w="1783" w:type="pct"/>
            <w:noWrap w:val="0"/>
            <w:vAlign w:val="center"/>
          </w:tcPr>
          <w:p w14:paraId="4C1553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本项目情况</w:t>
            </w:r>
          </w:p>
        </w:tc>
        <w:tc>
          <w:tcPr>
            <w:tcW w:w="454" w:type="pct"/>
            <w:noWrap w:val="0"/>
            <w:vAlign w:val="center"/>
          </w:tcPr>
          <w:p w14:paraId="0A0C5C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符合性</w:t>
            </w:r>
          </w:p>
        </w:tc>
      </w:tr>
      <w:tr w14:paraId="0B3019C7">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restart"/>
            <w:noWrap w:val="0"/>
            <w:vAlign w:val="center"/>
          </w:tcPr>
          <w:p w14:paraId="3BB6DF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总体要求</w:t>
            </w:r>
          </w:p>
        </w:tc>
        <w:tc>
          <w:tcPr>
            <w:tcW w:w="2389" w:type="pct"/>
            <w:noWrap w:val="0"/>
            <w:vAlign w:val="center"/>
          </w:tcPr>
          <w:p w14:paraId="51B8E99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应符合国家、自治区相关法律法规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r>
              <w:rPr>
                <w:rFonts w:hint="eastAsia" w:cs="Times New Roman"/>
                <w:color w:val="000000" w:themeColor="text1"/>
                <w:szCs w:val="21"/>
                <w:lang w:eastAsia="zh-CN"/>
                <w14:textFill>
                  <w14:solidFill>
                    <w14:schemeClr w14:val="tx1"/>
                  </w14:solidFill>
                </w14:textFill>
              </w:rPr>
              <w:t>。</w:t>
            </w:r>
          </w:p>
        </w:tc>
        <w:tc>
          <w:tcPr>
            <w:tcW w:w="1783" w:type="pct"/>
            <w:noWrap w:val="0"/>
            <w:vAlign w:val="center"/>
          </w:tcPr>
          <w:p w14:paraId="471D8E4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w:t>
            </w:r>
            <w:r>
              <w:rPr>
                <w:rFonts w:hint="eastAsia" w:cs="Times New Roman"/>
                <w:color w:val="000000" w:themeColor="text1"/>
                <w:szCs w:val="21"/>
                <w:lang w:val="en-US" w:eastAsia="zh-CN"/>
                <w14:textFill>
                  <w14:solidFill>
                    <w14:schemeClr w14:val="tx1"/>
                  </w14:solidFill>
                </w14:textFill>
              </w:rPr>
              <w:t>符合</w:t>
            </w:r>
            <w:r>
              <w:rPr>
                <w:rFonts w:hint="default" w:ascii="Times New Roman" w:hAnsi="Times New Roman" w:cs="Times New Roman"/>
                <w:color w:val="000000" w:themeColor="text1"/>
                <w:szCs w:val="21"/>
                <w14:textFill>
                  <w14:solidFill>
                    <w14:schemeClr w14:val="tx1"/>
                  </w14:solidFill>
                </w14:textFill>
              </w:rPr>
              <w:t>国家、自治区相关法律法规规章、产业政策要求，</w:t>
            </w:r>
            <w:r>
              <w:rPr>
                <w:rFonts w:hint="eastAsia" w:ascii="Times New Roman" w:hAnsi="Times New Roman" w:cs="Times New Roman"/>
                <w:color w:val="000000" w:themeColor="text1"/>
                <w:szCs w:val="21"/>
                <w:lang w:val="en-US" w:eastAsia="zh-CN"/>
                <w14:textFill>
                  <w14:solidFill>
                    <w14:schemeClr w14:val="tx1"/>
                  </w14:solidFill>
                </w14:textFill>
              </w:rPr>
              <w:t>铁矿开采属于政策“鼓励类”。</w:t>
            </w:r>
          </w:p>
        </w:tc>
        <w:tc>
          <w:tcPr>
            <w:tcW w:w="454" w:type="pct"/>
            <w:noWrap w:val="0"/>
            <w:vAlign w:val="center"/>
          </w:tcPr>
          <w:p w14:paraId="7E0DE84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ED2C2B4">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continue"/>
            <w:noWrap w:val="0"/>
            <w:vAlign w:val="center"/>
          </w:tcPr>
          <w:p w14:paraId="74F87E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389" w:type="pct"/>
            <w:noWrap w:val="0"/>
            <w:vAlign w:val="center"/>
          </w:tcPr>
          <w:p w14:paraId="0A76A3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自然保护区、世界自然遗产地、风景名胜区、自然公园（森林公园、地质公园、湿地公园、沙漠公园等）、重要湿地、饮用水水源保护区等依法划定禁止开发建设的环境敏感区及其它法律法规规章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 生态环境部 国家林业和草原局关于加强生态保护红线管理的通知（试行）》（自然资发〔2022〕142号）执行，生态保护红线管控要求调整、更新的，从其规定。</w:t>
            </w:r>
          </w:p>
        </w:tc>
        <w:tc>
          <w:tcPr>
            <w:tcW w:w="1783" w:type="pct"/>
            <w:noWrap w:val="0"/>
            <w:vAlign w:val="center"/>
          </w:tcPr>
          <w:p w14:paraId="735EBC71">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本项目开采区域不属于自然保护区、风景名胜区、</w:t>
            </w:r>
            <w:r>
              <w:rPr>
                <w:rFonts w:hint="default" w:ascii="Times New Roman" w:hAnsi="Times New Roman" w:cs="Times New Roman"/>
                <w:color w:val="000000" w:themeColor="text1"/>
                <w:szCs w:val="21"/>
                <w14:textFill>
                  <w14:solidFill>
                    <w14:schemeClr w14:val="tx1"/>
                  </w14:solidFill>
                </w14:textFill>
              </w:rPr>
              <w:t>自然公园</w:t>
            </w:r>
            <w:r>
              <w:rPr>
                <w:rFonts w:hint="eastAsia" w:ascii="Times New Roman" w:hAnsi="Times New Roman" w:cs="Times New Roman"/>
                <w:color w:val="000000" w:themeColor="text1"/>
                <w:szCs w:val="21"/>
                <w:lang w:eastAsia="zh-CN"/>
                <w14:textFill>
                  <w14:solidFill>
                    <w14:schemeClr w14:val="tx1"/>
                  </w14:solidFill>
                </w14:textFill>
              </w:rPr>
              <w:t>、重要湿地、饮用水水源保护区等依法划定禁止开发建设的环境敏感区</w:t>
            </w:r>
            <w:r>
              <w:rPr>
                <w:rFonts w:hint="eastAsia" w:cs="Times New Roman"/>
                <w:color w:val="000000" w:themeColor="text1"/>
                <w:szCs w:val="21"/>
                <w:lang w:val="en-US" w:eastAsia="zh-CN"/>
                <w14:textFill>
                  <w14:solidFill>
                    <w14:schemeClr w14:val="tx1"/>
                  </w14:solidFill>
                </w14:textFill>
              </w:rPr>
              <w:t>，项目区不属于青藏高原，不涉及生态保护红线区。</w:t>
            </w:r>
          </w:p>
        </w:tc>
        <w:tc>
          <w:tcPr>
            <w:tcW w:w="454" w:type="pct"/>
            <w:noWrap w:val="0"/>
            <w:vAlign w:val="center"/>
          </w:tcPr>
          <w:p w14:paraId="6AAECAE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2209E934">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restart"/>
            <w:noWrap w:val="0"/>
            <w:vAlign w:val="center"/>
          </w:tcPr>
          <w:p w14:paraId="430B16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选址</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与空间布局</w:t>
            </w:r>
          </w:p>
        </w:tc>
        <w:tc>
          <w:tcPr>
            <w:tcW w:w="2389" w:type="pct"/>
            <w:noWrap w:val="0"/>
            <w:vAlign w:val="center"/>
          </w:tcPr>
          <w:p w14:paraId="2331226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铁路、高速公路、国道、省道等重要交通干线两侧200米范围以内（其中，禁止在铁路、国道、省道两侧的直观可视范围内进行露天开采），重要工业区、大型水利工程设施、城镇市政工程设施所在区域，军事管理区、机场、国防工程设施圈定的区域</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居民聚集区1千米以内，伊犁河、额尔齐斯河等重点河流源头区，国家及自治区划定的重点流域Ⅰ、Ⅱ类和有饮用水取水口的Ⅲ类水体上游岸边1千米以内、其它Ⅲ类水体岸边200米以内，原则上不得建设涉及汞、镉、铬、铅、砷等重有色金属矿采选的工业场地、露天矿或尾矿库。存在山体等阻隔地形或建设人工地下水阻隔设施和严格防尘措施的，可适当放宽距离要求，具体根据专业机构论证结论确定。其他水体根据矿产资源开发利用结论和环境影响评价结论管控。</w:t>
            </w:r>
          </w:p>
        </w:tc>
        <w:tc>
          <w:tcPr>
            <w:tcW w:w="1783" w:type="pct"/>
            <w:noWrap w:val="0"/>
            <w:vAlign w:val="center"/>
          </w:tcPr>
          <w:p w14:paraId="3030B8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本项目不在铁路、高速公路、国道、省道等重要交通干线范围内，项目周边无居民聚集区</w:t>
            </w:r>
            <w:r>
              <w:rPr>
                <w:rFonts w:hint="eastAsia"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无地表水体。</w:t>
            </w:r>
          </w:p>
        </w:tc>
        <w:tc>
          <w:tcPr>
            <w:tcW w:w="454" w:type="pct"/>
            <w:noWrap w:val="0"/>
            <w:vAlign w:val="center"/>
          </w:tcPr>
          <w:p w14:paraId="51FAD9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7D06F3D7">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continue"/>
            <w:noWrap w:val="0"/>
            <w:vAlign w:val="center"/>
          </w:tcPr>
          <w:p w14:paraId="6A10722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389" w:type="pct"/>
            <w:shd w:val="clear" w:color="auto" w:fill="auto"/>
            <w:noWrap w:val="0"/>
            <w:vAlign w:val="center"/>
          </w:tcPr>
          <w:p w14:paraId="74DB11C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石堆场及尾矿库选址应达到《一般工业固体废物贮存和填埋污染控制标准》（GB18599）要求，对不明确是否具有危险特性的尾矿砂，应当按照国家规定的危险废物鉴别标准和鉴别方法进行鉴别，经鉴别属于危险废物的按危险废物依法依规管理，其贮存设施应符合《危险废物贮存污染控制标准》（GB18597）。</w:t>
            </w:r>
          </w:p>
        </w:tc>
        <w:tc>
          <w:tcPr>
            <w:tcW w:w="1783" w:type="pct"/>
            <w:shd w:val="clear" w:color="auto" w:fill="auto"/>
            <w:noWrap w:val="0"/>
            <w:vAlign w:val="center"/>
          </w:tcPr>
          <w:p w14:paraId="4FEF060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本环评要求建设单位应按《一般工业固体废物贮存和填埋污染控制标准》（GB18599）建设废石堆场。</w:t>
            </w:r>
            <w:r>
              <w:rPr>
                <w:rFonts w:hint="eastAsia" w:cs="Times New Roman"/>
                <w:i w:val="0"/>
                <w:iCs w:val="0"/>
                <w:color w:val="000000" w:themeColor="text1"/>
                <w:kern w:val="0"/>
                <w:sz w:val="21"/>
                <w:szCs w:val="21"/>
                <w:u w:val="none"/>
                <w:lang w:val="en-US" w:eastAsia="zh-CN" w:bidi="ar"/>
                <w14:textFill>
                  <w14:solidFill>
                    <w14:schemeClr w14:val="tx1"/>
                  </w14:solidFill>
                </w14:textFill>
              </w:rPr>
              <w:t>废矿物油贮存于危废贮存点，</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符合《危险废物贮存污染控制标准》（GB18597）</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要求。</w:t>
            </w:r>
          </w:p>
        </w:tc>
        <w:tc>
          <w:tcPr>
            <w:tcW w:w="454" w:type="pct"/>
            <w:shd w:val="clear" w:color="auto" w:fill="auto"/>
            <w:noWrap w:val="0"/>
            <w:vAlign w:val="center"/>
          </w:tcPr>
          <w:p w14:paraId="1B11783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1DE5FCD">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restart"/>
            <w:noWrap w:val="0"/>
            <w:vAlign w:val="center"/>
          </w:tcPr>
          <w:p w14:paraId="2BA6C9A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污染防治</w:t>
            </w:r>
          </w:p>
        </w:tc>
        <w:tc>
          <w:tcPr>
            <w:tcW w:w="2389" w:type="pct"/>
            <w:noWrap w:val="0"/>
            <w:vAlign w:val="center"/>
          </w:tcPr>
          <w:p w14:paraId="39FE610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铝矿采选执行《铝工业污染物排放标准》（GB25465），铅锌矿采选执行《铅、锌工业污染物排放标准》（GB25466），铜镍矿采选执行《铜、镍、钴工业污染物排放标准》（GB25467），稀土矿采选执行《稀土工业污染物排放标准》（GB26451），铁矿采选执行《铁矿采选工业污染物排放标准》（GB28661），钒矿采选执行《钒工业污染物排放标准》（GB26452），镁、钛矿采选执行《镁、钛工业污染物排放标准》（GB25468）。</w:t>
            </w:r>
          </w:p>
        </w:tc>
        <w:tc>
          <w:tcPr>
            <w:tcW w:w="1783" w:type="pct"/>
            <w:noWrap w:val="0"/>
            <w:vAlign w:val="center"/>
          </w:tcPr>
          <w:p w14:paraId="4393F4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本项目铁矿采选执行《铁矿采选工业污染物排放标准》（GB28661）。</w:t>
            </w:r>
          </w:p>
        </w:tc>
        <w:tc>
          <w:tcPr>
            <w:tcW w:w="454" w:type="pct"/>
            <w:noWrap w:val="0"/>
            <w:vAlign w:val="center"/>
          </w:tcPr>
          <w:p w14:paraId="0F7A96B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6B275C55">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continue"/>
            <w:noWrap w:val="0"/>
            <w:vAlign w:val="center"/>
          </w:tcPr>
          <w:p w14:paraId="6D76BC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389" w:type="pct"/>
            <w:noWrap w:val="0"/>
            <w:vAlign w:val="center"/>
          </w:tcPr>
          <w:p w14:paraId="0A54CD4E">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矿井涌水、矿坑涌水、选矿废水应优先用于生产工艺、降尘、绿化等，废水综合利用率应达到相关综合利用标准要求。采选废水排放有行业标准的应达到行业标准要求，无行业标准的应达到《污水综合排放标准》（GB8978）要求。生活污水处理达标后尽量综合利用，边远矿区的生活污水排放和综合利用可参照《农村生活污水处理排放标准》（DB65/4275）要求管控。</w:t>
            </w:r>
          </w:p>
        </w:tc>
        <w:tc>
          <w:tcPr>
            <w:tcW w:w="1783" w:type="pct"/>
            <w:noWrap w:val="0"/>
            <w:vAlign w:val="center"/>
          </w:tcPr>
          <w:p w14:paraId="5AF790C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w:t>
            </w:r>
            <w:r>
              <w:rPr>
                <w:rFonts w:hint="eastAsia" w:cs="Times New Roman"/>
                <w:i w:val="0"/>
                <w:iCs w:val="0"/>
                <w:color w:val="000000" w:themeColor="text1"/>
                <w:kern w:val="0"/>
                <w:sz w:val="21"/>
                <w:szCs w:val="21"/>
                <w:u w:val="none"/>
                <w:lang w:val="en-US" w:eastAsia="zh-CN" w:bidi="ar"/>
                <w14:textFill>
                  <w14:solidFill>
                    <w14:schemeClr w14:val="tx1"/>
                  </w14:solidFill>
                </w14:textFill>
              </w:rPr>
              <w:t>矿井涌水经混凝沉淀处理后，一部分用于采矿生产用水和矿山绿化浇灌、工业场地及道路降尘等，其余泵送至选厂生产新水水池供生产使用，不外排。生活污水经地埋式一体化污水处理设备处理后满足《农村生活污水处理排放标准》（DB65 4275-2019）中A级标准后，灌溉期全部用于矿区绿化，非灌溉期输送至选厂生产使用，不外排。</w:t>
            </w:r>
          </w:p>
        </w:tc>
        <w:tc>
          <w:tcPr>
            <w:tcW w:w="454" w:type="pct"/>
            <w:noWrap w:val="0"/>
            <w:vAlign w:val="center"/>
          </w:tcPr>
          <w:p w14:paraId="38366E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AB6921C">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continue"/>
            <w:noWrap w:val="0"/>
            <w:vAlign w:val="center"/>
          </w:tcPr>
          <w:p w14:paraId="4F8A5E3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389" w:type="pct"/>
            <w:shd w:val="clear" w:color="auto" w:fill="auto"/>
            <w:noWrap w:val="0"/>
            <w:vAlign w:val="center"/>
          </w:tcPr>
          <w:p w14:paraId="16CA1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采选活动矿石转运、破碎、筛分等粉尘产生工序，应配备抑尘、除尘设备，除尘效率不低于99%，有效控制无组织粉尘排放。采选矿各环节废气排放有行业标准的应达到行业标准要求，无行业标准的应达到《大气污染物综合排放标准》（GB16297）要求。</w:t>
            </w:r>
          </w:p>
        </w:tc>
        <w:tc>
          <w:tcPr>
            <w:tcW w:w="1783" w:type="pct"/>
            <w:noWrap w:val="0"/>
            <w:vAlign w:val="center"/>
          </w:tcPr>
          <w:p w14:paraId="5A20FFC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采矿活动矿石转运过程中产生的粉尘，配备抑尘设备</w:t>
            </w:r>
            <w:r>
              <w:rPr>
                <w:rFonts w:hint="eastAsia" w:ascii="Times New Roman" w:hAnsi="Times New Roman" w:cs="Times New Roman"/>
                <w:color w:val="000000" w:themeColor="text1"/>
                <w:szCs w:val="21"/>
                <w14:textFill>
                  <w14:solidFill>
                    <w14:schemeClr w14:val="tx1"/>
                  </w14:solidFill>
                </w14:textFill>
              </w:rPr>
              <w:t>并采用湿式凿岩</w:t>
            </w:r>
            <w:r>
              <w:rPr>
                <w:rFonts w:hint="default" w:ascii="Times New Roman" w:hAnsi="Times New Roman" w:cs="Times New Roman"/>
                <w:color w:val="000000" w:themeColor="text1"/>
                <w:szCs w:val="21"/>
                <w:lang w:eastAsia="zh-Hans"/>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有效控制无组织粉尘排放。</w:t>
            </w:r>
          </w:p>
        </w:tc>
        <w:tc>
          <w:tcPr>
            <w:tcW w:w="454" w:type="pct"/>
            <w:noWrap w:val="0"/>
            <w:vAlign w:val="center"/>
          </w:tcPr>
          <w:p w14:paraId="2F3C96D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25379584">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continue"/>
            <w:noWrap w:val="0"/>
            <w:vAlign w:val="center"/>
          </w:tcPr>
          <w:p w14:paraId="7908EE6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389" w:type="pct"/>
            <w:shd w:val="clear" w:color="auto" w:fill="auto"/>
            <w:noWrap w:val="0"/>
            <w:vAlign w:val="center"/>
          </w:tcPr>
          <w:p w14:paraId="39F16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Style w:val="1018"/>
                <w:rFonts w:hint="default" w:ascii="Times New Roman" w:hAnsi="Times New Roman" w:eastAsia="宋体" w:cs="Times New Roman"/>
                <w:color w:val="000000" w:themeColor="text1"/>
                <w:sz w:val="21"/>
                <w:szCs w:val="21"/>
                <w:lang w:val="en-US" w:eastAsia="zh-CN" w:bidi="ar"/>
                <w14:textFill>
                  <w14:solidFill>
                    <w14:schemeClr w14:val="tx1"/>
                  </w14:solidFill>
                </w14:textFill>
              </w:rPr>
              <w:t>噪声排放执行《工业企业厂界环境噪声排放标准》（</w:t>
            </w:r>
            <w:r>
              <w:rPr>
                <w:rStyle w:val="1019"/>
                <w:rFonts w:hint="default" w:ascii="Times New Roman" w:hAnsi="Times New Roman" w:eastAsia="宋体" w:cs="Times New Roman"/>
                <w:color w:val="000000" w:themeColor="text1"/>
                <w:sz w:val="21"/>
                <w:szCs w:val="21"/>
                <w:lang w:val="en-US" w:eastAsia="zh-CN" w:bidi="ar"/>
                <w14:textFill>
                  <w14:solidFill>
                    <w14:schemeClr w14:val="tx1"/>
                  </w14:solidFill>
                </w14:textFill>
              </w:rPr>
              <w:t>GB12348</w:t>
            </w:r>
            <w:r>
              <w:rPr>
                <w:rStyle w:val="1018"/>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p>
        </w:tc>
        <w:tc>
          <w:tcPr>
            <w:tcW w:w="1783" w:type="pct"/>
            <w:noWrap w:val="0"/>
            <w:vAlign w:val="center"/>
          </w:tcPr>
          <w:p w14:paraId="08DDF429">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本项目噪声排放符合《工业企业厂界环境噪声排放标准》（GB12348-2008）2类标准要求</w:t>
            </w:r>
            <w:r>
              <w:rPr>
                <w:rFonts w:hint="eastAsia" w:cs="Times New Roman"/>
                <w:color w:val="000000" w:themeColor="text1"/>
                <w:szCs w:val="21"/>
                <w:lang w:eastAsia="zh-CN"/>
                <w14:textFill>
                  <w14:solidFill>
                    <w14:schemeClr w14:val="tx1"/>
                  </w14:solidFill>
                </w14:textFill>
              </w:rPr>
              <w:t>。</w:t>
            </w:r>
          </w:p>
        </w:tc>
        <w:tc>
          <w:tcPr>
            <w:tcW w:w="454" w:type="pct"/>
            <w:noWrap w:val="0"/>
            <w:vAlign w:val="center"/>
          </w:tcPr>
          <w:p w14:paraId="6E846C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6C5A8F2">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continue"/>
            <w:noWrap w:val="0"/>
            <w:vAlign w:val="center"/>
          </w:tcPr>
          <w:p w14:paraId="6492C9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389" w:type="pct"/>
            <w:shd w:val="clear" w:color="auto" w:fill="auto"/>
            <w:noWrap w:val="0"/>
            <w:vAlign w:val="center"/>
          </w:tcPr>
          <w:p w14:paraId="67A61D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鼓励对废石、尾矿砂进行多途径综合利用，因地制宜选择合理的综合利用方式，提高综合利用率，其处置与综合利用应符合国家及行业相关标准规范要求。废石和尾矿砂应根据《一般工业固体废物贮存和填埋污染控制标准》（GB18599）进行管理，属危险废物的按危险废物相关要求依法依规进行管理，其贮存设施应符合《危险废物贮存污染控制标准》（GB18597）。生活垃圾实现100%无害化处置。</w:t>
            </w:r>
          </w:p>
        </w:tc>
        <w:tc>
          <w:tcPr>
            <w:tcW w:w="1783" w:type="pct"/>
            <w:noWrap w:val="0"/>
            <w:vAlign w:val="center"/>
          </w:tcPr>
          <w:p w14:paraId="61BD59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1.本项目</w:t>
            </w:r>
            <w:r>
              <w:rPr>
                <w:rFonts w:hint="eastAsia" w:ascii="Times New Roman" w:hAnsi="Times New Roman" w:cs="Times New Roman"/>
                <w:color w:val="000000" w:themeColor="text1"/>
                <w:szCs w:val="21"/>
                <w14:textFill>
                  <w14:solidFill>
                    <w14:schemeClr w14:val="tx1"/>
                  </w14:solidFill>
                </w14:textFill>
              </w:rPr>
              <w:t>废石堆置于废石堆场，待开采结束并稳沉后，将废石全部回填至采空区，</w:t>
            </w:r>
            <w:r>
              <w:rPr>
                <w:rFonts w:hint="default" w:ascii="Times New Roman" w:hAnsi="Times New Roman" w:cs="Times New Roman"/>
                <w:color w:val="000000" w:themeColor="text1"/>
                <w:szCs w:val="21"/>
                <w14:textFill>
                  <w14:solidFill>
                    <w14:schemeClr w14:val="tx1"/>
                  </w14:solidFill>
                </w14:textFill>
              </w:rPr>
              <w:t>综合</w:t>
            </w:r>
            <w:r>
              <w:rPr>
                <w:rFonts w:hint="eastAsia" w:ascii="Times New Roman" w:hAnsi="Times New Roman" w:cs="Times New Roman"/>
                <w:color w:val="000000" w:themeColor="text1"/>
                <w:szCs w:val="21"/>
                <w14:textFill>
                  <w14:solidFill>
                    <w14:schemeClr w14:val="tx1"/>
                  </w14:solidFill>
                </w14:textFill>
              </w:rPr>
              <w:t>利用</w:t>
            </w:r>
            <w:r>
              <w:rPr>
                <w:rFonts w:hint="default" w:ascii="Times New Roman" w:hAnsi="Times New Roman" w:cs="Times New Roman"/>
                <w:color w:val="000000" w:themeColor="text1"/>
                <w:szCs w:val="21"/>
                <w14:textFill>
                  <w14:solidFill>
                    <w14:schemeClr w14:val="tx1"/>
                  </w14:solidFill>
                </w14:textFill>
              </w:rPr>
              <w:t>率达到100%</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废石利用率满足《</w:t>
            </w:r>
            <w:r>
              <w:rPr>
                <w:rFonts w:hint="eastAsia" w:ascii="Times New Roman" w:hAnsi="Times New Roman" w:cs="Times New Roman"/>
                <w:color w:val="000000" w:themeColor="text1"/>
                <w:szCs w:val="21"/>
                <w14:textFill>
                  <w14:solidFill>
                    <w14:schemeClr w14:val="tx1"/>
                  </w14:solidFill>
                </w14:textFill>
              </w:rPr>
              <w:t>冶金</w:t>
            </w:r>
            <w:r>
              <w:rPr>
                <w:rFonts w:hint="default" w:ascii="Times New Roman" w:hAnsi="Times New Roman" w:cs="Times New Roman"/>
                <w:color w:val="000000" w:themeColor="text1"/>
                <w:szCs w:val="21"/>
                <w14:textFill>
                  <w14:solidFill>
                    <w14:schemeClr w14:val="tx1"/>
                  </w14:solidFill>
                </w14:textFill>
              </w:rPr>
              <w:t>行业绿色矿山建设规范》（DZ/T0319-2018）的要求。</w:t>
            </w:r>
          </w:p>
          <w:p w14:paraId="448E45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2.生活垃圾</w:t>
            </w:r>
            <w:r>
              <w:rPr>
                <w:rFonts w:hint="default" w:ascii="Times New Roman" w:hAnsi="Times New Roman" w:cs="Times New Roman"/>
                <w:bCs/>
                <w:color w:val="000000" w:themeColor="text1"/>
                <w:szCs w:val="21"/>
                <w14:textFill>
                  <w14:solidFill>
                    <w14:schemeClr w14:val="tx1"/>
                  </w14:solidFill>
                </w14:textFill>
              </w:rPr>
              <w:t>定期拉运至</w:t>
            </w:r>
            <w:r>
              <w:rPr>
                <w:rFonts w:hint="eastAsia" w:ascii="Times New Roman" w:hAnsi="Times New Roman" w:cs="Times New Roman"/>
                <w:bCs/>
                <w:color w:val="000000" w:themeColor="text1"/>
                <w:szCs w:val="21"/>
                <w14:textFill>
                  <w14:solidFill>
                    <w14:schemeClr w14:val="tx1"/>
                  </w14:solidFill>
                </w14:textFill>
              </w:rPr>
              <w:t>雅满苏镇</w:t>
            </w:r>
            <w:r>
              <w:rPr>
                <w:rFonts w:hint="eastAsia" w:ascii="Times New Roman" w:hAnsi="Times New Roman" w:cs="Times New Roman"/>
                <w:bCs/>
                <w:color w:val="000000" w:themeColor="text1"/>
                <w:szCs w:val="21"/>
                <w:lang w:eastAsia="zh-Hans"/>
                <w14:textFill>
                  <w14:solidFill>
                    <w14:schemeClr w14:val="tx1"/>
                  </w14:solidFill>
                </w14:textFill>
              </w:rPr>
              <w:t>垃圾填埋场进行填埋处理</w:t>
            </w:r>
            <w:r>
              <w:rPr>
                <w:rFonts w:hint="default" w:ascii="Times New Roman" w:hAnsi="Times New Roman" w:cs="Times New Roman"/>
                <w:color w:val="000000" w:themeColor="text1"/>
                <w:szCs w:val="21"/>
                <w14:textFill>
                  <w14:solidFill>
                    <w14:schemeClr w14:val="tx1"/>
                  </w14:solidFill>
                </w14:textFill>
              </w:rPr>
              <w:t>。</w:t>
            </w:r>
          </w:p>
          <w:p w14:paraId="1354035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3.废矿物油、</w:t>
            </w:r>
            <w:r>
              <w:rPr>
                <w:rFonts w:hint="eastAsia" w:ascii="Times New Roman" w:hAnsi="Times New Roman" w:cs="Times New Roman"/>
                <w:color w:val="000000" w:themeColor="text1"/>
                <w:szCs w:val="21"/>
                <w14:textFill>
                  <w14:solidFill>
                    <w14:schemeClr w14:val="tx1"/>
                  </w14:solidFill>
                </w14:textFill>
              </w:rPr>
              <w:t>废油桶</w:t>
            </w:r>
            <w:r>
              <w:rPr>
                <w:rFonts w:hint="eastAsia" w:ascii="Times New Roman" w:hAnsi="Times New Roman" w:cs="Times New Roman"/>
                <w:color w:val="000000" w:themeColor="text1"/>
                <w:szCs w:val="21"/>
                <w:lang w:eastAsia="zh-Hans"/>
                <w14:textFill>
                  <w14:solidFill>
                    <w14:schemeClr w14:val="tx1"/>
                  </w14:solidFill>
                </w14:textFill>
              </w:rPr>
              <w:t>等危险废物</w:t>
            </w:r>
            <w:r>
              <w:rPr>
                <w:rFonts w:hint="default" w:ascii="Times New Roman" w:hAnsi="Times New Roman" w:cs="Times New Roman"/>
                <w:color w:val="000000" w:themeColor="text1"/>
                <w:szCs w:val="21"/>
                <w14:textFill>
                  <w14:solidFill>
                    <w14:schemeClr w14:val="tx1"/>
                  </w14:solidFill>
                </w14:textFill>
              </w:rPr>
              <w:t>暂存至</w:t>
            </w:r>
            <w:r>
              <w:rPr>
                <w:rFonts w:hint="eastAsia" w:cs="Times New Roman"/>
                <w:color w:val="000000" w:themeColor="text1"/>
                <w:szCs w:val="21"/>
                <w:lang w:eastAsia="zh-CN"/>
                <w14:textFill>
                  <w14:solidFill>
                    <w14:schemeClr w14:val="tx1"/>
                  </w14:solidFill>
                </w14:textFill>
              </w:rPr>
              <w:t>危废贮存点</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Hans"/>
                <w14:textFill>
                  <w14:solidFill>
                    <w14:schemeClr w14:val="tx1"/>
                  </w14:solidFill>
                </w14:textFill>
              </w:rPr>
              <w:t>定期</w:t>
            </w:r>
            <w:r>
              <w:rPr>
                <w:rFonts w:hint="default" w:ascii="Times New Roman" w:hAnsi="Times New Roman" w:cs="Times New Roman"/>
                <w:color w:val="000000" w:themeColor="text1"/>
                <w:szCs w:val="21"/>
                <w14:textFill>
                  <w14:solidFill>
                    <w14:schemeClr w14:val="tx1"/>
                  </w14:solidFill>
                </w14:textFill>
              </w:rPr>
              <w:t>交由有危险废物处理资质单位处置。</w:t>
            </w:r>
          </w:p>
        </w:tc>
        <w:tc>
          <w:tcPr>
            <w:tcW w:w="454" w:type="pct"/>
            <w:noWrap w:val="0"/>
            <w:vAlign w:val="center"/>
          </w:tcPr>
          <w:p w14:paraId="07EA35B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063738FA">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2" w:type="pct"/>
            <w:vMerge w:val="continue"/>
            <w:noWrap w:val="0"/>
            <w:vAlign w:val="center"/>
          </w:tcPr>
          <w:p w14:paraId="16E64F0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389" w:type="pct"/>
            <w:shd w:val="clear" w:color="auto" w:fill="auto"/>
            <w:noWrap w:val="0"/>
            <w:vAlign w:val="center"/>
          </w:tcPr>
          <w:p w14:paraId="6B95F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.矿山生态环境保护和恢复以及土地复垦应达到《矿山生态环境保护与恢复治理技术规范（试行）》（HJ651）及其他有关生态环境保护法律法规的相关要求。</w:t>
            </w:r>
          </w:p>
        </w:tc>
        <w:tc>
          <w:tcPr>
            <w:tcW w:w="1783" w:type="pct"/>
            <w:noWrap w:val="0"/>
            <w:vAlign w:val="center"/>
          </w:tcPr>
          <w:p w14:paraId="27AA168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建设单位应按照</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《矿山生态环境保护与恢复治理技术规范（试行）》（HJ651）</w:t>
            </w:r>
            <w:r>
              <w:rPr>
                <w:rFonts w:hint="eastAsia" w:cs="Times New Roman"/>
                <w:i w:val="0"/>
                <w:iCs w:val="0"/>
                <w:color w:val="000000" w:themeColor="text1"/>
                <w:kern w:val="0"/>
                <w:sz w:val="21"/>
                <w:szCs w:val="21"/>
                <w:u w:val="none"/>
                <w:lang w:val="en-US" w:eastAsia="zh-CN" w:bidi="ar"/>
                <w14:textFill>
                  <w14:solidFill>
                    <w14:schemeClr w14:val="tx1"/>
                  </w14:solidFill>
                </w14:textFill>
              </w:rPr>
              <w:t>及本次评价提出的生态环境保护相关要求实施矿山</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生态环境保护和恢复以及土地复垦</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54" w:type="pct"/>
            <w:noWrap w:val="0"/>
            <w:vAlign w:val="center"/>
          </w:tcPr>
          <w:p w14:paraId="30E25BD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14:paraId="1AC7FA83">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综上所述，</w:t>
      </w:r>
      <w:r>
        <w:rPr>
          <w:rFonts w:hint="default" w:ascii="Times New Roman" w:hAnsi="Times New Roman" w:eastAsia="宋体" w:cs="Times New Roman"/>
          <w:color w:val="000000" w:themeColor="text1"/>
          <w:sz w:val="24"/>
          <w:szCs w:val="24"/>
          <w14:textFill>
            <w14:solidFill>
              <w14:schemeClr w14:val="tx1"/>
            </w14:solidFill>
          </w14:textFill>
        </w:rPr>
        <w:t>本项目符合《新疆维吾尔自治区重点行业生态环境准入条件（2024年）》中的相关要求。</w:t>
      </w:r>
    </w:p>
    <w:p w14:paraId="4D6AB3DD">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3.4.1.</w:t>
      </w:r>
      <w:r>
        <w:rPr>
          <w:rFonts w:hint="eastAsia" w:ascii="Times New Roman" w:hAnsi="Times New Roman"/>
          <w:bCs w:val="0"/>
          <w:color w:val="000000" w:themeColor="text1"/>
          <w:kern w:val="2"/>
          <w:szCs w:val="24"/>
          <w:lang w:val="en-US" w:eastAsia="zh-CN"/>
          <w14:textFill>
            <w14:solidFill>
              <w14:schemeClr w14:val="tx1"/>
            </w14:solidFill>
          </w14:textFill>
        </w:rPr>
        <w:t>5</w:t>
      </w:r>
      <w:r>
        <w:rPr>
          <w:rFonts w:ascii="Times New Roman" w:hAnsi="Times New Roman"/>
          <w:bCs w:val="0"/>
          <w:color w:val="000000" w:themeColor="text1"/>
          <w:kern w:val="2"/>
          <w:szCs w:val="24"/>
          <w14:textFill>
            <w14:solidFill>
              <w14:schemeClr w14:val="tx1"/>
            </w14:solidFill>
          </w14:textFill>
        </w:rPr>
        <w:t>与《关于调整部分矿种矿山生产建设规模标准的通知》的符合性分析</w:t>
      </w:r>
    </w:p>
    <w:p w14:paraId="7A5610A3">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w:t>本项目矿山采用地下开采方式，</w:t>
      </w:r>
      <w:r>
        <w:rPr>
          <w:rFonts w:hint="eastAsia"/>
          <w:color w:val="000000" w:themeColor="text1"/>
          <w:sz w:val="24"/>
          <w14:textFill>
            <w14:solidFill>
              <w14:schemeClr w14:val="tx1"/>
            </w14:solidFill>
          </w14:textFill>
        </w:rPr>
        <w:t>开采规模为</w:t>
      </w:r>
      <w:r>
        <w:rPr>
          <w:color w:val="000000" w:themeColor="text1"/>
          <w:sz w:val="24"/>
          <w14:textFill>
            <w14:solidFill>
              <w14:schemeClr w14:val="tx1"/>
            </w14:solidFill>
          </w14:textFill>
        </w:rPr>
        <w:t>60</w:t>
      </w:r>
      <w:r>
        <w:rPr>
          <w:rFonts w:hint="eastAsia"/>
          <w:color w:val="000000" w:themeColor="text1"/>
          <w:sz w:val="24"/>
          <w14:textFill>
            <w14:solidFill>
              <w14:schemeClr w14:val="tx1"/>
            </w14:solidFill>
          </w14:textFill>
        </w:rPr>
        <w:t>万吨/年，服务年限为</w:t>
      </w:r>
      <w:r>
        <w:rPr>
          <w:rFonts w:hint="eastAsia"/>
          <w:color w:val="000000" w:themeColor="text1"/>
          <w:sz w:val="24"/>
          <w:szCs w:val="24"/>
          <w14:textFill>
            <w14:solidFill>
              <w14:schemeClr w14:val="tx1"/>
            </w14:solidFill>
          </w14:textFill>
        </w:rPr>
        <w:t>基建期</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年、生产期</w:t>
      </w:r>
      <w:r>
        <w:rPr>
          <w:rFonts w:hint="eastAsia"/>
          <w:color w:val="000000" w:themeColor="text1"/>
          <w:sz w:val="24"/>
          <w:szCs w:val="24"/>
          <w:lang w:val="en-US" w:eastAsia="zh-CN"/>
          <w14:textFill>
            <w14:solidFill>
              <w14:schemeClr w14:val="tx1"/>
            </w14:solidFill>
          </w14:textFill>
        </w:rPr>
        <w:t>13.31</w:t>
      </w:r>
      <w:r>
        <w:rPr>
          <w:rFonts w:hint="eastAsia"/>
          <w:color w:val="000000" w:themeColor="text1"/>
          <w:sz w:val="24"/>
          <w:szCs w:val="24"/>
          <w14:textFill>
            <w14:solidFill>
              <w14:schemeClr w14:val="tx1"/>
            </w14:solidFill>
          </w14:textFill>
        </w:rPr>
        <w:t>年，本项目开采规模符合自治区自然资源厅《关于印发&lt;新疆维吾尔自治区非煤矿种（12种）矿山最小生产规模和最低服务年限&gt;（暂行）》的通知》（新自然资发〔2019〕25号）</w:t>
      </w:r>
      <w:r>
        <w:rPr>
          <w:rFonts w:hint="eastAsia"/>
          <w:color w:val="000000" w:themeColor="text1"/>
          <w:sz w:val="24"/>
          <w:szCs w:val="24"/>
          <w:lang w:val="en-US" w:eastAsia="zh-CN"/>
          <w14:textFill>
            <w14:solidFill>
              <w14:schemeClr w14:val="tx1"/>
            </w14:solidFill>
          </w14:textFill>
        </w:rPr>
        <w:t>中的“铁矿地下开采最低生产建设规模5万吨/年、最低服务年限9年”的</w:t>
      </w:r>
      <w:r>
        <w:rPr>
          <w:rFonts w:hint="eastAsia"/>
          <w:color w:val="000000" w:themeColor="text1"/>
          <w:sz w:val="24"/>
          <w:szCs w:val="24"/>
          <w14:textFill>
            <w14:solidFill>
              <w14:schemeClr w14:val="tx1"/>
            </w14:solidFill>
          </w14:textFill>
        </w:rPr>
        <w:t>相关要求。</w:t>
      </w:r>
    </w:p>
    <w:p w14:paraId="24FB6106">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3.4.1.6</w:t>
      </w:r>
      <w:r>
        <w:rPr>
          <w:rFonts w:hint="default" w:ascii="Times New Roman" w:hAnsi="Times New Roman" w:eastAsia="宋体" w:cs="Times New Roman"/>
          <w:bCs w:val="0"/>
          <w:color w:val="000000" w:themeColor="text1"/>
          <w:kern w:val="2"/>
          <w:szCs w:val="24"/>
          <w14:textFill>
            <w14:solidFill>
              <w14:schemeClr w14:val="tx1"/>
            </w14:solidFill>
          </w14:textFill>
        </w:rPr>
        <w:t>与《空气质量持续改善行动计划》的符合性分析</w:t>
      </w:r>
    </w:p>
    <w:p w14:paraId="5CDE8DD1">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空气质量持续改善行动计划》第五条规定，“推进矿山生态环境综合整治。新建矿山原则上要同步建设铁路专用线或采用其他清洁运输方式。到2025年，京津冀及周边地区原则上不再新建露天矿山（省级矿产资源规划确定的重点开采区或经安全论证不宜采用地下开采方式的除外）。对限期整改仍不达标的矿山，根据安全生产、水土保持、生态环境等要求依法关闭。”</w:t>
      </w:r>
    </w:p>
    <w:p w14:paraId="73EE0926">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属于铁矿矿产开发项目，本项目原矿地面运输采用汽车运输，车辆密闭苫盖，基本杜绝道路抛洒扬尘，同时定期对矿山及运输道路进行洒水抑尘，减少扬尘对大气的影响。因此，本项目符合《空气质量持续改善行动计划》的相关要求。</w:t>
      </w:r>
    </w:p>
    <w:p w14:paraId="735A6046">
      <w:pPr>
        <w:pStyle w:val="4"/>
        <w:spacing w:before="60" w:after="60" w:line="480" w:lineRule="exact"/>
        <w:rPr>
          <w:color w:val="000000" w:themeColor="text1"/>
          <w:kern w:val="2"/>
          <w14:textFill>
            <w14:solidFill>
              <w14:schemeClr w14:val="tx1"/>
            </w14:solidFill>
          </w14:textFill>
        </w:rPr>
      </w:pPr>
      <w:bookmarkStart w:id="323" w:name="_Toc17912"/>
      <w:r>
        <w:rPr>
          <w:rFonts w:hint="eastAsia"/>
          <w:color w:val="000000" w:themeColor="text1"/>
          <w:kern w:val="2"/>
          <w14:textFill>
            <w14:solidFill>
              <w14:schemeClr w14:val="tx1"/>
            </w14:solidFill>
          </w14:textFill>
        </w:rPr>
        <w:t>3.4.2</w:t>
      </w:r>
      <w:r>
        <w:rPr>
          <w:color w:val="000000" w:themeColor="text1"/>
          <w:kern w:val="2"/>
          <w14:textFill>
            <w14:solidFill>
              <w14:schemeClr w14:val="tx1"/>
            </w14:solidFill>
          </w14:textFill>
        </w:rPr>
        <w:t>规划符合性分析</w:t>
      </w:r>
      <w:bookmarkEnd w:id="323"/>
    </w:p>
    <w:p w14:paraId="6B5A664E">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3.4</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2</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lang w:val="en-US" w:eastAsia="zh-CN"/>
          <w14:textFill>
            <w14:solidFill>
              <w14:schemeClr w14:val="tx1"/>
            </w14:solidFill>
          </w14:textFill>
        </w:rPr>
        <w:t>1</w:t>
      </w:r>
      <w:r>
        <w:rPr>
          <w:rFonts w:ascii="Times New Roman" w:hAnsi="Times New Roman"/>
          <w:bCs w:val="0"/>
          <w:color w:val="000000" w:themeColor="text1"/>
          <w:kern w:val="2"/>
          <w:szCs w:val="24"/>
          <w14:textFill>
            <w14:solidFill>
              <w14:schemeClr w14:val="tx1"/>
            </w14:solidFill>
          </w14:textFill>
        </w:rPr>
        <w:t>与《矿山生态环境保护与恢复治理技术规范（试行）》（HJ615-2013）的符合性分析</w:t>
      </w:r>
    </w:p>
    <w:p w14:paraId="31424769">
      <w:pPr>
        <w:spacing w:line="480" w:lineRule="exact"/>
        <w:ind w:firstLine="480" w:firstLineChars="200"/>
        <w:rPr>
          <w:color w:val="000000" w:themeColor="text1"/>
          <w:sz w:val="24"/>
          <w:lang w:val="de-DE"/>
          <w14:textFill>
            <w14:solidFill>
              <w14:schemeClr w14:val="tx1"/>
            </w14:solidFill>
          </w14:textFill>
        </w:rPr>
      </w:pPr>
      <w:r>
        <w:rPr>
          <w:color w:val="000000" w:themeColor="text1"/>
          <w:sz w:val="24"/>
          <w14:textFill>
            <w14:solidFill>
              <w14:schemeClr w14:val="tx1"/>
            </w14:solidFill>
          </w14:textFill>
        </w:rPr>
        <w:t>矿区不在依法划定的自然保护区、风景名胜区、森林公园、饮用水水源保护区、文物古迹所在地、地质遗迹保护区、基本农田保护区等重要生态保护地以及其他法律法规规定的禁采区范围，项目开采符合相关主体功能区规划、生态功能区划</w:t>
      </w:r>
      <w:r>
        <w:rPr>
          <w:rFonts w:hint="eastAsia"/>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环评要求建设单位按照《矿山生态环境保护与恢复治理技术规范（试行）》（HJ615-2013）对矿山实施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边开采、边复垦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，对可复垦区域尽快开展复垦工作，故</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符合《矿山生态环境保护与恢复治理技术规范（试行）》（HJ615-2013）的相关要求</w:t>
      </w:r>
      <w:r>
        <w:rPr>
          <w:rFonts w:hint="default" w:ascii="Times New Roman" w:hAnsi="Times New Roman" w:eastAsia="宋体" w:cs="Times New Roman"/>
          <w:color w:val="000000" w:themeColor="text1"/>
          <w:sz w:val="24"/>
          <w:highlight w:val="none"/>
          <w:lang w:val="de-DE" w:eastAsia="zh-CN"/>
          <w14:textFill>
            <w14:solidFill>
              <w14:schemeClr w14:val="tx1"/>
            </w14:solidFill>
          </w14:textFill>
        </w:rPr>
        <w:t>。</w:t>
      </w:r>
    </w:p>
    <w:p w14:paraId="0448250A">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3.4</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2</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lang w:val="en-US" w:eastAsia="zh-CN"/>
          <w14:textFill>
            <w14:solidFill>
              <w14:schemeClr w14:val="tx1"/>
            </w14:solidFill>
          </w14:textFill>
        </w:rPr>
        <w:t>2</w:t>
      </w:r>
      <w:r>
        <w:rPr>
          <w:rFonts w:ascii="Times New Roman" w:hAnsi="Times New Roman"/>
          <w:bCs w:val="0"/>
          <w:color w:val="000000" w:themeColor="text1"/>
          <w:kern w:val="2"/>
          <w:szCs w:val="24"/>
          <w14:textFill>
            <w14:solidFill>
              <w14:schemeClr w14:val="tx1"/>
            </w14:solidFill>
          </w14:textFill>
        </w:rPr>
        <w:t>与</w:t>
      </w:r>
      <w:r>
        <w:rPr>
          <w:rFonts w:hint="eastAsia" w:ascii="Times New Roman" w:hAnsi="Times New Roman"/>
          <w:bCs w:val="0"/>
          <w:color w:val="000000" w:themeColor="text1"/>
          <w:kern w:val="2"/>
          <w:szCs w:val="24"/>
          <w14:textFill>
            <w14:solidFill>
              <w14:schemeClr w14:val="tx1"/>
            </w14:solidFill>
          </w14:textFill>
        </w:rPr>
        <w:t>《冶金行业绿色矿山建设规范》（DZ/T0319-2018）的符合性分析</w:t>
      </w:r>
    </w:p>
    <w:p w14:paraId="11D218C1">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本项目与《冶金行业绿色矿山建设规范》（DZ/T0319-2018）中相关要求的符合性分析见下表。</w:t>
      </w:r>
    </w:p>
    <w:p w14:paraId="60AEF3D5">
      <w:pPr>
        <w:spacing w:line="480" w:lineRule="exact"/>
        <w:jc w:val="center"/>
        <w:rPr>
          <w:b/>
          <w:color w:val="000000" w:themeColor="text1"/>
          <w:kern w:val="0"/>
          <w:sz w:val="24"/>
          <w:szCs w:val="24"/>
          <w:lang w:bidi="ar"/>
          <w14:textFill>
            <w14:solidFill>
              <w14:schemeClr w14:val="tx1"/>
            </w14:solidFill>
          </w14:textFill>
        </w:rPr>
      </w:pPr>
      <w:r>
        <w:rPr>
          <w:rFonts w:hint="eastAsia"/>
          <w:b/>
          <w:color w:val="000000" w:themeColor="text1"/>
          <w:kern w:val="0"/>
          <w:sz w:val="24"/>
          <w:szCs w:val="24"/>
          <w:lang w:bidi="ar"/>
          <w14:textFill>
            <w14:solidFill>
              <w14:schemeClr w14:val="tx1"/>
            </w14:solidFill>
          </w14:textFill>
        </w:rPr>
        <w:t>表3.4</w:t>
      </w:r>
      <w:r>
        <w:rPr>
          <w:b/>
          <w:color w:val="000000" w:themeColor="text1"/>
          <w:kern w:val="0"/>
          <w:sz w:val="24"/>
          <w:szCs w:val="24"/>
          <w:lang w:bidi="ar"/>
          <w14:textFill>
            <w14:solidFill>
              <w14:schemeClr w14:val="tx1"/>
            </w14:solidFill>
          </w14:textFill>
        </w:rPr>
        <w:t>-</w:t>
      </w:r>
      <w:r>
        <w:rPr>
          <w:rFonts w:hint="eastAsia"/>
          <w:b/>
          <w:color w:val="000000" w:themeColor="text1"/>
          <w:kern w:val="0"/>
          <w:sz w:val="24"/>
          <w:szCs w:val="24"/>
          <w:lang w:val="en-US" w:eastAsia="zh-CN" w:bidi="ar"/>
          <w14:textFill>
            <w14:solidFill>
              <w14:schemeClr w14:val="tx1"/>
            </w14:solidFill>
          </w14:textFill>
        </w:rPr>
        <w:t>3</w:t>
      </w:r>
      <w:r>
        <w:rPr>
          <w:rFonts w:hint="eastAsia"/>
          <w:b/>
          <w:color w:val="000000" w:themeColor="text1"/>
          <w:kern w:val="0"/>
          <w:sz w:val="24"/>
          <w:szCs w:val="24"/>
          <w:lang w:bidi="ar"/>
          <w14:textFill>
            <w14:solidFill>
              <w14:schemeClr w14:val="tx1"/>
            </w14:solidFill>
          </w14:textFill>
        </w:rPr>
        <w:t xml:space="preserve">    与《冶金行业绿色矿山建设规范》的符合性分析表</w:t>
      </w:r>
    </w:p>
    <w:tbl>
      <w:tblPr>
        <w:tblStyle w:val="7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3466"/>
        <w:gridCol w:w="3351"/>
        <w:gridCol w:w="1012"/>
      </w:tblGrid>
      <w:tr w14:paraId="1073E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2439" w:type="pct"/>
            <w:gridSpan w:val="2"/>
            <w:noWrap w:val="0"/>
            <w:vAlign w:val="center"/>
          </w:tcPr>
          <w:p w14:paraId="4BF27C6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规范要求</w:t>
            </w:r>
          </w:p>
        </w:tc>
        <w:tc>
          <w:tcPr>
            <w:tcW w:w="1967" w:type="pct"/>
            <w:noWrap w:val="0"/>
            <w:vAlign w:val="center"/>
          </w:tcPr>
          <w:p w14:paraId="154CDC4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cs="Times New Roman"/>
                <w:b/>
                <w:bCs/>
                <w:color w:val="000000" w:themeColor="text1"/>
                <w:szCs w:val="21"/>
                <w:lang w:eastAsia="zh-CN"/>
                <w14:textFill>
                  <w14:solidFill>
                    <w14:schemeClr w14:val="tx1"/>
                  </w14:solidFill>
                </w14:textFill>
              </w:rPr>
              <w:t>本项目</w:t>
            </w:r>
            <w:r>
              <w:rPr>
                <w:rFonts w:hint="eastAsia" w:ascii="Times New Roman" w:hAnsi="Times New Roman" w:cs="Times New Roman"/>
                <w:b/>
                <w:bCs/>
                <w:color w:val="000000" w:themeColor="text1"/>
                <w:szCs w:val="21"/>
                <w14:textFill>
                  <w14:solidFill>
                    <w14:schemeClr w14:val="tx1"/>
                  </w14:solidFill>
                </w14:textFill>
              </w:rPr>
              <w:t>情况</w:t>
            </w:r>
          </w:p>
        </w:tc>
        <w:tc>
          <w:tcPr>
            <w:tcW w:w="594" w:type="pct"/>
            <w:noWrap w:val="0"/>
            <w:vAlign w:val="center"/>
          </w:tcPr>
          <w:p w14:paraId="0E0FE0C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符合性</w:t>
            </w:r>
          </w:p>
        </w:tc>
      </w:tr>
      <w:tr w14:paraId="08BEB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55061E53">
            <w:pPr>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绿色开发</w:t>
            </w:r>
          </w:p>
        </w:tc>
        <w:tc>
          <w:tcPr>
            <w:tcW w:w="2034" w:type="pct"/>
            <w:noWrap w:val="0"/>
            <w:vAlign w:val="center"/>
          </w:tcPr>
          <w:p w14:paraId="06B3D373">
            <w:pPr>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应采用绿色开采工艺技术，具体要求如下：</w:t>
            </w:r>
          </w:p>
          <w:p w14:paraId="5E13521A">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b）地下开采宜采用高效采矿法、高浓度或膏体充填技术，宜实现无轨机械化采矿。</w:t>
            </w:r>
          </w:p>
          <w:p w14:paraId="1418146F">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c）环境敏感地区和建筑物下、铁路下、水体下等压矿区域应采用充填开采，其他地区在成本可控、经济合理的情况下宜采用充填开采，实现地面无废石堆存，地表变形和次生地质灾害得到有效控制。</w:t>
            </w:r>
          </w:p>
        </w:tc>
        <w:tc>
          <w:tcPr>
            <w:tcW w:w="1967" w:type="pct"/>
            <w:noWrap w:val="0"/>
            <w:vAlign w:val="center"/>
          </w:tcPr>
          <w:p w14:paraId="63F0851A">
            <w:pPr>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本项目为地下开采矿山，采矿</w:t>
            </w:r>
            <w:r>
              <w:rPr>
                <w:rFonts w:hint="eastAsia" w:cs="Times New Roman"/>
                <w:color w:val="000000" w:themeColor="text1"/>
                <w:szCs w:val="21"/>
                <w:lang w:val="en-US" w:eastAsia="zh-CN"/>
                <w14:textFill>
                  <w14:solidFill>
                    <w14:schemeClr w14:val="tx1"/>
                  </w14:solidFill>
                </w14:textFill>
              </w:rPr>
              <w:t>方法为无底柱分段崩落法</w:t>
            </w:r>
            <w:r>
              <w:rPr>
                <w:rFonts w:hint="eastAsia" w:ascii="Times New Roman" w:hAnsi="Times New Roman" w:cs="Times New Roman"/>
                <w:color w:val="000000" w:themeColor="text1"/>
                <w:szCs w:val="21"/>
                <w14:textFill>
                  <w14:solidFill>
                    <w14:schemeClr w14:val="tx1"/>
                  </w14:solidFill>
                </w14:textFill>
              </w:rPr>
              <w:t>，运营期废石堆存于废石堆场，待开采结束并稳沉后，将废石全部回填至采空区。</w:t>
            </w:r>
          </w:p>
        </w:tc>
        <w:tc>
          <w:tcPr>
            <w:tcW w:w="594" w:type="pct"/>
            <w:noWrap w:val="0"/>
            <w:vAlign w:val="center"/>
          </w:tcPr>
          <w:p w14:paraId="1F420B27">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2B9CD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5" w:type="pct"/>
            <w:vMerge w:val="restart"/>
            <w:noWrap w:val="0"/>
            <w:vAlign w:val="center"/>
          </w:tcPr>
          <w:p w14:paraId="27DF9E16">
            <w:pPr>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资源综合利用</w:t>
            </w:r>
          </w:p>
        </w:tc>
        <w:tc>
          <w:tcPr>
            <w:tcW w:w="2034" w:type="pct"/>
            <w:noWrap w:val="0"/>
            <w:vAlign w:val="center"/>
          </w:tcPr>
          <w:p w14:paraId="246755B7">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固体废物利用：宜采用井下回填处理、铺路、制砖、制备混凝土骨料等途径实现废石、尾矿综合利用。建立废石、尾矿加工利用系统，经济可行的矿山宜将废石、尾矿加工成砂石料、水泥骨料、微</w:t>
            </w:r>
            <w:r>
              <w:rPr>
                <w:rFonts w:hint="eastAsia" w:cs="Times New Roman"/>
                <w:color w:val="000000" w:themeColor="text1"/>
                <w:lang w:val="en-US" w:eastAsia="zh-CN"/>
                <w14:textFill>
                  <w14:solidFill>
                    <w14:schemeClr w14:val="tx1"/>
                  </w14:solidFill>
                </w14:textFill>
              </w:rPr>
              <w:t>晶</w:t>
            </w:r>
            <w:r>
              <w:rPr>
                <w:rFonts w:hint="eastAsia" w:ascii="Times New Roman" w:hAnsi="Times New Roman" w:cs="Times New Roman"/>
                <w:color w:val="000000" w:themeColor="text1"/>
                <w14:textFill>
                  <w14:solidFill>
                    <w14:schemeClr w14:val="tx1"/>
                  </w14:solidFill>
                </w14:textFill>
              </w:rPr>
              <w:t>玻璃、土壤改良剂等产品。</w:t>
            </w:r>
          </w:p>
        </w:tc>
        <w:tc>
          <w:tcPr>
            <w:tcW w:w="1967" w:type="pct"/>
            <w:noWrap w:val="0"/>
            <w:vAlign w:val="center"/>
          </w:tcPr>
          <w:p w14:paraId="3E20B634">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本项目开采产生的废石</w:t>
            </w:r>
            <w:r>
              <w:rPr>
                <w:rFonts w:hint="eastAsia" w:ascii="Times New Roman" w:hAnsi="Times New Roman" w:cs="Times New Roman"/>
                <w:color w:val="000000" w:themeColor="text1"/>
                <w:szCs w:val="21"/>
                <w14:textFill>
                  <w14:solidFill>
                    <w14:schemeClr w14:val="tx1"/>
                  </w14:solidFill>
                </w14:textFill>
              </w:rPr>
              <w:t>堆存于废石堆场，待开采结束并稳沉后，将废石全部回填至采空区。</w:t>
            </w:r>
            <w:r>
              <w:rPr>
                <w:rFonts w:hint="eastAsia" w:ascii="Times New Roman" w:hAnsi="Times New Roman" w:cs="Times New Roman"/>
                <w:color w:val="000000" w:themeColor="text1"/>
                <w14:textFill>
                  <w14:solidFill>
                    <w14:schemeClr w14:val="tx1"/>
                  </w14:solidFill>
                </w14:textFill>
              </w:rPr>
              <w:t>可实现废石综合利用。</w:t>
            </w:r>
          </w:p>
        </w:tc>
        <w:tc>
          <w:tcPr>
            <w:tcW w:w="594" w:type="pct"/>
            <w:noWrap w:val="0"/>
            <w:vAlign w:val="center"/>
          </w:tcPr>
          <w:p w14:paraId="136DDB3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2B498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5" w:type="pct"/>
            <w:vMerge w:val="continue"/>
            <w:noWrap w:val="0"/>
            <w:vAlign w:val="center"/>
          </w:tcPr>
          <w:p w14:paraId="3E733A3E">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zCs w:val="21"/>
                <w14:textFill>
                  <w14:solidFill>
                    <w14:schemeClr w14:val="tx1"/>
                  </w14:solidFill>
                </w14:textFill>
              </w:rPr>
            </w:pPr>
          </w:p>
        </w:tc>
        <w:tc>
          <w:tcPr>
            <w:tcW w:w="2034" w:type="pct"/>
            <w:noWrap w:val="0"/>
            <w:vAlign w:val="center"/>
          </w:tcPr>
          <w:p w14:paraId="4EE8D900">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水利用：废水应采用洁净化、资源化技术和工艺合理处置。应建立废水利用系统，达标处理后用于洒水降尘、喷雾降尘、选矿等作业。矿井水利用率应根据不同水资源赋存条件确定：水资源短缺矿区应达到95%，一般水资源矿区应不低于90%，水资源丰富矿区应不低于80%，水质复杂矿区应不低于70%，大水矿山用不完部分应达标排放。</w:t>
            </w:r>
          </w:p>
        </w:tc>
        <w:tc>
          <w:tcPr>
            <w:tcW w:w="1967" w:type="pct"/>
            <w:noWrap w:val="0"/>
            <w:vAlign w:val="center"/>
          </w:tcPr>
          <w:p w14:paraId="45198442">
            <w:pPr>
              <w:keepNext w:val="0"/>
              <w:keepLines w:val="0"/>
              <w:suppressLineNumbers w:val="0"/>
              <w:spacing w:before="0" w:beforeAutospacing="0" w:after="0" w:afterAutospacing="0" w:line="360" w:lineRule="exact"/>
              <w:ind w:left="0" w:right="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本项目矿井涌水用于生产、绿化、降尘，其余输送至选矿厂用于选矿生产，不外排。生活污水用达标处理好于矿区绿化，非灌溉期输送至选矿厂选矿利用。矿区废水利用率为1</w:t>
            </w:r>
            <w:r>
              <w:rPr>
                <w:rFonts w:hint="default" w:ascii="Times New Roman" w:hAnsi="Times New Roman" w:cs="Times New Roman"/>
                <w:color w:val="000000" w:themeColor="text1"/>
                <w14:textFill>
                  <w14:solidFill>
                    <w14:schemeClr w14:val="tx1"/>
                  </w14:solidFill>
                </w14:textFill>
              </w:rPr>
              <w:t>00%</w:t>
            </w:r>
            <w:r>
              <w:rPr>
                <w:rFonts w:hint="eastAsia" w:ascii="Times New Roman" w:hAnsi="Times New Roman" w:cs="Times New Roman"/>
                <w:color w:val="000000" w:themeColor="text1"/>
                <w14:textFill>
                  <w14:solidFill>
                    <w14:schemeClr w14:val="tx1"/>
                  </w14:solidFill>
                </w14:textFill>
              </w:rPr>
              <w:t>。</w:t>
            </w:r>
          </w:p>
        </w:tc>
        <w:tc>
          <w:tcPr>
            <w:tcW w:w="594" w:type="pct"/>
            <w:noWrap w:val="0"/>
            <w:vAlign w:val="center"/>
          </w:tcPr>
          <w:p w14:paraId="3630BA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33C6F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5" w:type="pct"/>
            <w:vMerge w:val="restart"/>
            <w:noWrap w:val="0"/>
            <w:vAlign w:val="center"/>
          </w:tcPr>
          <w:p w14:paraId="228DB62B">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节能减排</w:t>
            </w:r>
          </w:p>
        </w:tc>
        <w:tc>
          <w:tcPr>
            <w:tcW w:w="2034" w:type="pct"/>
            <w:noWrap w:val="0"/>
            <w:vAlign w:val="center"/>
          </w:tcPr>
          <w:p w14:paraId="643143C8">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建立矿山生产全过程能耗核算体系，通过采取节能减排措施，控制并减少单位产品能耗、物耗、水耗，减少“三废”排放。</w:t>
            </w:r>
          </w:p>
        </w:tc>
        <w:tc>
          <w:tcPr>
            <w:tcW w:w="1967" w:type="pct"/>
            <w:noWrap w:val="0"/>
            <w:vAlign w:val="center"/>
          </w:tcPr>
          <w:p w14:paraId="5216CE43">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本次评价要求矿山建立生产全过程能耗核算体系。本项目废石</w:t>
            </w:r>
            <w:r>
              <w:rPr>
                <w:rFonts w:hint="eastAsia" w:ascii="Times New Roman" w:hAnsi="Times New Roman" w:cs="Times New Roman"/>
                <w:color w:val="000000" w:themeColor="text1"/>
                <w:szCs w:val="21"/>
                <w14:textFill>
                  <w14:solidFill>
                    <w14:schemeClr w14:val="tx1"/>
                  </w14:solidFill>
                </w14:textFill>
              </w:rPr>
              <w:t>堆存于废石堆场，待开采结束并稳沉后，将废石全部回填至采空区，综合利用率为1</w:t>
            </w:r>
            <w:r>
              <w:rPr>
                <w:rFonts w:hint="default"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可实现废石综合利用；矿井涌水用于生产、绿化、降尘，其余输送至选矿厂用于选矿生产，不外排；生活污水达标处理</w:t>
            </w:r>
            <w:r>
              <w:rPr>
                <w:rFonts w:hint="eastAsia" w:cs="Times New Roman"/>
                <w:color w:val="000000" w:themeColor="text1"/>
                <w:lang w:val="en-US" w:eastAsia="zh-CN"/>
                <w14:textFill>
                  <w14:solidFill>
                    <w14:schemeClr w14:val="tx1"/>
                  </w14:solidFill>
                </w14:textFill>
              </w:rPr>
              <w:t>后用</w:t>
            </w:r>
            <w:r>
              <w:rPr>
                <w:rFonts w:hint="eastAsia" w:ascii="Times New Roman" w:hAnsi="Times New Roman" w:cs="Times New Roman"/>
                <w:color w:val="000000" w:themeColor="text1"/>
                <w14:textFill>
                  <w14:solidFill>
                    <w14:schemeClr w14:val="tx1"/>
                  </w14:solidFill>
                </w14:textFill>
              </w:rPr>
              <w:t>于矿区绿化，非灌溉期输送至选矿厂选矿利用，废水利用率为1</w:t>
            </w:r>
            <w:r>
              <w:rPr>
                <w:rFonts w:hint="default" w:ascii="Times New Roman" w:hAnsi="Times New Roman" w:cs="Times New Roman"/>
                <w:color w:val="000000" w:themeColor="text1"/>
                <w14:textFill>
                  <w14:solidFill>
                    <w14:schemeClr w14:val="tx1"/>
                  </w14:solidFill>
                </w14:textFill>
              </w:rPr>
              <w:t>00%</w:t>
            </w:r>
            <w:r>
              <w:rPr>
                <w:rFonts w:hint="eastAsia" w:ascii="Times New Roman" w:hAnsi="Times New Roman" w:cs="Times New Roman"/>
                <w:color w:val="000000" w:themeColor="text1"/>
                <w14:textFill>
                  <w14:solidFill>
                    <w14:schemeClr w14:val="tx1"/>
                  </w14:solidFill>
                </w14:textFill>
              </w:rPr>
              <w:t>；项目运营期洒水、降尘，可最大程度</w:t>
            </w:r>
            <w:r>
              <w:rPr>
                <w:rFonts w:hint="eastAsia" w:cs="Times New Roman"/>
                <w:color w:val="000000" w:themeColor="text1"/>
                <w:lang w:val="en-US" w:eastAsia="zh-CN"/>
                <w14:textFill>
                  <w14:solidFill>
                    <w14:schemeClr w14:val="tx1"/>
                  </w14:solidFill>
                </w14:textFill>
              </w:rPr>
              <w:t>减少</w:t>
            </w:r>
            <w:r>
              <w:rPr>
                <w:rFonts w:hint="eastAsia" w:ascii="Times New Roman" w:hAnsi="Times New Roman" w:cs="Times New Roman"/>
                <w:color w:val="000000" w:themeColor="text1"/>
                <w14:textFill>
                  <w14:solidFill>
                    <w14:schemeClr w14:val="tx1"/>
                  </w14:solidFill>
                </w14:textFill>
              </w:rPr>
              <w:t>废气排放。</w:t>
            </w:r>
          </w:p>
        </w:tc>
        <w:tc>
          <w:tcPr>
            <w:tcW w:w="594" w:type="pct"/>
            <w:noWrap w:val="0"/>
            <w:vAlign w:val="center"/>
          </w:tcPr>
          <w:p w14:paraId="1B40B68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6D797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5" w:type="pct"/>
            <w:vMerge w:val="continue"/>
            <w:noWrap w:val="0"/>
            <w:vAlign w:val="center"/>
          </w:tcPr>
          <w:p w14:paraId="270C6D73">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zCs w:val="21"/>
                <w14:textFill>
                  <w14:solidFill>
                    <w14:schemeClr w14:val="tx1"/>
                  </w14:solidFill>
                </w14:textFill>
              </w:rPr>
            </w:pPr>
          </w:p>
        </w:tc>
        <w:tc>
          <w:tcPr>
            <w:tcW w:w="2034" w:type="pct"/>
            <w:noWrap w:val="0"/>
            <w:vAlign w:val="center"/>
          </w:tcPr>
          <w:p w14:paraId="15C9961C">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气排放：应采取喷雾洒水措施，降低生产作业现场物料倒运点位的产尘量，减少职业危害。宜推广使用清洁能源替代内燃动力设备，降低尾气排放对空气的污染。铁矿山气体排放应低于GB28661规定的大气污染物排放限值：锰矿和铬矿矿山气体排放应达到GB3095规定的二级标准以上。</w:t>
            </w:r>
          </w:p>
        </w:tc>
        <w:tc>
          <w:tcPr>
            <w:tcW w:w="1967" w:type="pct"/>
            <w:noWrap w:val="0"/>
            <w:vAlign w:val="center"/>
          </w:tcPr>
          <w:p w14:paraId="2DE56C7C">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本次评价采取了喷雾洒水的措施，以降低扬尘排放，减少职业危害。本项目运营期废气均为无组织废气，根据估算，项目运营期各环节废气排放执行《铁矿采选工业污染物排放标准》（GB28661-2012）要求。</w:t>
            </w:r>
          </w:p>
        </w:tc>
        <w:tc>
          <w:tcPr>
            <w:tcW w:w="594" w:type="pct"/>
            <w:noWrap w:val="0"/>
            <w:vAlign w:val="center"/>
          </w:tcPr>
          <w:p w14:paraId="5EE418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503BC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5" w:type="pct"/>
            <w:vMerge w:val="continue"/>
            <w:noWrap w:val="0"/>
            <w:vAlign w:val="center"/>
          </w:tcPr>
          <w:p w14:paraId="3AC75195">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zCs w:val="21"/>
                <w14:textFill>
                  <w14:solidFill>
                    <w14:schemeClr w14:val="tx1"/>
                  </w14:solidFill>
                </w14:textFill>
              </w:rPr>
            </w:pPr>
          </w:p>
        </w:tc>
        <w:tc>
          <w:tcPr>
            <w:tcW w:w="2034" w:type="pct"/>
            <w:noWrap w:val="0"/>
            <w:vAlign w:val="center"/>
          </w:tcPr>
          <w:p w14:paraId="12D434E9">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废水排放：矿山应单独或联合建立矿山废水处理站，同时实现雨污分流、清污分流。矿区及贮存场应建有雨水截（排）水沟。铁矿山水污</w:t>
            </w:r>
            <w:r>
              <w:rPr>
                <w:rFonts w:hint="eastAsia" w:cs="Times New Roman"/>
                <w:color w:val="000000" w:themeColor="text1"/>
                <w:lang w:val="en-US" w:eastAsia="zh-CN"/>
                <w14:textFill>
                  <w14:solidFill>
                    <w14:schemeClr w14:val="tx1"/>
                  </w14:solidFill>
                </w14:textFill>
              </w:rPr>
              <w:t>染</w:t>
            </w:r>
            <w:r>
              <w:rPr>
                <w:rFonts w:hint="eastAsia" w:ascii="Times New Roman" w:hAnsi="Times New Roman" w:cs="Times New Roman"/>
                <w:color w:val="000000" w:themeColor="text1"/>
                <w14:textFill>
                  <w14:solidFill>
                    <w14:schemeClr w14:val="tx1"/>
                  </w14:solidFill>
                </w14:textFill>
              </w:rPr>
              <w:t>物排放浓度低于GB</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8661规定的限值，排水量低于GB28661规定的产品基准排水量：锰矿和铬矿山水污染物排放浓度符合GB3838的规定。</w:t>
            </w:r>
          </w:p>
        </w:tc>
        <w:tc>
          <w:tcPr>
            <w:tcW w:w="1967" w:type="pct"/>
            <w:noWrap w:val="0"/>
            <w:vAlign w:val="center"/>
          </w:tcPr>
          <w:p w14:paraId="6346603A">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矿区</w:t>
            </w:r>
            <w:r>
              <w:rPr>
                <w:rFonts w:hint="default" w:ascii="Times New Roman" w:hAnsi="Times New Roman" w:cs="Times New Roman"/>
                <w:color w:val="000000" w:themeColor="text1"/>
                <w14:textFill>
                  <w14:solidFill>
                    <w14:schemeClr w14:val="tx1"/>
                  </w14:solidFill>
                </w14:textFill>
              </w:rPr>
              <w:t>生活污水</w:t>
            </w:r>
            <w:r>
              <w:rPr>
                <w:rFonts w:hint="eastAsia" w:ascii="Times New Roman" w:hAnsi="Times New Roman" w:cs="Times New Roman"/>
                <w:color w:val="000000" w:themeColor="text1"/>
                <w14:textFill>
                  <w14:solidFill>
                    <w14:schemeClr w14:val="tx1"/>
                  </w14:solidFill>
                </w14:textFill>
              </w:rPr>
              <w:t>采用</w:t>
            </w:r>
            <w:r>
              <w:rPr>
                <w:rFonts w:hint="default" w:ascii="Times New Roman" w:hAnsi="Times New Roman" w:cs="Times New Roman"/>
                <w:color w:val="000000" w:themeColor="text1"/>
                <w14:textFill>
                  <w14:solidFill>
                    <w14:schemeClr w14:val="tx1"/>
                  </w14:solidFill>
                </w14:textFill>
              </w:rPr>
              <w:t>地埋式一体化污水处理设施达标处理，处理后</w:t>
            </w:r>
            <w:r>
              <w:rPr>
                <w:rFonts w:hint="eastAsia" w:ascii="Times New Roman" w:hAnsi="Times New Roman" w:cs="Times New Roman"/>
                <w:color w:val="000000" w:themeColor="text1"/>
                <w14:textFill>
                  <w14:solidFill>
                    <w14:schemeClr w14:val="tx1"/>
                  </w14:solidFill>
                </w14:textFill>
              </w:rPr>
              <w:t>排放浓度</w:t>
            </w:r>
            <w:r>
              <w:rPr>
                <w:rFonts w:hint="default" w:ascii="Times New Roman" w:hAnsi="Times New Roman" w:cs="Times New Roman"/>
                <w:color w:val="000000" w:themeColor="text1"/>
                <w14:textFill>
                  <w14:solidFill>
                    <w14:schemeClr w14:val="tx1"/>
                  </w14:solidFill>
                </w14:textFill>
              </w:rPr>
              <w:t>及排放量低于</w:t>
            </w:r>
            <w:r>
              <w:rPr>
                <w:rFonts w:hint="eastAsia" w:ascii="Times New Roman" w:hAnsi="Times New Roman" w:cs="Times New Roman"/>
                <w:color w:val="000000" w:themeColor="text1"/>
                <w14:textFill>
                  <w14:solidFill>
                    <w14:schemeClr w14:val="tx1"/>
                  </w14:solidFill>
                </w14:textFill>
              </w:rPr>
              <w:t>GB</w:t>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8661规定，</w:t>
            </w:r>
            <w:r>
              <w:rPr>
                <w:rFonts w:hint="default" w:ascii="Times New Roman" w:hAnsi="Times New Roman" w:cs="Times New Roman"/>
                <w:color w:val="000000" w:themeColor="text1"/>
                <w14:textFill>
                  <w14:solidFill>
                    <w14:schemeClr w14:val="tx1"/>
                  </w14:solidFill>
                </w14:textFill>
              </w:rPr>
              <w:t>达标后</w:t>
            </w:r>
            <w:r>
              <w:rPr>
                <w:rFonts w:hint="eastAsia" w:ascii="Times New Roman" w:hAnsi="Times New Roman" w:cs="Times New Roman"/>
                <w:color w:val="000000" w:themeColor="text1"/>
                <w14:textFill>
                  <w14:solidFill>
                    <w14:schemeClr w14:val="tx1"/>
                  </w14:solidFill>
                </w14:textFill>
              </w:rPr>
              <w:t>灌溉期</w:t>
            </w:r>
            <w:r>
              <w:rPr>
                <w:rFonts w:hint="default" w:ascii="Times New Roman" w:hAnsi="Times New Roman" w:cs="Times New Roman"/>
                <w:color w:val="000000" w:themeColor="text1"/>
                <w14:textFill>
                  <w14:solidFill>
                    <w14:schemeClr w14:val="tx1"/>
                  </w14:solidFill>
                </w14:textFill>
              </w:rPr>
              <w:t>用于</w:t>
            </w:r>
            <w:r>
              <w:rPr>
                <w:rFonts w:hint="eastAsia" w:ascii="Times New Roman" w:hAnsi="Times New Roman" w:cs="Times New Roman"/>
                <w:color w:val="000000" w:themeColor="text1"/>
                <w14:textFill>
                  <w14:solidFill>
                    <w14:schemeClr w14:val="tx1"/>
                  </w14:solidFill>
                </w14:textFill>
              </w:rPr>
              <w:t>矿山</w:t>
            </w:r>
            <w:r>
              <w:rPr>
                <w:rFonts w:hint="default" w:ascii="Times New Roman" w:hAnsi="Times New Roman" w:cs="Times New Roman"/>
                <w:color w:val="000000" w:themeColor="text1"/>
                <w14:textFill>
                  <w14:solidFill>
                    <w14:schemeClr w14:val="tx1"/>
                  </w14:solidFill>
                </w14:textFill>
              </w:rPr>
              <w:t>绿化</w:t>
            </w:r>
            <w:r>
              <w:rPr>
                <w:rFonts w:hint="eastAsia" w:ascii="Times New Roman" w:hAnsi="Times New Roman" w:cs="Times New Roman"/>
                <w:color w:val="000000" w:themeColor="text1"/>
                <w14:textFill>
                  <w14:solidFill>
                    <w14:schemeClr w14:val="tx1"/>
                  </w14:solidFill>
                </w14:textFill>
              </w:rPr>
              <w:t>，非灌溉期输送至选矿厂用于选矿生产。</w:t>
            </w:r>
          </w:p>
        </w:tc>
        <w:tc>
          <w:tcPr>
            <w:tcW w:w="594" w:type="pct"/>
            <w:noWrap w:val="0"/>
            <w:vAlign w:val="center"/>
          </w:tcPr>
          <w:p w14:paraId="0E8E88A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62CFD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5" w:type="pct"/>
            <w:vMerge w:val="continue"/>
            <w:noWrap w:val="0"/>
            <w:vAlign w:val="center"/>
          </w:tcPr>
          <w:p w14:paraId="007ACC4E">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szCs w:val="21"/>
                <w14:textFill>
                  <w14:solidFill>
                    <w14:schemeClr w14:val="tx1"/>
                  </w14:solidFill>
                </w14:textFill>
              </w:rPr>
            </w:pPr>
          </w:p>
        </w:tc>
        <w:tc>
          <w:tcPr>
            <w:tcW w:w="2034" w:type="pct"/>
            <w:noWrap w:val="0"/>
            <w:vAlign w:val="center"/>
          </w:tcPr>
          <w:p w14:paraId="064246AD">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固体废弃物排放：应优化采选工艺技术，减少废石、尾矿等固体废弃物排放。应对露天矿剥离的表土、生产过程中产生的废石、尾矿等固体废弃物进行资源化利用。</w:t>
            </w:r>
          </w:p>
        </w:tc>
        <w:tc>
          <w:tcPr>
            <w:tcW w:w="1967" w:type="pct"/>
            <w:noWrap w:val="0"/>
            <w:vAlign w:val="center"/>
          </w:tcPr>
          <w:p w14:paraId="0D3B44FA">
            <w:pPr>
              <w:keepNext w:val="0"/>
              <w:keepLines w:val="0"/>
              <w:suppressLineNumbers w:val="0"/>
              <w:spacing w:before="0" w:beforeAutospacing="0" w:after="0" w:afterAutospacing="0" w:line="360" w:lineRule="exact"/>
              <w:ind w:left="0" w:right="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本项目废石</w:t>
            </w:r>
            <w:r>
              <w:rPr>
                <w:rFonts w:hint="eastAsia" w:ascii="Times New Roman" w:hAnsi="Times New Roman" w:cs="Times New Roman"/>
                <w:color w:val="000000" w:themeColor="text1"/>
                <w:szCs w:val="21"/>
                <w14:textFill>
                  <w14:solidFill>
                    <w14:schemeClr w14:val="tx1"/>
                  </w14:solidFill>
                </w14:textFill>
              </w:rPr>
              <w:t>堆存于废石堆场，待开采结束并稳沉后，将废石全部回填至采空区，</w:t>
            </w:r>
            <w:r>
              <w:rPr>
                <w:rFonts w:hint="eastAsia" w:ascii="Times New Roman" w:hAnsi="Times New Roman" w:cs="Times New Roman"/>
                <w:color w:val="000000" w:themeColor="text1"/>
                <w14:textFill>
                  <w14:solidFill>
                    <w14:schemeClr w14:val="tx1"/>
                  </w14:solidFill>
                </w14:textFill>
              </w:rPr>
              <w:t>可</w:t>
            </w:r>
            <w:r>
              <w:rPr>
                <w:rFonts w:hint="default" w:ascii="Times New Roman" w:hAnsi="Times New Roman" w:cs="Times New Roman"/>
                <w:color w:val="000000" w:themeColor="text1"/>
                <w14:textFill>
                  <w14:solidFill>
                    <w14:schemeClr w14:val="tx1"/>
                  </w14:solidFill>
                </w14:textFill>
              </w:rPr>
              <w:t>减少</w:t>
            </w:r>
            <w:r>
              <w:rPr>
                <w:rFonts w:hint="eastAsia" w:ascii="Times New Roman" w:hAnsi="Times New Roman" w:cs="Times New Roman"/>
                <w:color w:val="000000" w:themeColor="text1"/>
                <w14:textFill>
                  <w14:solidFill>
                    <w14:schemeClr w14:val="tx1"/>
                  </w14:solidFill>
                </w14:textFill>
              </w:rPr>
              <w:t>废石排放。</w:t>
            </w:r>
          </w:p>
        </w:tc>
        <w:tc>
          <w:tcPr>
            <w:tcW w:w="594" w:type="pct"/>
            <w:noWrap w:val="0"/>
            <w:vAlign w:val="center"/>
          </w:tcPr>
          <w:p w14:paraId="619FCBA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bl>
    <w:p w14:paraId="62F884A8">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的建设符合《冶金行业绿色矿山建设规范》（DZ/T0319-2018）中的相关要求。</w:t>
      </w:r>
    </w:p>
    <w:p w14:paraId="45FB08BB">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3.4.2.</w:t>
      </w:r>
      <w:r>
        <w:rPr>
          <w:rFonts w:hint="eastAsia" w:ascii="Times New Roman" w:hAnsi="Times New Roman"/>
          <w:bCs w:val="0"/>
          <w:color w:val="000000" w:themeColor="text1"/>
          <w:kern w:val="2"/>
          <w:szCs w:val="24"/>
          <w:lang w:val="en-US" w:eastAsia="zh-CN"/>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与《新疆维吾尔自治区矿产资源总体规划（2021</w:t>
      </w:r>
      <w:r>
        <w:rPr>
          <w:rFonts w:hint="eastAsia" w:ascii="Times New Roman" w:hAnsi="Times New Roman"/>
          <w:bCs w:val="0"/>
          <w:color w:val="000000" w:themeColor="text1"/>
          <w:kern w:val="2"/>
          <w:szCs w:val="24"/>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2025年）》的符合性分析</w:t>
      </w:r>
    </w:p>
    <w:p w14:paraId="7C0B84A6">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根据《新疆维吾尔自治区矿产资源总体规划（2021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2025年）》中的要求：</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到2035年，矿产资源勘查开发支撑经济社会发展更加有力，矿产资源结构布局稳定成型，大中型矿山比例提高至50%以上，矿业开发集聚效应、规模效应进一步显现，矿业高质量发展与经济社会发展协调一致。</w:t>
      </w:r>
      <w:r>
        <w:rPr>
          <w:rFonts w:hint="eastAsia"/>
          <w:color w:val="000000" w:themeColor="text1"/>
          <w:sz w:val="24"/>
          <w14:textFill>
            <w14:solidFill>
              <w14:schemeClr w14:val="tx1"/>
            </w14:solidFill>
          </w14:textFill>
        </w:rPr>
        <w:t>绿色勘查开采方式基本普及，矿山智能化水平全面提升</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矿产资源管理和矿业权市场监管制度更趋完善，新疆矿业参与国内国际竞争新优势有效凸显，绿色、安全、创新、协调的矿产资源保障体系基本建立。”</w:t>
      </w:r>
    </w:p>
    <w:p w14:paraId="6669BEC5">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——东天山能源矿产、黑色及有色金属勘查开发区</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以油气、煤、铜、镍、铁、金、硅质原料等矿产资源勘查开发为主。加大吐哈盆地的油气、非常规能源勘查，建设具有新疆特色的煤化工、煤电产业。加大吐鲁番、哈密市铁、锰、铜、镍、金、银、钒、钛、镁、硅质原料等矿产资源的勘查与开发，新增铁资源量2000万吨、铜60万吨、镍5万吨、金20吨、硅质原料2000万吨。服务“疆电外送”“硅基新材料”产业与“钛镁深加工产业园”建设。</w:t>
      </w:r>
    </w:p>
    <w:p w14:paraId="7A46323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本项目位于</w:t>
      </w:r>
      <w:r>
        <w:rPr>
          <w:rFonts w:hint="eastAsia"/>
          <w:color w:val="000000" w:themeColor="text1"/>
          <w:sz w:val="24"/>
          <w:szCs w:val="24"/>
          <w14:textFill>
            <w14:solidFill>
              <w14:schemeClr w14:val="tx1"/>
            </w14:solidFill>
          </w14:textFill>
        </w:rPr>
        <w:t>哈密市伊州区雅满苏镇境内，</w:t>
      </w:r>
      <w:r>
        <w:rPr>
          <w:color w:val="000000" w:themeColor="text1"/>
          <w:sz w:val="24"/>
          <w:szCs w:val="24"/>
          <w14:textFill>
            <w14:solidFill>
              <w14:schemeClr w14:val="tx1"/>
            </w14:solidFill>
          </w14:textFill>
        </w:rPr>
        <w:t>矿区属于《新疆维吾尔自治区矿产资源总体规划（2021</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2025年）》划定的</w:t>
      </w:r>
      <w:r>
        <w:rPr>
          <w:rFonts w:hint="eastAsia"/>
          <w:color w:val="000000" w:themeColor="text1"/>
          <w:sz w:val="24"/>
          <w14:textFill>
            <w14:solidFill>
              <w14:schemeClr w14:val="tx1"/>
            </w14:solidFill>
          </w14:textFill>
        </w:rPr>
        <w:t>东天山能源矿产、黑色及有色金属勘查开发区中的铁矿区</w:t>
      </w:r>
      <w:r>
        <w:rPr>
          <w:rFonts w:hint="eastAsia"/>
          <w:color w:val="000000" w:themeColor="text1"/>
          <w:sz w:val="24"/>
          <w:szCs w:val="24"/>
          <w14:textFill>
            <w14:solidFill>
              <w14:schemeClr w14:val="tx1"/>
            </w14:solidFill>
          </w14:textFill>
        </w:rPr>
        <w:t>，符合《新疆维吾尔自治区矿产资源总体规划（2021-2025年）》规划的相关要求。</w:t>
      </w:r>
    </w:p>
    <w:p w14:paraId="62F06EBB">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3.4.2.</w:t>
      </w:r>
      <w:r>
        <w:rPr>
          <w:rFonts w:hint="eastAsia" w:ascii="Times New Roman" w:hAnsi="Times New Roman"/>
          <w:bCs w:val="0"/>
          <w:color w:val="000000" w:themeColor="text1"/>
          <w:kern w:val="2"/>
          <w:szCs w:val="24"/>
          <w:lang w:val="en-US" w:eastAsia="zh-CN"/>
          <w14:textFill>
            <w14:solidFill>
              <w14:schemeClr w14:val="tx1"/>
            </w14:solidFill>
          </w14:textFill>
        </w:rPr>
        <w:t>4</w:t>
      </w:r>
      <w:r>
        <w:rPr>
          <w:rFonts w:hint="eastAsia" w:ascii="Times New Roman" w:hAnsi="Times New Roman"/>
          <w:bCs w:val="0"/>
          <w:color w:val="000000" w:themeColor="text1"/>
          <w:kern w:val="2"/>
          <w:szCs w:val="24"/>
          <w14:textFill>
            <w14:solidFill>
              <w14:schemeClr w14:val="tx1"/>
            </w14:solidFill>
          </w14:textFill>
        </w:rPr>
        <w:t>与《新疆维吾尔自治区主体功能区规划》的符合性分析</w:t>
      </w:r>
    </w:p>
    <w:p w14:paraId="36900847">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新疆维吾尔自治区主体功能区规划》中提出：主体功能区与能源和矿产资源开发的关系。一些能源和矿产资源富集的区域往往同时是生态脆弱或生态重要的区域，被划分为限制进行大规模高强度工业化城镇化开发的重点生态功能区或农产品主产区，并不是限制能源和矿产资源的开发，这类区域中的能源和矿产资源，仍然可以依法开发，资源开采的地点仍然可以定义为能源或矿产资源的重点开发基地，但应该按照该区域的主体功能定位实行</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点上开发、面上保护</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p>
    <w:p w14:paraId="4B71E535">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形成资源点状开发，生态面上保护的空间结构。针对阿尔泰山、塔里木盆地、准噶尔盆地等地的矿产资源富集区域的开发，要在科学规划的基础上，以点状开发方式有序进行，其开发强度控制在规划目标之内，尽可能减少对生态环境的扰动和破坏，同时加强对矿产开发区迹地的生态修复。</w:t>
      </w:r>
    </w:p>
    <w:p w14:paraId="26C1212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限制开发区域是指关系国家农产品供给安全和生态安全，不应该或不适宜进行大规模、高强度工业化城镇化开发的农产品主产区和重点生态功能区。限制开发区域分为两类：一类是农产品主产区，即耕地较多、农业发展条件较好，尽管也适宜工业化城镇化开发，但从保障国家农产品安全以及国家永续发展的需要出发，必须把增强农业综合生产能力作为发展的首要任务，从而应该限制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w:t>
      </w:r>
    </w:p>
    <w:p w14:paraId="55222F43">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禁止开发区域是指依法设立的各级各类自然文化资源保护区域，以及其他禁止进行工业化城镇化开发、需要特殊保护的重点生态功能区。国家层面的禁止开发区域包括国家级自然保护区、世界文化自然遗产、国家级风景名胜区、国家森林公园、国家地质公园。省级层面的禁止开发区域，包括省级及以下各级各类自然文化资源保护区域、重要水源地、重要湿地以及其他省级人民政府根据需要确定的禁止开发区域。</w:t>
      </w:r>
    </w:p>
    <w:p w14:paraId="01AD8ACE">
      <w:pPr>
        <w:spacing w:line="480" w:lineRule="exact"/>
        <w:ind w:firstLine="480" w:firstLineChars="200"/>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本项目为矿山开发，项目区行政区划隶属</w:t>
      </w:r>
      <w:r>
        <w:rPr>
          <w:rFonts w:hint="eastAsia"/>
          <w:color w:val="000000" w:themeColor="text1"/>
          <w:sz w:val="24"/>
          <w:szCs w:val="24"/>
          <w14:textFill>
            <w14:solidFill>
              <w14:schemeClr w14:val="tx1"/>
            </w14:solidFill>
          </w14:textFill>
        </w:rPr>
        <w:t>哈密市伊州区雅满苏镇管辖，矿区不属于限制开发区域、禁止开发区域，本项目符合《新疆维吾尔自治区主体功能区规划》中的相关要求。</w:t>
      </w:r>
    </w:p>
    <w:p w14:paraId="371E19F3">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3.4.2.</w:t>
      </w:r>
      <w:r>
        <w:rPr>
          <w:rFonts w:hint="eastAsia" w:ascii="Times New Roman" w:hAnsi="Times New Roman"/>
          <w:bCs w:val="0"/>
          <w:color w:val="000000" w:themeColor="text1"/>
          <w:kern w:val="2"/>
          <w:szCs w:val="24"/>
          <w:lang w:val="en-US" w:eastAsia="zh-CN"/>
          <w14:textFill>
            <w14:solidFill>
              <w14:schemeClr w14:val="tx1"/>
            </w14:solidFill>
          </w14:textFill>
        </w:rPr>
        <w:t>5</w:t>
      </w:r>
      <w:r>
        <w:rPr>
          <w:rFonts w:hint="eastAsia" w:ascii="Times New Roman" w:hAnsi="Times New Roman"/>
          <w:bCs w:val="0"/>
          <w:color w:val="000000" w:themeColor="text1"/>
          <w:kern w:val="2"/>
          <w:szCs w:val="24"/>
          <w14:textFill>
            <w14:solidFill>
              <w14:schemeClr w14:val="tx1"/>
            </w14:solidFill>
          </w14:textFill>
        </w:rPr>
        <w:t>与《新疆维吾尔自治区国民经济和社会发展第十四个五年规划和2035年远景目标纲要》的符合性</w:t>
      </w:r>
      <w:r>
        <w:rPr>
          <w:rFonts w:ascii="Times New Roman" w:hAnsi="Times New Roman"/>
          <w:bCs w:val="0"/>
          <w:color w:val="000000" w:themeColor="text1"/>
          <w:kern w:val="2"/>
          <w:szCs w:val="24"/>
          <w14:textFill>
            <w14:solidFill>
              <w14:schemeClr w14:val="tx1"/>
            </w14:solidFill>
          </w14:textFill>
        </w:rPr>
        <w:t>分析</w:t>
      </w:r>
    </w:p>
    <w:p w14:paraId="3F8749F4">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《新疆维吾尔自治区国民经济和社会发展第十四个五年规划和2035年远景目标纲要》</w:t>
      </w:r>
      <w:r>
        <w:rPr>
          <w:rFonts w:hint="eastAsia"/>
          <w:color w:val="000000" w:themeColor="text1"/>
          <w:sz w:val="24"/>
          <w:szCs w:val="24"/>
          <w14:textFill>
            <w14:solidFill>
              <w14:schemeClr w14:val="tx1"/>
            </w14:solidFill>
          </w14:textFill>
        </w:rPr>
        <w:t>中第五篇 第七章指出：“加快矿产资源勘查开发。按照‘深化北疆东疆，加快南疆勘查’的总体思路，开展重点成矿区带地质调查和矿产勘查，做好矿产资源开发利用储备。贯彻新发展理念，建设绿色矿山，实现可持续发展。加强准南、库拜、三塘湖等区域煤田煤层气勘查，推进煤层气产业化开发。开展塔里木盆地北缘、阿尔金山吐格曼等区域稀有、稀土金属矿产调查评价，推进昆仑山西部大红柳滩稀有金属和火烧云铅锌矿开发。加大昆仑山北部煤炭资源勘探开发力度，满足南疆地区用煤需求。加强塔里木、准噶尔盆地及周边中小盆地页岩气（油）、煤层气勘查，推进油砂、油页岩和南疆浅层地温能、水热型地热资源和干热岩资源调查评价。加快推进天山中部和</w:t>
      </w:r>
      <w:r>
        <w:rPr>
          <w:rFonts w:hint="eastAsia"/>
          <w:b/>
          <w:color w:val="000000" w:themeColor="text1"/>
          <w:sz w:val="24"/>
          <w:szCs w:val="24"/>
          <w14:textFill>
            <w14:solidFill>
              <w14:schemeClr w14:val="tx1"/>
            </w14:solidFill>
          </w14:textFill>
        </w:rPr>
        <w:t>东疆铁矿</w:t>
      </w:r>
      <w:r>
        <w:rPr>
          <w:rFonts w:hint="eastAsia"/>
          <w:color w:val="000000" w:themeColor="text1"/>
          <w:sz w:val="24"/>
          <w:szCs w:val="24"/>
          <w14:textFill>
            <w14:solidFill>
              <w14:schemeClr w14:val="tx1"/>
            </w14:solidFill>
          </w14:textFill>
        </w:rPr>
        <w:t>、钒钛资源勘查开发。推动玛尔坎苏一带锰矿勘查开发，大力发展电解锰、锰合金等产业，加快建设我国特大型锰矿产业基地。”</w:t>
      </w:r>
    </w:p>
    <w:p w14:paraId="18687261">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本项目矿区属于东疆铁矿，符合项目建设符合“深化北疆东疆，加快南疆勘查”的总体思路，符合《新疆维吾尔自治区国民经济和社会发展第十四个五年规划和2035年远景目标纲要》目标。</w:t>
      </w:r>
    </w:p>
    <w:p w14:paraId="229DB469">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3.4.2.</w:t>
      </w:r>
      <w:r>
        <w:rPr>
          <w:rFonts w:hint="eastAsia" w:ascii="Times New Roman" w:hAnsi="Times New Roman"/>
          <w:bCs w:val="0"/>
          <w:color w:val="000000" w:themeColor="text1"/>
          <w:kern w:val="2"/>
          <w:szCs w:val="24"/>
          <w:lang w:val="en-US" w:eastAsia="zh-CN"/>
          <w14:textFill>
            <w14:solidFill>
              <w14:schemeClr w14:val="tx1"/>
            </w14:solidFill>
          </w14:textFill>
        </w:rPr>
        <w:t>6</w:t>
      </w:r>
      <w:r>
        <w:rPr>
          <w:rFonts w:hint="eastAsia" w:ascii="Times New Roman" w:hAnsi="Times New Roman"/>
          <w:bCs w:val="0"/>
          <w:color w:val="000000" w:themeColor="text1"/>
          <w:kern w:val="2"/>
          <w:szCs w:val="24"/>
          <w14:textFill>
            <w14:solidFill>
              <w14:schemeClr w14:val="tx1"/>
            </w14:solidFill>
          </w14:textFill>
        </w:rPr>
        <w:t>与《新疆生态环境保护“十四五”规划》的符合性分析</w:t>
      </w:r>
    </w:p>
    <w:p w14:paraId="0C230DAA">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根据2022年1月14日新疆维吾尔自治区人民政府发布的《新疆生态环境保护“十四五”规划》中对矿山开采的相关要求，</w:t>
      </w:r>
      <w:r>
        <w:rPr>
          <w:rFonts w:hint="eastAsia"/>
          <w:color w:val="000000" w:themeColor="text1"/>
          <w:sz w:val="24"/>
          <w:szCs w:val="24"/>
          <w:lang w:eastAsia="zh-CN"/>
          <w14:textFill>
            <w14:solidFill>
              <w14:schemeClr w14:val="tx1"/>
            </w14:solidFill>
          </w14:textFill>
        </w:rPr>
        <w:t>本项目</w:t>
      </w:r>
      <w:r>
        <w:rPr>
          <w:rFonts w:hint="eastAsia"/>
          <w:color w:val="000000" w:themeColor="text1"/>
          <w:sz w:val="24"/>
          <w:szCs w:val="24"/>
          <w14:textFill>
            <w14:solidFill>
              <w14:schemeClr w14:val="tx1"/>
            </w14:solidFill>
          </w14:textFill>
        </w:rPr>
        <w:t>与其相符性见下表。</w:t>
      </w:r>
    </w:p>
    <w:p w14:paraId="3A43A76C">
      <w:pPr>
        <w:spacing w:line="480" w:lineRule="exact"/>
        <w:jc w:val="center"/>
        <w:rPr>
          <w:b/>
          <w:color w:val="000000" w:themeColor="text1"/>
          <w:kern w:val="0"/>
          <w:sz w:val="24"/>
          <w:szCs w:val="24"/>
          <w:lang w:bidi="ar"/>
          <w14:textFill>
            <w14:solidFill>
              <w14:schemeClr w14:val="tx1"/>
            </w14:solidFill>
          </w14:textFill>
        </w:rPr>
      </w:pPr>
      <w:r>
        <w:rPr>
          <w:rFonts w:hint="eastAsia"/>
          <w:b/>
          <w:color w:val="000000" w:themeColor="text1"/>
          <w:kern w:val="0"/>
          <w:sz w:val="24"/>
          <w:szCs w:val="24"/>
          <w:lang w:bidi="ar"/>
          <w14:textFill>
            <w14:solidFill>
              <w14:schemeClr w14:val="tx1"/>
            </w14:solidFill>
          </w14:textFill>
        </w:rPr>
        <w:t>表3.4</w:t>
      </w:r>
      <w:r>
        <w:rPr>
          <w:b/>
          <w:color w:val="000000" w:themeColor="text1"/>
          <w:kern w:val="0"/>
          <w:sz w:val="24"/>
          <w:szCs w:val="24"/>
          <w:lang w:bidi="ar"/>
          <w14:textFill>
            <w14:solidFill>
              <w14:schemeClr w14:val="tx1"/>
            </w14:solidFill>
          </w14:textFill>
        </w:rPr>
        <w:t>-</w:t>
      </w:r>
      <w:r>
        <w:rPr>
          <w:rFonts w:hint="eastAsia"/>
          <w:b/>
          <w:color w:val="000000" w:themeColor="text1"/>
          <w:kern w:val="0"/>
          <w:sz w:val="24"/>
          <w:szCs w:val="24"/>
          <w:lang w:val="en-US" w:eastAsia="zh-CN" w:bidi="ar"/>
          <w14:textFill>
            <w14:solidFill>
              <w14:schemeClr w14:val="tx1"/>
            </w14:solidFill>
          </w14:textFill>
        </w:rPr>
        <w:t>4</w:t>
      </w:r>
      <w:r>
        <w:rPr>
          <w:rFonts w:hint="eastAsia"/>
          <w:b/>
          <w:color w:val="000000" w:themeColor="text1"/>
          <w:kern w:val="0"/>
          <w:sz w:val="24"/>
          <w:szCs w:val="24"/>
          <w:lang w:bidi="ar"/>
          <w14:textFill>
            <w14:solidFill>
              <w14:schemeClr w14:val="tx1"/>
            </w14:solidFill>
          </w14:textFill>
        </w:rPr>
        <w:t xml:space="preserve">    与《新疆生态环境保护“十四五”规划》符合性分析表</w:t>
      </w:r>
    </w:p>
    <w:tbl>
      <w:tblPr>
        <w:tblStyle w:val="7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3736"/>
        <w:gridCol w:w="2946"/>
        <w:gridCol w:w="977"/>
      </w:tblGrid>
      <w:tr w14:paraId="2AA01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06" w:type="pct"/>
            <w:noWrap w:val="0"/>
            <w:vAlign w:val="center"/>
          </w:tcPr>
          <w:p w14:paraId="5279A89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类别</w:t>
            </w:r>
          </w:p>
        </w:tc>
        <w:tc>
          <w:tcPr>
            <w:tcW w:w="2191" w:type="pct"/>
            <w:noWrap w:val="0"/>
            <w:vAlign w:val="center"/>
          </w:tcPr>
          <w:p w14:paraId="7B5B2B5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规划要求</w:t>
            </w:r>
          </w:p>
        </w:tc>
        <w:tc>
          <w:tcPr>
            <w:tcW w:w="1728" w:type="pct"/>
            <w:noWrap w:val="0"/>
            <w:vAlign w:val="center"/>
          </w:tcPr>
          <w:p w14:paraId="3067DD9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cs="Times New Roman"/>
                <w:b/>
                <w:bCs/>
                <w:color w:val="000000" w:themeColor="text1"/>
                <w:szCs w:val="21"/>
                <w:lang w:eastAsia="zh-CN"/>
                <w14:textFill>
                  <w14:solidFill>
                    <w14:schemeClr w14:val="tx1"/>
                  </w14:solidFill>
                </w14:textFill>
              </w:rPr>
              <w:t>本项目</w:t>
            </w:r>
            <w:r>
              <w:rPr>
                <w:rFonts w:hint="eastAsia" w:ascii="Times New Roman" w:hAnsi="Times New Roman" w:cs="Times New Roman"/>
                <w:b/>
                <w:bCs/>
                <w:color w:val="000000" w:themeColor="text1"/>
                <w:szCs w:val="21"/>
                <w14:textFill>
                  <w14:solidFill>
                    <w14:schemeClr w14:val="tx1"/>
                  </w14:solidFill>
                </w14:textFill>
              </w:rPr>
              <w:t>情况</w:t>
            </w:r>
          </w:p>
        </w:tc>
        <w:tc>
          <w:tcPr>
            <w:tcW w:w="573" w:type="pct"/>
            <w:noWrap w:val="0"/>
            <w:vAlign w:val="center"/>
          </w:tcPr>
          <w:p w14:paraId="0990849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符合性</w:t>
            </w:r>
          </w:p>
        </w:tc>
      </w:tr>
      <w:tr w14:paraId="66AE3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529E814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绿色矿山建设</w:t>
            </w:r>
          </w:p>
        </w:tc>
        <w:tc>
          <w:tcPr>
            <w:tcW w:w="2191" w:type="pct"/>
            <w:noWrap w:val="0"/>
            <w:vAlign w:val="center"/>
          </w:tcPr>
          <w:p w14:paraId="5970BC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全面推进绿色矿山建设，规范绿色矿山第三方评估，推广矿产资源节约与综合利用先进技术。</w:t>
            </w:r>
          </w:p>
        </w:tc>
        <w:tc>
          <w:tcPr>
            <w:tcW w:w="1728" w:type="pct"/>
            <w:noWrap w:val="0"/>
            <w:vAlign w:val="center"/>
          </w:tcPr>
          <w:p w14:paraId="61B913B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建设单位将</w:t>
            </w:r>
            <w:r>
              <w:rPr>
                <w:rFonts w:hint="eastAsia" w:cs="Times New Roman"/>
                <w:color w:val="000000" w:themeColor="text1"/>
                <w:szCs w:val="21"/>
                <w:lang w:val="en-US" w:eastAsia="zh-CN"/>
                <w14:textFill>
                  <w14:solidFill>
                    <w14:schemeClr w14:val="tx1"/>
                  </w14:solidFill>
                </w14:textFill>
              </w:rPr>
              <w:t>按照</w:t>
            </w:r>
            <w:r>
              <w:rPr>
                <w:rFonts w:hint="eastAsia" w:ascii="Times New Roman" w:hAnsi="Times New Roman" w:cs="Times New Roman"/>
                <w:color w:val="000000" w:themeColor="text1"/>
                <w:szCs w:val="21"/>
                <w14:textFill>
                  <w14:solidFill>
                    <w14:schemeClr w14:val="tx1"/>
                  </w14:solidFill>
                </w14:textFill>
              </w:rPr>
              <w:t>绿色矿山建设规范要求积极建设绿色矿山。</w:t>
            </w:r>
          </w:p>
        </w:tc>
        <w:tc>
          <w:tcPr>
            <w:tcW w:w="573" w:type="pct"/>
            <w:noWrap w:val="0"/>
            <w:vAlign w:val="center"/>
          </w:tcPr>
          <w:p w14:paraId="19C1C1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59741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4D4CC64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大气环境</w:t>
            </w:r>
          </w:p>
        </w:tc>
        <w:tc>
          <w:tcPr>
            <w:tcW w:w="2191" w:type="pct"/>
            <w:noWrap w:val="0"/>
            <w:vAlign w:val="center"/>
          </w:tcPr>
          <w:p w14:paraId="0CDFCE9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充分运用新型、高效的防尘、降尘、除尘技术，加强矿山粉尘治理。</w:t>
            </w:r>
          </w:p>
        </w:tc>
        <w:tc>
          <w:tcPr>
            <w:tcW w:w="1728" w:type="pct"/>
            <w:noWrap w:val="0"/>
            <w:vAlign w:val="center"/>
          </w:tcPr>
          <w:p w14:paraId="0559CAC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本项目井下开采采用湿式凿岩、洒水降尘，最大程度减少粉尘排放。</w:t>
            </w:r>
          </w:p>
        </w:tc>
        <w:tc>
          <w:tcPr>
            <w:tcW w:w="573" w:type="pct"/>
            <w:noWrap w:val="0"/>
            <w:vAlign w:val="center"/>
          </w:tcPr>
          <w:p w14:paraId="507A6D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7CC0E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3C342CE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水环境</w:t>
            </w:r>
          </w:p>
        </w:tc>
        <w:tc>
          <w:tcPr>
            <w:tcW w:w="2191" w:type="pct"/>
            <w:noWrap w:val="0"/>
            <w:vAlign w:val="center"/>
          </w:tcPr>
          <w:p w14:paraId="3418C66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推进地表水与地下水协同防治。统筹区域地表水、地下水生态环境监管。以傍河型地下水饮用水水源为重点，防范受污染河段侧渗和垂直补给对地下水污染。加强化学品生产企业、工业聚集区、矿山开采区等污染源的地表、地下协同防治与环境风险管控。</w:t>
            </w:r>
          </w:p>
        </w:tc>
        <w:tc>
          <w:tcPr>
            <w:tcW w:w="1728" w:type="pct"/>
            <w:noWrap w:val="0"/>
            <w:vAlign w:val="center"/>
          </w:tcPr>
          <w:p w14:paraId="0488EE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本项目区周边无地表水体，在采取本次评价提出的各项生态保护措施、风险防范措施等前提下，项目污染影响较小，环境风险可控。</w:t>
            </w:r>
          </w:p>
        </w:tc>
        <w:tc>
          <w:tcPr>
            <w:tcW w:w="573" w:type="pct"/>
            <w:noWrap w:val="0"/>
            <w:vAlign w:val="center"/>
          </w:tcPr>
          <w:p w14:paraId="0326CF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50363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566135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土壤环境</w:t>
            </w:r>
          </w:p>
        </w:tc>
        <w:tc>
          <w:tcPr>
            <w:tcW w:w="2191" w:type="pct"/>
            <w:noWrap w:val="0"/>
            <w:vAlign w:val="center"/>
          </w:tcPr>
          <w:p w14:paraId="22B8B73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防范工矿企业土壤污染。结合重点行业企业用地土壤污染状况调查成果，完善土壤污染重点监管单位名录，探索建立地下水污染重点监管单位名录，在排污许可证中载明土壤和地下水污染防治要求。鼓励土壤污染重点监管单位实施提标改造。定期对土壤污染重点监管单位和地下水污染重点监管单位周边土壤、地下水开展监测。督促重点行业企业定期开展土壤及地下水环境自行监测、污染隐患排查。</w:t>
            </w:r>
          </w:p>
        </w:tc>
        <w:tc>
          <w:tcPr>
            <w:tcW w:w="1728" w:type="pct"/>
            <w:noWrap w:val="0"/>
            <w:vAlign w:val="center"/>
          </w:tcPr>
          <w:p w14:paraId="51E7238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本项目为铁矿开采项目，不属于土壤污染重点监管单位，根据土壤现状监测报告，矿区占地范围内、外土壤污染物均满足筛选值标准，土壤环境良好。建设单位已采取防渗等措施防止开采活动对土壤及地下水的污染。</w:t>
            </w:r>
          </w:p>
        </w:tc>
        <w:tc>
          <w:tcPr>
            <w:tcW w:w="573" w:type="pct"/>
            <w:noWrap w:val="0"/>
            <w:vAlign w:val="center"/>
          </w:tcPr>
          <w:p w14:paraId="799208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78133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center"/>
          </w:tcPr>
          <w:p w14:paraId="22DBE58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风险</w:t>
            </w:r>
          </w:p>
        </w:tc>
        <w:tc>
          <w:tcPr>
            <w:tcW w:w="2191" w:type="pct"/>
            <w:noWrap w:val="0"/>
            <w:vAlign w:val="center"/>
          </w:tcPr>
          <w:p w14:paraId="0B289A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强化重点区域地下水环境风险管控。对化学品生产企业、工业集聚区、尾矿库、矿山开采区、危险废物处置场、垃圾填埋场等地下水污染源及周边区域，逐步开展地下水环境状况调查评估，加强风险管控。</w:t>
            </w:r>
          </w:p>
        </w:tc>
        <w:tc>
          <w:tcPr>
            <w:tcW w:w="1728" w:type="pct"/>
            <w:noWrap w:val="0"/>
            <w:vAlign w:val="center"/>
          </w:tcPr>
          <w:p w14:paraId="72E8B4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矿山开采区已实施5口地下水监测井，分别位于矿山上游1个、下游2个，场地两侧1个，并对地下水实行定期监测，建设单位对矿区内工业场地、废石堆场等设施采取防渗措施，防止开采活动对地下水的污染。</w:t>
            </w:r>
          </w:p>
        </w:tc>
        <w:tc>
          <w:tcPr>
            <w:tcW w:w="573" w:type="pct"/>
            <w:noWrap w:val="0"/>
            <w:vAlign w:val="center"/>
          </w:tcPr>
          <w:p w14:paraId="24C950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bl>
    <w:p w14:paraId="64167D7B">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3.4.2.</w:t>
      </w:r>
      <w:r>
        <w:rPr>
          <w:rFonts w:hint="eastAsia" w:ascii="Times New Roman" w:hAnsi="Times New Roman"/>
          <w:bCs w:val="0"/>
          <w:color w:val="000000" w:themeColor="text1"/>
          <w:kern w:val="2"/>
          <w:szCs w:val="24"/>
          <w:lang w:val="en-US" w:eastAsia="zh-CN"/>
          <w14:textFill>
            <w14:solidFill>
              <w14:schemeClr w14:val="tx1"/>
            </w14:solidFill>
          </w14:textFill>
        </w:rPr>
        <w:t>7</w:t>
      </w:r>
      <w:r>
        <w:rPr>
          <w:rFonts w:hint="eastAsia" w:ascii="Times New Roman" w:hAnsi="Times New Roman"/>
          <w:bCs w:val="0"/>
          <w:color w:val="000000" w:themeColor="text1"/>
          <w:kern w:val="2"/>
          <w:szCs w:val="24"/>
          <w14:textFill>
            <w14:solidFill>
              <w14:schemeClr w14:val="tx1"/>
            </w14:solidFill>
          </w14:textFill>
        </w:rPr>
        <w:t>与《哈密市国民经济和社会发展第十四个五年规划和2035年远景目标纲要》的符合性分析</w:t>
      </w:r>
    </w:p>
    <w:p w14:paraId="7DB0BBC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《哈密市国民经济和社会发展第十四个五年规划和2035年远景目标纲要》</w:t>
      </w:r>
      <w:r>
        <w:rPr>
          <w:rFonts w:hint="eastAsia"/>
          <w:color w:val="000000" w:themeColor="text1"/>
          <w:sz w:val="24"/>
          <w:szCs w:val="24"/>
          <w14:textFill>
            <w14:solidFill>
              <w14:schemeClr w14:val="tx1"/>
            </w14:solidFill>
          </w14:textFill>
        </w:rPr>
        <w:t>中第三章 第二节指出：“3</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优化提升传统产业。优化提升黑有色金属采选加工、先进装备制造、轻工及特色农副产品加工三大传统产业，实施重大技术改造升级工程，推动传统产业高端化、智能化、绿色化……</w:t>
      </w:r>
      <w:r>
        <w:rPr>
          <w:rFonts w:hint="eastAsia"/>
          <w:b/>
          <w:color w:val="000000" w:themeColor="text1"/>
          <w:sz w:val="24"/>
          <w:szCs w:val="24"/>
          <w14:textFill>
            <w14:solidFill>
              <w14:schemeClr w14:val="tx1"/>
            </w14:solidFill>
          </w14:textFill>
        </w:rPr>
        <w:t>黑色及有色金属采选加工业</w:t>
      </w:r>
      <w:r>
        <w:rPr>
          <w:rFonts w:hint="eastAsia"/>
          <w:color w:val="000000" w:themeColor="text1"/>
          <w:sz w:val="24"/>
          <w:szCs w:val="24"/>
          <w14:textFill>
            <w14:solidFill>
              <w14:schemeClr w14:val="tx1"/>
            </w14:solidFill>
          </w14:textFill>
        </w:rPr>
        <w:t>。不断提高现有矿山采矿、选矿技术水平，加快矿产资源开发和深加工，推动矿山企业与冶炼企业深度联合，构建较为全面的黑色、有色金属系冶炼体系。</w:t>
      </w:r>
      <w:r>
        <w:rPr>
          <w:rFonts w:hint="eastAsia"/>
          <w:b/>
          <w:color w:val="000000" w:themeColor="text1"/>
          <w:sz w:val="24"/>
          <w:szCs w:val="24"/>
          <w14:textFill>
            <w14:solidFill>
              <w14:schemeClr w14:val="tx1"/>
            </w14:solidFill>
          </w14:textFill>
        </w:rPr>
        <w:t>做强黑色金属采选加工业，</w:t>
      </w:r>
      <w:r>
        <w:rPr>
          <w:rFonts w:hint="eastAsia"/>
          <w:color w:val="000000" w:themeColor="text1"/>
          <w:sz w:val="24"/>
          <w:szCs w:val="24"/>
          <w14:textFill>
            <w14:solidFill>
              <w14:schemeClr w14:val="tx1"/>
            </w14:solidFill>
          </w14:textFill>
        </w:rPr>
        <w:t>加快低品位钒钛磁铁矿综合开发利用。利用国外优质低价铁矿和哈密优质铁矿资源，提高铁精粉加工能力，延伸黑色金属加工产业链，大力发展还原铁生产。做精有色金属采选加工业，深挖有色金属资源优势，鼓励开展金属钼勘探开发。利用国家东天山成矿带资源勘探成果，吸引企业开发有色资源，构建采、选、冶、加工一体化发展格局。”</w:t>
      </w:r>
    </w:p>
    <w:p w14:paraId="3FAFC97C">
      <w:pPr>
        <w:spacing w:line="480" w:lineRule="exact"/>
        <w:ind w:firstLine="480" w:firstLineChars="200"/>
        <w:rPr>
          <w:rFonts w:hint="eastAsia"/>
          <w:color w:val="000000" w:themeColor="text1"/>
          <w:sz w:val="24"/>
          <w:szCs w:val="24"/>
          <w:lang w:bidi="ar"/>
          <w14:textFill>
            <w14:solidFill>
              <w14:schemeClr w14:val="tx1"/>
            </w14:solidFill>
          </w14:textFill>
        </w:rPr>
      </w:pPr>
      <w:r>
        <w:rPr>
          <w:rFonts w:hint="eastAsia"/>
          <w:color w:val="000000" w:themeColor="text1"/>
          <w:sz w:val="24"/>
          <w:szCs w:val="24"/>
          <w14:textFill>
            <w14:solidFill>
              <w14:schemeClr w14:val="tx1"/>
            </w14:solidFill>
          </w14:textFill>
        </w:rPr>
        <w:t>本项目为</w:t>
      </w:r>
      <w:r>
        <w:rPr>
          <w:rFonts w:hint="eastAsia"/>
          <w:color w:val="000000" w:themeColor="text1"/>
          <w:sz w:val="24"/>
          <w:szCs w:val="24"/>
          <w:lang w:val="en-US" w:eastAsia="zh-CN"/>
          <w14:textFill>
            <w14:solidFill>
              <w14:schemeClr w14:val="tx1"/>
            </w14:solidFill>
          </w14:textFill>
        </w:rPr>
        <w:t>铁矿开采，属于</w:t>
      </w:r>
      <w:r>
        <w:rPr>
          <w:rFonts w:hint="eastAsia"/>
          <w:color w:val="000000" w:themeColor="text1"/>
          <w:sz w:val="24"/>
          <w:szCs w:val="24"/>
          <w14:textFill>
            <w14:solidFill>
              <w14:schemeClr w14:val="tx1"/>
            </w14:solidFill>
          </w14:textFill>
        </w:rPr>
        <w:t>黑色金属矿开采项目，地</w:t>
      </w:r>
      <w:r>
        <w:rPr>
          <w:rFonts w:hint="eastAsia"/>
          <w:color w:val="000000" w:themeColor="text1"/>
          <w:sz w:val="24"/>
          <w:szCs w:val="24"/>
          <w:lang w:eastAsia="zh-CN"/>
          <w14:textFill>
            <w14:solidFill>
              <w14:schemeClr w14:val="tx1"/>
            </w14:solidFill>
          </w14:textFill>
        </w:rPr>
        <w:t>处</w:t>
      </w:r>
      <w:r>
        <w:rPr>
          <w:rFonts w:hint="eastAsia"/>
          <w:color w:val="000000" w:themeColor="text1"/>
          <w:sz w:val="24"/>
          <w:szCs w:val="24"/>
          <w14:textFill>
            <w14:solidFill>
              <w14:schemeClr w14:val="tx1"/>
            </w14:solidFill>
          </w14:textFill>
        </w:rPr>
        <w:t>东天山成矿带，本项目的建设符合《哈密市国民经济和社会发展第十四个五年规划和2035年远景目标纲要》的</w:t>
      </w:r>
      <w:r>
        <w:rPr>
          <w:color w:val="000000" w:themeColor="text1"/>
          <w:sz w:val="24"/>
          <w:szCs w:val="24"/>
          <w:lang w:bidi="ar"/>
          <w14:textFill>
            <w14:solidFill>
              <w14:schemeClr w14:val="tx1"/>
            </w14:solidFill>
          </w14:textFill>
        </w:rPr>
        <w:t>相关要求</w:t>
      </w:r>
      <w:r>
        <w:rPr>
          <w:rFonts w:hint="eastAsia"/>
          <w:color w:val="000000" w:themeColor="text1"/>
          <w:sz w:val="24"/>
          <w:szCs w:val="24"/>
          <w:lang w:bidi="ar"/>
          <w14:textFill>
            <w14:solidFill>
              <w14:schemeClr w14:val="tx1"/>
            </w14:solidFill>
          </w14:textFill>
        </w:rPr>
        <w:t>。</w:t>
      </w:r>
    </w:p>
    <w:p w14:paraId="11A6F810">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3.4</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2</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lang w:val="en-US" w:eastAsia="zh-CN"/>
          <w14:textFill>
            <w14:solidFill>
              <w14:schemeClr w14:val="tx1"/>
            </w14:solidFill>
          </w14:textFill>
        </w:rPr>
        <w:t>8</w:t>
      </w:r>
      <w:r>
        <w:rPr>
          <w:rFonts w:hint="eastAsia" w:ascii="Times New Roman" w:hAnsi="Times New Roman" w:eastAsia="宋体" w:cs="Times New Roman"/>
          <w:bCs w:val="0"/>
          <w:color w:val="000000" w:themeColor="text1"/>
          <w:kern w:val="2"/>
          <w:szCs w:val="24"/>
          <w14:textFill>
            <w14:solidFill>
              <w14:schemeClr w14:val="tx1"/>
            </w14:solidFill>
          </w14:textFill>
        </w:rPr>
        <w:t>与《</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哈密市生态环境保护“十四五”规划</w:t>
      </w:r>
      <w:r>
        <w:rPr>
          <w:rFonts w:hint="eastAsia" w:ascii="Times New Roman" w:hAnsi="Times New Roman" w:eastAsia="宋体" w:cs="Times New Roman"/>
          <w:bCs w:val="0"/>
          <w:color w:val="000000" w:themeColor="text1"/>
          <w:kern w:val="2"/>
          <w:szCs w:val="24"/>
          <w14:textFill>
            <w14:solidFill>
              <w14:schemeClr w14:val="tx1"/>
            </w14:solidFill>
          </w14:textFill>
        </w:rPr>
        <w:t>》的符合性分析</w:t>
      </w:r>
    </w:p>
    <w:p w14:paraId="7536FE75">
      <w:pPr>
        <w:spacing w:line="480" w:lineRule="exact"/>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根据</w:t>
      </w:r>
      <w:r>
        <w:rPr>
          <w:rFonts w:hint="eastAsia" w:ascii="Times New Roman" w:hAnsi="Times New Roman" w:eastAsia="宋体" w:cs="Times New Roman"/>
          <w:bCs w:val="0"/>
          <w:color w:val="000000" w:themeColor="text1"/>
          <w:kern w:val="2"/>
          <w:sz w:val="24"/>
          <w:szCs w:val="24"/>
          <w14:textFill>
            <w14:solidFill>
              <w14:schemeClr w14:val="tx1"/>
            </w14:solidFill>
          </w14:textFill>
        </w:rPr>
        <w:t>《</w:t>
      </w:r>
      <w:r>
        <w:rPr>
          <w:rFonts w:hint="eastAsia" w:ascii="Times New Roman" w:hAnsi="Times New Roman" w:eastAsia="宋体" w:cs="Times New Roman"/>
          <w:bCs w:val="0"/>
          <w:color w:val="000000" w:themeColor="text1"/>
          <w:kern w:val="2"/>
          <w:sz w:val="24"/>
          <w:szCs w:val="24"/>
          <w:lang w:val="en-US" w:eastAsia="zh-CN"/>
          <w14:textFill>
            <w14:solidFill>
              <w14:schemeClr w14:val="tx1"/>
            </w14:solidFill>
          </w14:textFill>
        </w:rPr>
        <w:t>哈密市生态环境保护“十四五”规划</w:t>
      </w:r>
      <w:r>
        <w:rPr>
          <w:rFonts w:hint="eastAsia" w:ascii="Times New Roman" w:hAnsi="Times New Roman" w:eastAsia="宋体" w:cs="Times New Roman"/>
          <w:bCs w:val="0"/>
          <w:color w:val="000000" w:themeColor="text1"/>
          <w:kern w:val="2"/>
          <w:sz w:val="24"/>
          <w:szCs w:val="24"/>
          <w14:textFill>
            <w14:solidFill>
              <w14:schemeClr w14:val="tx1"/>
            </w14:solidFill>
          </w14:textFill>
        </w:rPr>
        <w:t>》</w:t>
      </w:r>
      <w:r>
        <w:rPr>
          <w:rFonts w:hint="eastAsia" w:ascii="Times New Roman" w:hAnsi="Times New Roman" w:eastAsia="宋体" w:cs="Times New Roman"/>
          <w:bCs w:val="0"/>
          <w:color w:val="000000" w:themeColor="text1"/>
          <w:kern w:val="2"/>
          <w:sz w:val="24"/>
          <w:szCs w:val="24"/>
          <w:lang w:eastAsia="zh-CN"/>
          <w14:textFill>
            <w14:solidFill>
              <w14:schemeClr w14:val="tx1"/>
            </w14:solidFill>
          </w14:textFill>
        </w:rPr>
        <w:t>，“健全国土空间开发保护制度。完善国土空间规划体系，以乡（镇）为单元，将全市划分为城市化地区、农产品主产区、重点生态功能区；国土空间中合理划定永久基本农田、城镇开发边界、生态保护红线三条控制线。推进生态功能区把发展重点放在生态环境上，增加生态产品供给。严格落实国家绿色产业指导目录标准，依法依规把好土地审批供应关，加强建设用地准入监管。全面推进绿色矿山建设，规范绿色矿山第三方评估，推广矿产资源节约与综合利用先进技术。合理确定新增建设用地规模，严格控制建设项目土地使用标准，提高资源利用效率。”</w:t>
      </w:r>
      <w:r>
        <w:rPr>
          <w:rFonts w:hint="eastAsia" w:ascii="Times New Roman" w:hAnsi="Times New Roman" w:eastAsia="宋体" w:cs="Times New Roman"/>
          <w:bCs w:val="0"/>
          <w:color w:val="000000" w:themeColor="text1"/>
          <w:kern w:val="2"/>
          <w:sz w:val="24"/>
          <w:szCs w:val="24"/>
          <w:lang w:val="en-US" w:eastAsia="zh-CN"/>
          <w14:textFill>
            <w14:solidFill>
              <w14:schemeClr w14:val="tx1"/>
            </w14:solidFill>
          </w14:textFill>
        </w:rPr>
        <w:t>……“强化扬尘污染整治。全面推行绿色施工，城市建成区建筑工地扬尘防控标准化管理全覆盖。推进道路、水利等线性工程扬尘治理，强化监督监管，实行全方位管控。加强源头管控，严格执行‘六个100%’（工地周边100%围挡、工地道路100%硬化、土方和拆迁施工100%湿法作业、渣土车辆100%密闭运输、工地出入车辆100%冲洗、工地物料堆放100%覆盖），将施工现场扬尘治理措施落实情况作为工程开工的前置条件，确保扬尘治理措施落实落细。推进机械化低尘湿式清扫作业，加大扬尘集聚路段冲洗保洁力度，</w:t>
      </w:r>
      <w:r>
        <w:rPr>
          <w:rFonts w:hint="eastAsia" w:cs="Times New Roman"/>
          <w:bCs w:val="0"/>
          <w:color w:val="000000" w:themeColor="text1"/>
          <w:kern w:val="2"/>
          <w:sz w:val="24"/>
          <w:szCs w:val="24"/>
          <w:lang w:val="en-US" w:eastAsia="zh-CN"/>
          <w14:textFill>
            <w14:solidFill>
              <w14:schemeClr w14:val="tx1"/>
            </w14:solidFill>
          </w14:textFill>
        </w:rPr>
        <w:t>对</w:t>
      </w:r>
      <w:r>
        <w:rPr>
          <w:rFonts w:hint="eastAsia" w:ascii="Times New Roman" w:hAnsi="Times New Roman" w:eastAsia="宋体" w:cs="Times New Roman"/>
          <w:bCs w:val="0"/>
          <w:color w:val="000000" w:themeColor="text1"/>
          <w:kern w:val="2"/>
          <w:sz w:val="24"/>
          <w:szCs w:val="24"/>
          <w:lang w:val="en-US" w:eastAsia="zh-CN"/>
          <w14:textFill>
            <w14:solidFill>
              <w14:schemeClr w14:val="tx1"/>
            </w14:solidFill>
          </w14:textFill>
        </w:rPr>
        <w:t>渣土车实施硬覆盖与全封闭运输，加强绿化用地扬尘治理。加快推进城市裸露地面、工业粉粒类物料堆场、露天矿山综合整治，强化农业生产、农村道路扬尘控制。”……“推进地表水与地下水协同防治。统筹区域地表水、地下水生态环境监管。加强工业园区、产业集聚区、矿山开采区等污染源的地表水、地下水污染协同防治和环境风险管控。”……“促进再生水循环利用。加快再生水回用设施建设，充分利用中水、矿井疏干水等再生水资源，提高矿井水收集率达到100%，进一步优化水资源配置，缓解用水压力，逐步完善再生水使用管理制度。以工业用水重复利用、热力和工艺系统节水、工业给水和废水处理等领域为重点，支持企业积极实施节水技术改造，实现园区内的水资源循环利用。鼓励有条件的地方和企业在排污口下游，因地制宜建设人工湿地等水质净化生态设施，处理达标的尾水进一步净化后，作为区域内生态和生产补充用水。”……“提高资源利用效率。稳步推进金属尾矿有价组分高效提取及整体利用，提升煤矿、铁矿、铜矿、金矿、镍矿等重点矿山资源利用效率。加强对低品位矿、共伴生矿、难选冶矿、尾矿、煤矸石等综合利用，推进有价组分高效提取利用。推动有价金属提取后剩余废渣的规模化利用。提升矿井水、污水处理设施技术水平，优先用于企业生产和绿化，提高矿山企业水资源利用效率。创新资源利用模式。鼓励矿山企业采用充填采矿法并优先采用尾矿充填采矿法，解决辖区尾矿堆存处置问题；在矿山行业建立‘梯级回收+生态修复+封存保护’体系，推动绿色矿山建设；针对退役光伏组件、风电机组叶片等新兴产业的固体废物，探索规范回收以及可循环、高值化的再生利用途径。鼓励多产业协同利用，推进大宗固体废物综合利用产业与上游煤电、黑色、有色化工等产业协同发展，与下游建筑、建材、市政、交通、环境治理等产品应用领域深度融合，打通部门、行业间堵点和痛点。推动绿色发展。聚焦绿化恢复治理，推进绿色矿山建设，深入推进矿山企业贯彻绿色发展理念。加强清洁生产审核，持续开展尾矿减量化工作。强化矿山固体废物综合利用全流程管理，严格落实全过程环境污染防治责任。推行绿色运输，鼓励使用专用运输设备和车辆，加强运输过程管理。加强固体废物贮存及处置管理，强化主体责任，推动建设符合相关国家标准的贮存设施，实现安全分类存放，杜绝混排混堆现象。统筹兼顾固体废物增量消纳和存量治理，健全环保长效监督管理制度。”</w:t>
      </w:r>
    </w:p>
    <w:p w14:paraId="39801892">
      <w:pPr>
        <w:spacing w:line="480" w:lineRule="exact"/>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本项目属于铁矿矿产开发项目，</w:t>
      </w:r>
      <w:r>
        <w:rPr>
          <w:rFonts w:hint="eastAsia" w:ascii="Times New Roman" w:hAnsi="Times New Roman" w:eastAsia="宋体"/>
          <w:color w:val="000000" w:themeColor="text1"/>
          <w:sz w:val="24"/>
          <w:lang w:val="en-US" w:eastAsia="zh-CN"/>
          <w14:textFill>
            <w14:solidFill>
              <w14:schemeClr w14:val="tx1"/>
            </w14:solidFill>
          </w14:textFill>
        </w:rPr>
        <w:t>项目区未占用</w:t>
      </w:r>
      <w:r>
        <w:rPr>
          <w:rFonts w:hint="eastAsia" w:ascii="Times New Roman" w:hAnsi="Times New Roman" w:eastAsia="宋体" w:cs="Times New Roman"/>
          <w:bCs w:val="0"/>
          <w:color w:val="000000" w:themeColor="text1"/>
          <w:kern w:val="2"/>
          <w:sz w:val="24"/>
          <w:szCs w:val="24"/>
          <w:lang w:eastAsia="zh-CN"/>
          <w14:textFill>
            <w14:solidFill>
              <w14:schemeClr w14:val="tx1"/>
            </w14:solidFill>
          </w14:textFill>
        </w:rPr>
        <w:t>永久基本农田、</w:t>
      </w:r>
      <w:r>
        <w:rPr>
          <w:rFonts w:hint="eastAsia" w:ascii="Times New Roman" w:hAnsi="Times New Roman" w:eastAsia="宋体" w:cs="Times New Roman"/>
          <w:bCs w:val="0"/>
          <w:color w:val="000000" w:themeColor="text1"/>
          <w:kern w:val="2"/>
          <w:sz w:val="24"/>
          <w:szCs w:val="24"/>
          <w:lang w:val="en-US" w:eastAsia="zh-CN"/>
          <w14:textFill>
            <w14:solidFill>
              <w14:schemeClr w14:val="tx1"/>
            </w14:solidFill>
          </w14:textFill>
        </w:rPr>
        <w:t>生态保护红线区，矿山目前处于停产状态，尚未开展绿色矿山创建，本次评价针对绿色矿山建设提出相关要求，采取措施严格控制施工期、运营期扬尘。项目运营期产生的矿井涌水</w:t>
      </w:r>
      <w:r>
        <w:rPr>
          <w:rFonts w:hint="eastAsia"/>
          <w:color w:val="000000" w:themeColor="text1"/>
          <w:sz w:val="24"/>
          <w:szCs w:val="24"/>
          <w14:textFill>
            <w14:solidFill>
              <w14:schemeClr w14:val="tx1"/>
            </w14:solidFill>
          </w14:textFill>
        </w:rPr>
        <w:t>经混凝沉淀处理后，一部分用于采矿生产用水和矿山绿化浇灌、工业场地及道路降尘等，其余泵送至选厂生产新水水池供生产使用，不外排</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充分利用矿井水再生水资源。基建期、运营期产生的废石作为大宗固体废物，</w:t>
      </w:r>
      <w:r>
        <w:rPr>
          <w:rFonts w:hint="eastAsia"/>
          <w:color w:val="000000" w:themeColor="text1"/>
          <w:sz w:val="24"/>
          <w:szCs w:val="28"/>
          <w:highlight w:val="none"/>
          <w14:textFill>
            <w14:solidFill>
              <w14:schemeClr w14:val="tx1"/>
            </w14:solidFill>
          </w14:textFill>
        </w:rPr>
        <w:t>由自卸汽车运输至废石堆场排弃，</w:t>
      </w:r>
      <w:r>
        <w:rPr>
          <w:color w:val="000000" w:themeColor="text1"/>
          <w:sz w:val="24"/>
          <w:szCs w:val="28"/>
          <w:highlight w:val="none"/>
          <w14:textFill>
            <w14:solidFill>
              <w14:schemeClr w14:val="tx1"/>
            </w14:solidFill>
          </w14:textFill>
        </w:rPr>
        <w:t>待开采结束</w:t>
      </w:r>
      <w:r>
        <w:rPr>
          <w:rFonts w:hint="eastAsia"/>
          <w:color w:val="000000" w:themeColor="text1"/>
          <w:sz w:val="24"/>
          <w:szCs w:val="28"/>
          <w:highlight w:val="none"/>
          <w14:textFill>
            <w14:solidFill>
              <w14:schemeClr w14:val="tx1"/>
            </w14:solidFill>
          </w14:textFill>
        </w:rPr>
        <w:t>并稳沉</w:t>
      </w:r>
      <w:r>
        <w:rPr>
          <w:color w:val="000000" w:themeColor="text1"/>
          <w:sz w:val="24"/>
          <w:szCs w:val="28"/>
          <w:highlight w:val="none"/>
          <w14:textFill>
            <w14:solidFill>
              <w14:schemeClr w14:val="tx1"/>
            </w14:solidFill>
          </w14:textFill>
        </w:rPr>
        <w:t>后，将废石</w:t>
      </w:r>
      <w:r>
        <w:rPr>
          <w:rFonts w:hint="eastAsia"/>
          <w:color w:val="000000" w:themeColor="text1"/>
          <w:sz w:val="24"/>
          <w:szCs w:val="28"/>
          <w:highlight w:val="none"/>
          <w14:textFill>
            <w14:solidFill>
              <w14:schemeClr w14:val="tx1"/>
            </w14:solidFill>
          </w14:textFill>
        </w:rPr>
        <w:t>回填至采空区。废石综合利用率可达</w:t>
      </w:r>
      <w:r>
        <w:rPr>
          <w:color w:val="000000" w:themeColor="text1"/>
          <w:sz w:val="24"/>
          <w:szCs w:val="28"/>
          <w:highlight w:val="none"/>
          <w14:textFill>
            <w14:solidFill>
              <w14:schemeClr w14:val="tx1"/>
            </w14:solidFill>
          </w14:textFill>
        </w:rPr>
        <w:t>100%</w:t>
      </w:r>
      <w:r>
        <w:rPr>
          <w:rFonts w:hint="eastAsia"/>
          <w:color w:val="000000" w:themeColor="text1"/>
          <w:sz w:val="24"/>
          <w:szCs w:val="28"/>
          <w:highlight w:val="none"/>
          <w:lang w:eastAsia="zh-CN"/>
          <w14:textFill>
            <w14:solidFill>
              <w14:schemeClr w14:val="tx1"/>
            </w14:solidFill>
          </w14:textFill>
        </w:rPr>
        <w:t>，</w:t>
      </w:r>
      <w:r>
        <w:rPr>
          <w:rFonts w:hint="eastAsia"/>
          <w:color w:val="000000" w:themeColor="text1"/>
          <w:sz w:val="24"/>
          <w:szCs w:val="28"/>
          <w:highlight w:val="none"/>
          <w:lang w:val="en-US" w:eastAsia="zh-CN"/>
          <w14:textFill>
            <w14:solidFill>
              <w14:schemeClr w14:val="tx1"/>
            </w14:solidFill>
          </w14:textFill>
        </w:rPr>
        <w:t>符合绿色发展理念。</w:t>
      </w:r>
    </w:p>
    <w:p w14:paraId="0E0D3271">
      <w:pPr>
        <w:spacing w:line="480" w:lineRule="exact"/>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综上，</w:t>
      </w:r>
      <w:r>
        <w:rPr>
          <w:color w:val="000000" w:themeColor="text1"/>
          <w:sz w:val="24"/>
          <w14:textFill>
            <w14:solidFill>
              <w14:schemeClr w14:val="tx1"/>
            </w14:solidFill>
          </w14:textFill>
        </w:rPr>
        <w:t>本项目建设符合</w:t>
      </w:r>
      <w:r>
        <w:rPr>
          <w:rFonts w:hint="eastAsia"/>
          <w:color w:val="000000" w:themeColor="text1"/>
          <w:sz w:val="24"/>
          <w14:textFill>
            <w14:solidFill>
              <w14:schemeClr w14:val="tx1"/>
            </w14:solidFill>
          </w14:textFill>
        </w:rPr>
        <w:t>《哈密市生态环境保护“十四五”规划》</w:t>
      </w:r>
      <w:r>
        <w:rPr>
          <w:rFonts w:hint="eastAsia"/>
          <w:color w:val="000000" w:themeColor="text1"/>
          <w:sz w:val="24"/>
          <w:lang w:eastAsia="zh-CN"/>
          <w14:textFill>
            <w14:solidFill>
              <w14:schemeClr w14:val="tx1"/>
            </w14:solidFill>
          </w14:textFill>
        </w:rPr>
        <w:t>的</w:t>
      </w:r>
      <w:r>
        <w:rPr>
          <w:rFonts w:hint="eastAsia"/>
          <w:color w:val="000000" w:themeColor="text1"/>
          <w:sz w:val="24"/>
          <w:lang w:val="en-US" w:eastAsia="zh-CN"/>
          <w14:textFill>
            <w14:solidFill>
              <w14:schemeClr w14:val="tx1"/>
            </w14:solidFill>
          </w14:textFill>
        </w:rPr>
        <w:t>相关要求。</w:t>
      </w:r>
    </w:p>
    <w:p w14:paraId="7D24670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3.4</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2</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lang w:val="en-US" w:eastAsia="zh-CN"/>
          <w14:textFill>
            <w14:solidFill>
              <w14:schemeClr w14:val="tx1"/>
            </w14:solidFill>
          </w14:textFill>
        </w:rPr>
        <w:t>9</w:t>
      </w:r>
      <w:r>
        <w:rPr>
          <w:rFonts w:hint="eastAsia" w:ascii="Times New Roman" w:hAnsi="Times New Roman" w:eastAsia="宋体" w:cs="Times New Roman"/>
          <w:bCs w:val="0"/>
          <w:color w:val="000000" w:themeColor="text1"/>
          <w:kern w:val="2"/>
          <w:szCs w:val="24"/>
          <w14:textFill>
            <w14:solidFill>
              <w14:schemeClr w14:val="tx1"/>
            </w14:solidFill>
          </w14:textFill>
        </w:rPr>
        <w:t>与《</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哈密市伊州区</w:t>
      </w:r>
      <w:r>
        <w:rPr>
          <w:rFonts w:hint="eastAsia" w:ascii="Times New Roman" w:hAnsi="Times New Roman" w:eastAsia="宋体" w:cs="Times New Roman"/>
          <w:bCs w:val="0"/>
          <w:color w:val="000000" w:themeColor="text1"/>
          <w:kern w:val="2"/>
          <w:szCs w:val="24"/>
          <w14:textFill>
            <w14:solidFill>
              <w14:schemeClr w14:val="tx1"/>
            </w14:solidFill>
          </w14:textFill>
        </w:rPr>
        <w:t>矿产资源总体规划（20</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21</w:t>
      </w:r>
      <w:r>
        <w:rPr>
          <w:rFonts w:hint="eastAsia" w:ascii="Times New Roman" w:hAnsi="Times New Roman" w:eastAsia="宋体" w:cs="Times New Roman"/>
          <w:bCs w:val="0"/>
          <w:color w:val="000000" w:themeColor="text1"/>
          <w:kern w:val="2"/>
          <w:szCs w:val="24"/>
          <w14:textFill>
            <w14:solidFill>
              <w14:schemeClr w14:val="tx1"/>
            </w14:solidFill>
          </w14:textFill>
        </w:rPr>
        <w:t>-202</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5</w:t>
      </w:r>
      <w:r>
        <w:rPr>
          <w:rFonts w:hint="eastAsia" w:ascii="Times New Roman" w:hAnsi="Times New Roman" w:eastAsia="宋体" w:cs="Times New Roman"/>
          <w:bCs w:val="0"/>
          <w:color w:val="000000" w:themeColor="text1"/>
          <w:kern w:val="2"/>
          <w:szCs w:val="24"/>
          <w14:textFill>
            <w14:solidFill>
              <w14:schemeClr w14:val="tx1"/>
            </w14:solidFill>
          </w14:textFill>
        </w:rPr>
        <w:t>年）》的符合性分析</w:t>
      </w:r>
    </w:p>
    <w:p w14:paraId="5A65DC9A">
      <w:pPr>
        <w:pStyle w:val="202"/>
        <w:spacing w:line="480" w:lineRule="exact"/>
        <w:ind w:firstLine="480"/>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哈密市伊州区</w:t>
      </w:r>
      <w:r>
        <w:rPr>
          <w:rFonts w:hint="eastAsia" w:ascii="Times New Roman" w:hAnsi="Times New Roman" w:eastAsia="宋体" w:cs="Times New Roman"/>
          <w:bCs w:val="0"/>
          <w:color w:val="000000" w:themeColor="text1"/>
          <w:kern w:val="2"/>
          <w:szCs w:val="24"/>
          <w14:textFill>
            <w14:solidFill>
              <w14:schemeClr w14:val="tx1"/>
            </w14:solidFill>
          </w14:textFill>
        </w:rPr>
        <w:t>矿产资源总体规划（20</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21</w:t>
      </w:r>
      <w:r>
        <w:rPr>
          <w:rFonts w:hint="eastAsia" w:ascii="Times New Roman" w:hAnsi="Times New Roman" w:eastAsia="宋体" w:cs="Times New Roman"/>
          <w:bCs w:val="0"/>
          <w:color w:val="000000" w:themeColor="text1"/>
          <w:kern w:val="2"/>
          <w:szCs w:val="24"/>
          <w14:textFill>
            <w14:solidFill>
              <w14:schemeClr w14:val="tx1"/>
            </w14:solidFill>
          </w14:textFill>
        </w:rPr>
        <w:t>-202</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5</w:t>
      </w:r>
      <w:r>
        <w:rPr>
          <w:rFonts w:hint="eastAsia" w:ascii="Times New Roman" w:hAnsi="Times New Roman" w:eastAsia="宋体" w:cs="Times New Roman"/>
          <w:bCs w:val="0"/>
          <w:color w:val="000000" w:themeColor="text1"/>
          <w:kern w:val="2"/>
          <w:szCs w:val="24"/>
          <w14:textFill>
            <w14:solidFill>
              <w14:schemeClr w14:val="tx1"/>
            </w14:solidFill>
          </w14:textFill>
        </w:rPr>
        <w:t>年）</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eastAsia="zh-CN"/>
          <w14:textFill>
            <w14:solidFill>
              <w14:schemeClr w14:val="tx1"/>
            </w14:solidFill>
          </w14:textFill>
        </w:rPr>
        <w:t>“重点勘查开采矿种：煤、煤层气、油页岩等能源矿产，</w:t>
      </w:r>
      <w:r>
        <w:rPr>
          <w:rFonts w:hint="eastAsia" w:ascii="Times New Roman" w:hAnsi="Times New Roman" w:eastAsia="宋体"/>
          <w:b/>
          <w:bCs/>
          <w:color w:val="000000" w:themeColor="text1"/>
          <w:lang w:eastAsia="zh-CN"/>
          <w14:textFill>
            <w14:solidFill>
              <w14:schemeClr w14:val="tx1"/>
            </w14:solidFill>
          </w14:textFill>
        </w:rPr>
        <w:t>铁</w:t>
      </w:r>
      <w:r>
        <w:rPr>
          <w:rFonts w:hint="eastAsia" w:ascii="Times New Roman" w:hAnsi="Times New Roman" w:eastAsia="宋体"/>
          <w:color w:val="000000" w:themeColor="text1"/>
          <w:lang w:eastAsia="zh-CN"/>
          <w14:textFill>
            <w14:solidFill>
              <w14:schemeClr w14:val="tx1"/>
            </w14:solidFill>
          </w14:textFill>
        </w:rPr>
        <w:t>、铜、镍、锌、金、钒、钛等金属矿产，以及硅质原料、花岗岩等非金属矿产。”</w:t>
      </w:r>
      <w:r>
        <w:rPr>
          <w:rFonts w:hint="eastAsia" w:ascii="Times New Roman" w:hAnsi="Times New Roman" w:eastAsia="宋体"/>
          <w:color w:val="000000" w:themeColor="text1"/>
          <w:lang w:val="en-US" w:eastAsia="zh-CN"/>
          <w14:textFill>
            <w14:solidFill>
              <w14:schemeClr w14:val="tx1"/>
            </w14:solidFill>
          </w14:textFill>
        </w:rPr>
        <w:t>……“金属矿产以金矿、铜镍矿、</w:t>
      </w:r>
      <w:r>
        <w:rPr>
          <w:rFonts w:hint="eastAsia" w:ascii="Times New Roman" w:hAnsi="Times New Roman" w:eastAsia="宋体"/>
          <w:b/>
          <w:bCs/>
          <w:color w:val="000000" w:themeColor="text1"/>
          <w:lang w:val="en-US" w:eastAsia="zh-CN"/>
          <w14:textFill>
            <w14:solidFill>
              <w14:schemeClr w14:val="tx1"/>
            </w14:solidFill>
          </w14:textFill>
        </w:rPr>
        <w:t>铁矿</w:t>
      </w:r>
      <w:r>
        <w:rPr>
          <w:rFonts w:hint="eastAsia" w:ascii="Times New Roman" w:hAnsi="Times New Roman" w:eastAsia="宋体"/>
          <w:color w:val="000000" w:themeColor="text1"/>
          <w:lang w:val="en-US" w:eastAsia="zh-CN"/>
          <w14:textFill>
            <w14:solidFill>
              <w14:schemeClr w14:val="tx1"/>
            </w14:solidFill>
          </w14:textFill>
        </w:rPr>
        <w:t>、钒钛磁铁矿、钼矿等为主。加大金属矿产勘查和开发力度，加强对共伴生矿综合利用管理，重点发展钛合金、镁合金等新材料，打造钒钛矿海绵钛-钛材加工-钛制品、镁-镁材加工-镁制品和钛白粉产业链，推动高品质海绵钛规模化生产，发展高品质镁合金等新型轻合金产品。推动矿产品技术升级。”规划重点开采区9个，哈密市M1033铁矿重点开采区为其中编号ZK05的重点开采区。矿产资源开发利用重点工程中的“3.黑色金属矿产资源开发”，“以哈密天湖铁矿重点开采区、</w:t>
      </w:r>
      <w:r>
        <w:rPr>
          <w:rFonts w:hint="eastAsia" w:ascii="Times New Roman" w:hAnsi="Times New Roman" w:eastAsia="宋体"/>
          <w:b/>
          <w:bCs/>
          <w:color w:val="000000" w:themeColor="text1"/>
          <w:lang w:val="en-US" w:eastAsia="zh-CN"/>
          <w14:textFill>
            <w14:solidFill>
              <w14:schemeClr w14:val="tx1"/>
            </w14:solidFill>
          </w14:textFill>
        </w:rPr>
        <w:t>M1033一带铁矿重点开采区</w:t>
      </w:r>
      <w:r>
        <w:rPr>
          <w:rFonts w:hint="eastAsia" w:ascii="Times New Roman" w:hAnsi="Times New Roman" w:eastAsia="宋体"/>
          <w:color w:val="000000" w:themeColor="text1"/>
          <w:lang w:val="en-US" w:eastAsia="zh-CN"/>
          <w14:textFill>
            <w14:solidFill>
              <w14:schemeClr w14:val="tx1"/>
            </w14:solidFill>
          </w14:textFill>
        </w:rPr>
        <w:t>为基础，整合尾亚等区域小型的铁矿矿山，加大铁矿、钛铁矿的开发力度，发展壮大东南部黑色及有色金属加工区。加强科技研发，推进低品位钒钛磁铁矿的综合开发利用。”</w:t>
      </w:r>
    </w:p>
    <w:p w14:paraId="53348714">
      <w:pPr>
        <w:pStyle w:val="202"/>
        <w:spacing w:line="480" w:lineRule="exact"/>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本项目位于</w:t>
      </w:r>
      <w:r>
        <w:rPr>
          <w:rFonts w:hint="eastAsia" w:ascii="Times New Roman" w:hAnsi="Times New Roman" w:eastAsia="宋体"/>
          <w:color w:val="000000" w:themeColor="text1"/>
          <w14:textFill>
            <w14:solidFill>
              <w14:schemeClr w14:val="tx1"/>
            </w14:solidFill>
          </w14:textFill>
        </w:rPr>
        <w:t>哈密市168°方位（与哈密市直线距离约179km），哈密市伊州区雅满苏镇以南约70km处</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属于《</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哈密市伊州区</w:t>
      </w:r>
      <w:r>
        <w:rPr>
          <w:rFonts w:hint="eastAsia" w:ascii="Times New Roman" w:hAnsi="Times New Roman" w:eastAsia="宋体" w:cs="Times New Roman"/>
          <w:bCs w:val="0"/>
          <w:color w:val="000000" w:themeColor="text1"/>
          <w:kern w:val="2"/>
          <w:szCs w:val="24"/>
          <w14:textFill>
            <w14:solidFill>
              <w14:schemeClr w14:val="tx1"/>
            </w14:solidFill>
          </w14:textFill>
        </w:rPr>
        <w:t>矿产资源总体规划（20</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21</w:t>
      </w:r>
      <w:r>
        <w:rPr>
          <w:rFonts w:hint="eastAsia" w:ascii="Times New Roman" w:hAnsi="Times New Roman" w:eastAsia="宋体" w:cs="Times New Roman"/>
          <w:bCs w:val="0"/>
          <w:color w:val="000000" w:themeColor="text1"/>
          <w:kern w:val="2"/>
          <w:szCs w:val="24"/>
          <w14:textFill>
            <w14:solidFill>
              <w14:schemeClr w14:val="tx1"/>
            </w14:solidFill>
          </w14:textFill>
        </w:rPr>
        <w:t>-202</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5</w:t>
      </w:r>
      <w:r>
        <w:rPr>
          <w:rFonts w:hint="eastAsia" w:ascii="Times New Roman" w:hAnsi="Times New Roman" w:eastAsia="宋体" w:cs="Times New Roman"/>
          <w:bCs w:val="0"/>
          <w:color w:val="000000" w:themeColor="text1"/>
          <w:kern w:val="2"/>
          <w:szCs w:val="24"/>
          <w14:textFill>
            <w14:solidFill>
              <w14:schemeClr w14:val="tx1"/>
            </w14:solidFill>
          </w14:textFill>
        </w:rPr>
        <w:t>年）</w:t>
      </w:r>
      <w:r>
        <w:rPr>
          <w:rFonts w:hint="eastAsia" w:ascii="Times New Roman" w:hAnsi="Times New Roman" w:eastAsia="宋体"/>
          <w:color w:val="000000" w:themeColor="text1"/>
          <w14:textFill>
            <w14:solidFill>
              <w14:schemeClr w14:val="tx1"/>
            </w14:solidFill>
          </w14:textFill>
        </w:rPr>
        <w:t>》中的M1033一带铁矿重点开采区。项目为铁矿石开采项目，属于哈密市主要鼓励开采的矿种。</w:t>
      </w:r>
      <w:r>
        <w:rPr>
          <w:rFonts w:ascii="Times New Roman" w:hAnsi="Times New Roman" w:eastAsia="宋体"/>
          <w:color w:val="000000" w:themeColor="text1"/>
          <w14:textFill>
            <w14:solidFill>
              <w14:schemeClr w14:val="tx1"/>
            </w14:solidFill>
          </w14:textFill>
        </w:rPr>
        <w:t>本项目的建设符合</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哈密市伊州区</w:t>
      </w:r>
      <w:r>
        <w:rPr>
          <w:rFonts w:hint="eastAsia" w:ascii="Times New Roman" w:hAnsi="Times New Roman" w:eastAsia="宋体" w:cs="Times New Roman"/>
          <w:bCs w:val="0"/>
          <w:color w:val="000000" w:themeColor="text1"/>
          <w:kern w:val="2"/>
          <w:szCs w:val="24"/>
          <w14:textFill>
            <w14:solidFill>
              <w14:schemeClr w14:val="tx1"/>
            </w14:solidFill>
          </w14:textFill>
        </w:rPr>
        <w:t>矿产资源总体规划（20</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21</w:t>
      </w:r>
      <w:r>
        <w:rPr>
          <w:rFonts w:hint="eastAsia" w:ascii="Times New Roman" w:hAnsi="Times New Roman" w:eastAsia="宋体" w:cs="Times New Roman"/>
          <w:bCs w:val="0"/>
          <w:color w:val="000000" w:themeColor="text1"/>
          <w:kern w:val="2"/>
          <w:szCs w:val="24"/>
          <w14:textFill>
            <w14:solidFill>
              <w14:schemeClr w14:val="tx1"/>
            </w14:solidFill>
          </w14:textFill>
        </w:rPr>
        <w:t>-202</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5</w:t>
      </w:r>
      <w:r>
        <w:rPr>
          <w:rFonts w:hint="eastAsia" w:ascii="Times New Roman" w:hAnsi="Times New Roman" w:eastAsia="宋体" w:cs="Times New Roman"/>
          <w:bCs w:val="0"/>
          <w:color w:val="000000" w:themeColor="text1"/>
          <w:kern w:val="2"/>
          <w:szCs w:val="24"/>
          <w14:textFill>
            <w14:solidFill>
              <w14:schemeClr w14:val="tx1"/>
            </w14:solidFill>
          </w14:textFill>
        </w:rPr>
        <w:t>年）</w:t>
      </w:r>
      <w:r>
        <w:rPr>
          <w:rFonts w:hint="eastAsia" w:ascii="Times New Roman" w:hAnsi="Times New Roman" w:eastAsia="宋体"/>
          <w:color w:val="000000" w:themeColor="text1"/>
          <w14:textFill>
            <w14:solidFill>
              <w14:schemeClr w14:val="tx1"/>
            </w14:solidFill>
          </w14:textFill>
        </w:rPr>
        <w:t>》中的相关要求</w:t>
      </w:r>
      <w:r>
        <w:rPr>
          <w:rFonts w:ascii="Times New Roman" w:hAnsi="Times New Roman" w:eastAsia="宋体"/>
          <w:color w:val="000000" w:themeColor="text1"/>
          <w14:textFill>
            <w14:solidFill>
              <w14:schemeClr w14:val="tx1"/>
            </w14:solidFill>
          </w14:textFill>
        </w:rPr>
        <w:t>。</w:t>
      </w:r>
    </w:p>
    <w:p w14:paraId="4BC9046D">
      <w:pPr>
        <w:pStyle w:val="4"/>
        <w:spacing w:before="60" w:after="60" w:line="480" w:lineRule="exact"/>
        <w:rPr>
          <w:color w:val="000000" w:themeColor="text1"/>
          <w:kern w:val="2"/>
          <w14:textFill>
            <w14:solidFill>
              <w14:schemeClr w14:val="tx1"/>
            </w14:solidFill>
          </w14:textFill>
        </w:rPr>
      </w:pPr>
      <w:bookmarkStart w:id="324" w:name="_Toc9197"/>
      <w:bookmarkStart w:id="325" w:name="_Toc31538"/>
      <w:r>
        <w:rPr>
          <w:rFonts w:hint="eastAsia"/>
          <w:color w:val="000000" w:themeColor="text1"/>
          <w:kern w:val="2"/>
          <w14:textFill>
            <w14:solidFill>
              <w14:schemeClr w14:val="tx1"/>
            </w14:solidFill>
          </w14:textFill>
        </w:rPr>
        <w:t>3.4</w:t>
      </w:r>
      <w:r>
        <w:rPr>
          <w:color w:val="000000" w:themeColor="text1"/>
          <w:kern w:val="2"/>
          <w14:textFill>
            <w14:solidFill>
              <w14:schemeClr w14:val="tx1"/>
            </w14:solidFill>
          </w14:textFill>
        </w:rPr>
        <w:t>.3相关条例符合性分析</w:t>
      </w:r>
      <w:bookmarkEnd w:id="324"/>
      <w:bookmarkEnd w:id="325"/>
    </w:p>
    <w:p w14:paraId="46854961">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3.4.</w:t>
      </w:r>
      <w:r>
        <w:rPr>
          <w:rFonts w:hint="eastAsia" w:ascii="Times New Roman" w:hAnsi="Times New Roman"/>
          <w:bCs w:val="0"/>
          <w:color w:val="000000" w:themeColor="text1"/>
          <w:kern w:val="2"/>
          <w:szCs w:val="24"/>
          <w14:textFill>
            <w14:solidFill>
              <w14:schemeClr w14:val="tx1"/>
            </w14:solidFill>
          </w14:textFill>
        </w:rPr>
        <w:t>3</w:t>
      </w:r>
      <w:r>
        <w:rPr>
          <w:rFonts w:ascii="Times New Roman" w:hAnsi="Times New Roman"/>
          <w:bCs w:val="0"/>
          <w:color w:val="000000" w:themeColor="text1"/>
          <w:kern w:val="2"/>
          <w:szCs w:val="24"/>
          <w14:textFill>
            <w14:solidFill>
              <w14:schemeClr w14:val="tx1"/>
            </w14:solidFill>
          </w14:textFill>
        </w:rPr>
        <w:t>.1</w:t>
      </w:r>
      <w:r>
        <w:rPr>
          <w:rFonts w:hint="eastAsia" w:ascii="Times New Roman" w:hAnsi="Times New Roman"/>
          <w:bCs w:val="0"/>
          <w:color w:val="000000" w:themeColor="text1"/>
          <w:kern w:val="2"/>
          <w:szCs w:val="24"/>
          <w14:textFill>
            <w14:solidFill>
              <w14:schemeClr w14:val="tx1"/>
            </w14:solidFill>
          </w14:textFill>
        </w:rPr>
        <w:t>与《新疆维吾尔自治区环境保护条例》的符合性分析</w:t>
      </w:r>
    </w:p>
    <w:p w14:paraId="7B670DA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根据《新疆维吾尔自治区环境保护条例》第三十条规定</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任何单位和个人不得在水源涵养区、饮用水水源保护区内和河流、湖泊、水库周围建设重化工、涉重金属等工业污染项目；对已建成的工业污染项目，当地人民政府应当组织限期搬迁。</w:t>
      </w:r>
      <w:r>
        <w:rPr>
          <w:rFonts w:hint="eastAsia"/>
          <w:color w:val="000000" w:themeColor="text1"/>
          <w:sz w:val="24"/>
          <w14:textFill>
            <w14:solidFill>
              <w14:schemeClr w14:val="tx1"/>
            </w14:solidFill>
          </w14:textFill>
        </w:rPr>
        <w:t>”</w:t>
      </w:r>
    </w:p>
    <w:p w14:paraId="54C6C56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本项目属于铁矿矿产开发项目，</w:t>
      </w:r>
      <w:r>
        <w:rPr>
          <w:rFonts w:hint="eastAsia"/>
          <w:color w:val="000000" w:themeColor="text1"/>
          <w:sz w:val="24"/>
          <w14:textFill>
            <w14:solidFill>
              <w14:schemeClr w14:val="tx1"/>
            </w14:solidFill>
          </w14:textFill>
        </w:rPr>
        <w:t>不属于化工、涉重金属的工业污染项目，</w:t>
      </w:r>
      <w:r>
        <w:rPr>
          <w:color w:val="000000" w:themeColor="text1"/>
          <w:sz w:val="24"/>
          <w14:textFill>
            <w14:solidFill>
              <w14:schemeClr w14:val="tx1"/>
            </w14:solidFill>
          </w14:textFill>
        </w:rPr>
        <w:t>项目区位置不属于水源涵养区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水源保护区等上述禁采区内，</w:t>
      </w:r>
      <w:r>
        <w:rPr>
          <w:rFonts w:hint="eastAsia"/>
          <w:color w:val="000000" w:themeColor="text1"/>
          <w:sz w:val="24"/>
          <w14:textFill>
            <w14:solidFill>
              <w14:schemeClr w14:val="tx1"/>
            </w14:solidFill>
          </w14:textFill>
        </w:rPr>
        <w:t>因此，本项目符合</w:t>
      </w:r>
      <w:r>
        <w:rPr>
          <w:color w:val="000000" w:themeColor="text1"/>
          <w:sz w:val="24"/>
          <w14:textFill>
            <w14:solidFill>
              <w14:schemeClr w14:val="tx1"/>
            </w14:solidFill>
          </w14:textFill>
        </w:rPr>
        <w:t>《新疆维吾尔自治区环境保护条例》</w:t>
      </w:r>
      <w:r>
        <w:rPr>
          <w:rFonts w:hint="eastAsia"/>
          <w:color w:val="000000" w:themeColor="text1"/>
          <w:sz w:val="24"/>
          <w14:textFill>
            <w14:solidFill>
              <w14:schemeClr w14:val="tx1"/>
            </w14:solidFill>
          </w14:textFill>
        </w:rPr>
        <w:t>的相关要求。</w:t>
      </w:r>
    </w:p>
    <w:p w14:paraId="28833A7B">
      <w:pPr>
        <w:pStyle w:val="5"/>
        <w:spacing w:before="0" w:after="0" w:line="480" w:lineRule="exact"/>
        <w:ind w:firstLine="482"/>
        <w:rPr>
          <w:rFonts w:hint="eastAsia" w:ascii="Times New Roman" w:hAnsi="Times New Roman"/>
          <w:bCs w:val="0"/>
          <w:color w:val="000000" w:themeColor="text1"/>
          <w:kern w:val="2"/>
          <w:szCs w:val="24"/>
          <w:lang w:eastAsia="zh-Hans"/>
          <w14:textFill>
            <w14:solidFill>
              <w14:schemeClr w14:val="tx1"/>
            </w14:solidFill>
          </w14:textFill>
        </w:rPr>
      </w:pPr>
      <w:r>
        <w:rPr>
          <w:rFonts w:ascii="Times New Roman" w:hAnsi="Times New Roman"/>
          <w:bCs w:val="0"/>
          <w:color w:val="000000" w:themeColor="text1"/>
          <w:kern w:val="2"/>
          <w:szCs w:val="24"/>
          <w:lang w:eastAsia="zh-Hans"/>
          <w14:textFill>
            <w14:solidFill>
              <w14:schemeClr w14:val="tx1"/>
            </w14:solidFill>
          </w14:textFill>
        </w:rPr>
        <w:t>3.4</w:t>
      </w:r>
      <w:r>
        <w:rPr>
          <w:rFonts w:hint="eastAsia" w:ascii="Times New Roman" w:hAnsi="Times New Roman"/>
          <w:bCs w:val="0"/>
          <w:color w:val="000000" w:themeColor="text1"/>
          <w:kern w:val="2"/>
          <w:szCs w:val="24"/>
          <w:lang w:eastAsia="zh-Hans"/>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lang w:eastAsia="zh-Hans"/>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2</w:t>
      </w:r>
      <w:r>
        <w:rPr>
          <w:rFonts w:hint="eastAsia" w:ascii="Times New Roman" w:hAnsi="Times New Roman"/>
          <w:bCs w:val="0"/>
          <w:color w:val="000000" w:themeColor="text1"/>
          <w:kern w:val="2"/>
          <w:szCs w:val="24"/>
          <w:lang w:eastAsia="zh-Hans"/>
          <w14:textFill>
            <w14:solidFill>
              <w14:schemeClr w14:val="tx1"/>
            </w14:solidFill>
          </w14:textFill>
        </w:rPr>
        <w:t>与</w:t>
      </w:r>
      <w:r>
        <w:rPr>
          <w:rFonts w:ascii="Times New Roman" w:hAnsi="Times New Roman"/>
          <w:bCs w:val="0"/>
          <w:color w:val="000000" w:themeColor="text1"/>
          <w:kern w:val="2"/>
          <w:szCs w:val="24"/>
          <w:lang w:eastAsia="zh-Hans"/>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新疆维吾尔自治区矿产资源管理条例</w:t>
      </w:r>
      <w:r>
        <w:rPr>
          <w:rFonts w:ascii="Times New Roman" w:hAnsi="Times New Roman"/>
          <w:bCs w:val="0"/>
          <w:color w:val="000000" w:themeColor="text1"/>
          <w:kern w:val="2"/>
          <w:szCs w:val="24"/>
          <w14:textFill>
            <w14:solidFill>
              <w14:schemeClr w14:val="tx1"/>
            </w14:solidFill>
          </w14:textFill>
        </w:rPr>
        <w:t>》</w:t>
      </w:r>
      <w:r>
        <w:rPr>
          <w:rFonts w:hint="eastAsia" w:ascii="Times New Roman" w:hAnsi="Times New Roman"/>
          <w:bCs w:val="0"/>
          <w:color w:val="000000" w:themeColor="text1"/>
          <w:kern w:val="2"/>
          <w:szCs w:val="24"/>
          <w:lang w:eastAsia="zh-Hans"/>
          <w14:textFill>
            <w14:solidFill>
              <w14:schemeClr w14:val="tx1"/>
            </w14:solidFill>
          </w14:textFill>
        </w:rPr>
        <w:t>的符合性分析</w:t>
      </w:r>
    </w:p>
    <w:p w14:paraId="4519143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根据《新疆维吾尔自治区矿产资源管理条例》第五条指出：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勘查、开采矿产资源，应当加强水土保持、土地复垦和环境保护工作，加强地质环境保护、监测和地质灾害的整治工作。</w:t>
      </w:r>
      <w:r>
        <w:rPr>
          <w:rFonts w:hint="eastAsia"/>
          <w:color w:val="000000" w:themeColor="text1"/>
          <w:sz w:val="24"/>
          <w14:textFill>
            <w14:solidFill>
              <w14:schemeClr w14:val="tx1"/>
            </w14:solidFill>
          </w14:textFill>
        </w:rPr>
        <w:t>”</w:t>
      </w:r>
    </w:p>
    <w:p w14:paraId="3BD724F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第三十五条提出：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开采矿产资源，必须遵守国家、自治区土地、草原、森林、环保、文物保护、水法等法律法规。开采矿产资源造成矿山地质环境、生态环境破坏的，应当治理恢复；给他人生产、生活造成损害的，依法予以补偿，并采取必要的补救措施。</w:t>
      </w:r>
      <w:r>
        <w:rPr>
          <w:rFonts w:hint="eastAsia"/>
          <w:color w:val="000000" w:themeColor="text1"/>
          <w:sz w:val="24"/>
          <w14:textFill>
            <w14:solidFill>
              <w14:schemeClr w14:val="tx1"/>
            </w14:solidFill>
          </w14:textFill>
        </w:rPr>
        <w:t>”</w:t>
      </w:r>
    </w:p>
    <w:p w14:paraId="49F5BEB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本项目属于铁矿开采项目，对矿山在开采过程中产生的生态环境、土地等破坏，按照</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边开采，边治理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方针，严格落实矿山生态环境治理恢复方案，要做到预防为主，针对存在的问题，制定预防措施，对生产中出现的问题要及时采取相应的措施予以解决，达到防灾、减灾的目的。因此，本项目建设符合《新疆维吾尔自治区矿产资源管理条例》的</w:t>
      </w:r>
      <w:r>
        <w:rPr>
          <w:rFonts w:hint="eastAsia"/>
          <w:color w:val="000000" w:themeColor="text1"/>
          <w:sz w:val="24"/>
          <w:lang w:val="en-US" w:eastAsia="zh-CN"/>
          <w14:textFill>
            <w14:solidFill>
              <w14:schemeClr w14:val="tx1"/>
            </w14:solidFill>
          </w14:textFill>
        </w:rPr>
        <w:t>相关</w:t>
      </w:r>
      <w:r>
        <w:rPr>
          <w:color w:val="000000" w:themeColor="text1"/>
          <w:sz w:val="24"/>
          <w14:textFill>
            <w14:solidFill>
              <w14:schemeClr w14:val="tx1"/>
            </w14:solidFill>
          </w14:textFill>
        </w:rPr>
        <w:t>要求。</w:t>
      </w:r>
    </w:p>
    <w:p w14:paraId="0DBEF1BC">
      <w:pPr>
        <w:pStyle w:val="5"/>
        <w:ind w:firstLine="482"/>
        <w:rPr>
          <w:rFonts w:ascii="Times New Roman" w:hAnsi="Times New Roman"/>
          <w:color w:val="000000" w:themeColor="text1"/>
          <w:lang w:eastAsia="zh-Hans"/>
          <w14:textFill>
            <w14:solidFill>
              <w14:schemeClr w14:val="tx1"/>
            </w14:solidFill>
          </w14:textFill>
        </w:rPr>
      </w:pPr>
      <w:r>
        <w:rPr>
          <w:rFonts w:hint="eastAsia" w:ascii="Times New Roman" w:hAnsi="Times New Roman"/>
          <w:color w:val="000000" w:themeColor="text1"/>
          <w14:textFill>
            <w14:solidFill>
              <w14:schemeClr w14:val="tx1"/>
            </w14:solidFill>
          </w14:textFill>
        </w:rPr>
        <w:t>3.4</w:t>
      </w:r>
      <w:r>
        <w:rPr>
          <w:rFonts w:hint="eastAsia" w:ascii="Times New Roman" w:hAnsi="Times New Roman"/>
          <w:bCs w:val="0"/>
          <w:color w:val="000000" w:themeColor="text1"/>
          <w:kern w:val="2"/>
          <w:szCs w:val="24"/>
          <w:lang w:eastAsia="zh-Hans"/>
          <w14:textFill>
            <w14:solidFill>
              <w14:schemeClr w14:val="tx1"/>
            </w14:solidFill>
          </w14:textFill>
        </w:rPr>
        <w:t>.</w:t>
      </w:r>
      <w:r>
        <w:rPr>
          <w:rFonts w:hint="eastAsia"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lang w:eastAsia="zh-Hans"/>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3</w:t>
      </w:r>
      <w:r>
        <w:rPr>
          <w:rFonts w:ascii="Times New Roman" w:hAnsi="Times New Roman"/>
          <w:color w:val="000000" w:themeColor="text1"/>
          <w:lang w:eastAsia="zh-Hans"/>
          <w14:textFill>
            <w14:solidFill>
              <w14:schemeClr w14:val="tx1"/>
            </w14:solidFill>
          </w14:textFill>
        </w:rPr>
        <w:t>与《新疆维吾尔自治区大气污染防治条例》的符合性分析</w:t>
      </w:r>
    </w:p>
    <w:p w14:paraId="4D83E7AD">
      <w:pPr>
        <w:spacing w:line="480" w:lineRule="exact"/>
        <w:ind w:firstLine="480" w:firstLineChars="200"/>
        <w:rPr>
          <w:color w:val="000000" w:themeColor="text1"/>
          <w:sz w:val="24"/>
          <w:lang w:val="de-DE"/>
          <w14:textFill>
            <w14:solidFill>
              <w14:schemeClr w14:val="tx1"/>
            </w14:solidFill>
          </w14:textFill>
        </w:rPr>
      </w:pPr>
      <w:r>
        <w:rPr>
          <w:color w:val="000000" w:themeColor="text1"/>
          <w:sz w:val="24"/>
          <w:lang w:val="de-DE"/>
          <w14:textFill>
            <w14:solidFill>
              <w14:schemeClr w14:val="tx1"/>
            </w14:solidFill>
          </w14:textFill>
        </w:rPr>
        <w:t>根据《新疆维吾尔自治区大气污染防治条例》（2019年1月1日实施）中第四十四条：</w:t>
      </w:r>
      <w:r>
        <w:rPr>
          <w:rFonts w:hint="eastAsia"/>
          <w:color w:val="000000" w:themeColor="text1"/>
          <w:sz w:val="24"/>
          <w:lang w:val="de-DE"/>
          <w14:textFill>
            <w14:solidFill>
              <w14:schemeClr w14:val="tx1"/>
            </w14:solidFill>
          </w14:textFill>
        </w:rPr>
        <w:t>“</w:t>
      </w:r>
      <w:r>
        <w:rPr>
          <w:color w:val="000000" w:themeColor="text1"/>
          <w:sz w:val="24"/>
          <w:lang w:val="de-DE"/>
          <w14:textFill>
            <w14:solidFill>
              <w14:schemeClr w14:val="tx1"/>
            </w14:solidFill>
          </w14:textFill>
        </w:rPr>
        <w:t>矿山开采产生的废石、废渣、泥土等应当堆放到专门存放地，并采取围挡、设置防尘网或者防尘布等防尘措施；施工便道应当硬化。</w:t>
      </w:r>
    </w:p>
    <w:p w14:paraId="09AFC21A">
      <w:pPr>
        <w:spacing w:line="480" w:lineRule="exact"/>
        <w:ind w:firstLine="480" w:firstLineChars="200"/>
        <w:rPr>
          <w:color w:val="000000" w:themeColor="text1"/>
          <w:sz w:val="24"/>
          <w:lang w:val="de-DE"/>
          <w14:textFill>
            <w14:solidFill>
              <w14:schemeClr w14:val="tx1"/>
            </w14:solidFill>
          </w14:textFill>
        </w:rPr>
      </w:pPr>
      <w:r>
        <w:rPr>
          <w:color w:val="000000" w:themeColor="text1"/>
          <w:sz w:val="24"/>
          <w:lang w:val="de-DE"/>
          <w14:textFill>
            <w14:solidFill>
              <w14:schemeClr w14:val="tx1"/>
            </w14:solidFill>
          </w14:textFill>
        </w:rPr>
        <w:t>在采石、采砂和其他矿产资源开采过程中，或者在停办、关闭矿山前，采矿权人应当整修被损坏的道路和露天采矿场的边坡、断面，恢复原有地貌，并按照规定处置矿山开采废弃物，防止扬尘污染。</w:t>
      </w:r>
      <w:r>
        <w:rPr>
          <w:rFonts w:hint="eastAsia"/>
          <w:color w:val="000000" w:themeColor="text1"/>
          <w:sz w:val="24"/>
          <w:lang w:val="de-DE"/>
          <w14:textFill>
            <w14:solidFill>
              <w14:schemeClr w14:val="tx1"/>
            </w14:solidFill>
          </w14:textFill>
        </w:rPr>
        <w:t>”</w:t>
      </w:r>
    </w:p>
    <w:p w14:paraId="1B69860F">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（1）本项目施工期掘进废石堆放至规划新建的1号</w:t>
      </w:r>
      <w:r>
        <w:rPr>
          <w:color w:val="000000" w:themeColor="text1"/>
          <w:sz w:val="24"/>
          <w:szCs w:val="24"/>
          <w14:textFill>
            <w14:solidFill>
              <w14:schemeClr w14:val="tx1"/>
            </w14:solidFill>
          </w14:textFill>
        </w:rPr>
        <w:t>废石堆场</w:t>
      </w:r>
      <w:r>
        <w:rPr>
          <w:rFonts w:hint="eastAsia"/>
          <w:color w:val="000000" w:themeColor="text1"/>
          <w:sz w:val="24"/>
          <w:szCs w:val="24"/>
          <w14:textFill>
            <w14:solidFill>
              <w14:schemeClr w14:val="tx1"/>
            </w14:solidFill>
          </w14:textFill>
        </w:rPr>
        <w:t>。按照本次评价要求，废石堆场将采取设置围挡、警示牌、防风抑尘网等措施。</w:t>
      </w:r>
    </w:p>
    <w:p w14:paraId="3F17D0D2">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本项目</w:t>
      </w:r>
      <w:r>
        <w:rPr>
          <w:color w:val="000000" w:themeColor="text1"/>
          <w:sz w:val="24"/>
          <w:szCs w:val="24"/>
          <w:lang w:eastAsia="zh-Hans"/>
          <w14:textFill>
            <w14:solidFill>
              <w14:schemeClr w14:val="tx1"/>
            </w14:solidFill>
          </w14:textFill>
        </w:rPr>
        <w:t>施工道路均</w:t>
      </w:r>
      <w:r>
        <w:rPr>
          <w:color w:val="000000" w:themeColor="text1"/>
          <w:sz w:val="24"/>
          <w:szCs w:val="24"/>
          <w14:textFill>
            <w14:solidFill>
              <w14:schemeClr w14:val="tx1"/>
            </w14:solidFill>
          </w14:textFill>
        </w:rPr>
        <w:t>采用现有道路，</w:t>
      </w:r>
      <w:r>
        <w:rPr>
          <w:rFonts w:hint="eastAsia"/>
          <w:color w:val="000000" w:themeColor="text1"/>
          <w:sz w:val="24"/>
          <w:szCs w:val="24"/>
          <w14:textFill>
            <w14:solidFill>
              <w14:schemeClr w14:val="tx1"/>
            </w14:solidFill>
          </w14:textFill>
        </w:rPr>
        <w:t>施工便道应按照本次评价要求进行地面硬化。矿区内车辆限速，减少扬尘产生，</w:t>
      </w:r>
      <w:r>
        <w:rPr>
          <w:color w:val="000000" w:themeColor="text1"/>
          <w:sz w:val="24"/>
          <w:szCs w:val="24"/>
          <w:lang w:eastAsia="zh-Hans"/>
          <w14:textFill>
            <w14:solidFill>
              <w14:schemeClr w14:val="tx1"/>
            </w14:solidFill>
          </w14:textFill>
        </w:rPr>
        <w:t>运营期采用施工道路进行矿石及物资运输，不再另建新路，减少对项目区土壤及生态环境的影响</w:t>
      </w:r>
      <w:r>
        <w:rPr>
          <w:rFonts w:hint="eastAsia"/>
          <w:color w:val="000000" w:themeColor="text1"/>
          <w:sz w:val="24"/>
          <w:szCs w:val="24"/>
          <w14:textFill>
            <w14:solidFill>
              <w14:schemeClr w14:val="tx1"/>
            </w14:solidFill>
          </w14:textFill>
        </w:rPr>
        <w:t>。</w:t>
      </w:r>
    </w:p>
    <w:p w14:paraId="7AE5B447">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遵循“边开采，边治理”原则进行采矿工业场地的防治工程，其地形地貌景观的防治工程为：开采结束后，将区内地面建筑设施全部拆除，可再利用材料外运，废石回填采空区、封堵各井口，对场地及矿区道路进行平整处理，防止扬尘污染。</w:t>
      </w:r>
    </w:p>
    <w:p w14:paraId="73F98D5A">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综上，本项目对污染物的防治措施符合《新疆维吾尔自治区大气污染防治条例》（2019年1月1日实施）的相关要求。</w:t>
      </w:r>
    </w:p>
    <w:p w14:paraId="7D81C639">
      <w:pPr>
        <w:pStyle w:val="5"/>
        <w:ind w:firstLine="482"/>
        <w:rPr>
          <w:rFonts w:ascii="Times New Roman" w:hAnsi="Times New Roman"/>
          <w:color w:val="000000" w:themeColor="text1"/>
          <w:highlight w:val="none"/>
          <w:lang w:eastAsia="zh-Hans"/>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3.4</w:t>
      </w:r>
      <w:r>
        <w:rPr>
          <w:rFonts w:hint="eastAsia" w:ascii="Times New Roman" w:hAnsi="Times New Roman"/>
          <w:bCs w:val="0"/>
          <w:color w:val="000000" w:themeColor="text1"/>
          <w:kern w:val="2"/>
          <w:szCs w:val="24"/>
          <w:highlight w:val="none"/>
          <w:lang w:eastAsia="zh-Hans"/>
          <w14:textFill>
            <w14:solidFill>
              <w14:schemeClr w14:val="tx1"/>
            </w14:solidFill>
          </w14:textFill>
        </w:rPr>
        <w:t>.</w:t>
      </w:r>
      <w:r>
        <w:rPr>
          <w:rFonts w:hint="eastAsia" w:ascii="Times New Roman" w:hAnsi="Times New Roman"/>
          <w:bCs w:val="0"/>
          <w:color w:val="000000" w:themeColor="text1"/>
          <w:kern w:val="2"/>
          <w:szCs w:val="24"/>
          <w:highlight w:val="none"/>
          <w14:textFill>
            <w14:solidFill>
              <w14:schemeClr w14:val="tx1"/>
            </w14:solidFill>
          </w14:textFill>
        </w:rPr>
        <w:t>3</w:t>
      </w:r>
      <w:r>
        <w:rPr>
          <w:rFonts w:hint="eastAsia" w:ascii="Times New Roman" w:hAnsi="Times New Roman"/>
          <w:bCs w:val="0"/>
          <w:color w:val="000000" w:themeColor="text1"/>
          <w:kern w:val="2"/>
          <w:szCs w:val="24"/>
          <w:highlight w:val="none"/>
          <w:lang w:eastAsia="zh-Hans"/>
          <w14:textFill>
            <w14:solidFill>
              <w14:schemeClr w14:val="tx1"/>
            </w14:solidFill>
          </w14:textFill>
        </w:rPr>
        <w:t>.</w:t>
      </w:r>
      <w:r>
        <w:rPr>
          <w:rFonts w:hint="eastAsia" w:ascii="Times New Roman" w:hAnsi="Times New Roman"/>
          <w:bCs w:val="0"/>
          <w:color w:val="000000" w:themeColor="text1"/>
          <w:kern w:val="2"/>
          <w:szCs w:val="24"/>
          <w:highlight w:val="none"/>
          <w:lang w:val="en-US" w:eastAsia="zh-CN"/>
          <w14:textFill>
            <w14:solidFill>
              <w14:schemeClr w14:val="tx1"/>
            </w14:solidFill>
          </w14:textFill>
        </w:rPr>
        <w:t>4</w:t>
      </w:r>
      <w:r>
        <w:rPr>
          <w:rFonts w:ascii="Times New Roman" w:hAnsi="Times New Roman"/>
          <w:color w:val="000000" w:themeColor="text1"/>
          <w:highlight w:val="none"/>
          <w:lang w:eastAsia="zh-Hans"/>
          <w14:textFill>
            <w14:solidFill>
              <w14:schemeClr w14:val="tx1"/>
            </w14:solidFill>
          </w14:textFill>
        </w:rPr>
        <w:t>与《</w:t>
      </w:r>
      <w:r>
        <w:rPr>
          <w:rFonts w:hint="eastAsia" w:ascii="Times New Roman" w:hAnsi="Times New Roman"/>
          <w:color w:val="000000" w:themeColor="text1"/>
          <w:highlight w:val="none"/>
          <w:lang w:eastAsia="zh-Hans"/>
          <w14:textFill>
            <w14:solidFill>
              <w14:schemeClr w14:val="tx1"/>
            </w14:solidFill>
          </w14:textFill>
        </w:rPr>
        <w:t>哈密市戈壁生态环境保护条例</w:t>
      </w:r>
      <w:r>
        <w:rPr>
          <w:rFonts w:ascii="Times New Roman" w:hAnsi="Times New Roman"/>
          <w:color w:val="000000" w:themeColor="text1"/>
          <w:highlight w:val="none"/>
          <w:lang w:eastAsia="zh-Hans"/>
          <w14:textFill>
            <w14:solidFill>
              <w14:schemeClr w14:val="tx1"/>
            </w14:solidFill>
          </w14:textFill>
        </w:rPr>
        <w:t>》的符合性分析</w:t>
      </w:r>
    </w:p>
    <w:p w14:paraId="1982C0B4">
      <w:pPr>
        <w:spacing w:line="480" w:lineRule="exact"/>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lang w:val="de-DE"/>
          <w14:textFill>
            <w14:solidFill>
              <w14:schemeClr w14:val="tx1"/>
            </w14:solidFill>
          </w14:textFill>
        </w:rPr>
        <w:t>根据</w:t>
      </w:r>
      <w:r>
        <w:rPr>
          <w:rFonts w:hint="eastAsia"/>
          <w:color w:val="000000" w:themeColor="text1"/>
          <w:sz w:val="24"/>
          <w:lang w:val="de-DE"/>
          <w14:textFill>
            <w14:solidFill>
              <w14:schemeClr w14:val="tx1"/>
            </w14:solidFill>
          </w14:textFill>
        </w:rPr>
        <w:t>《哈密市戈壁生态环境保护条例》第十六条</w:t>
      </w:r>
      <w:r>
        <w:rPr>
          <w:rFonts w:hint="eastAsia"/>
          <w:color w:val="000000" w:themeColor="text1"/>
          <w:sz w:val="24"/>
          <w:lang w:val="de-DE" w:eastAsia="zh-CN"/>
          <w14:textFill>
            <w14:solidFill>
              <w14:schemeClr w14:val="tx1"/>
            </w14:solidFill>
          </w14:textFill>
        </w:rPr>
        <w:t>，“</w:t>
      </w:r>
      <w:r>
        <w:rPr>
          <w:rFonts w:hint="eastAsia"/>
          <w:color w:val="000000" w:themeColor="text1"/>
          <w:sz w:val="24"/>
          <w:lang w:val="de-DE"/>
          <w14:textFill>
            <w14:solidFill>
              <w14:schemeClr w14:val="tx1"/>
            </w14:solidFill>
          </w14:textFill>
        </w:rPr>
        <w:t>因能源、交通、水利、通信等基础设施建设和地质勘探等其他生产建设活动临时占用戈壁，造成戈壁生态功能破坏的，建设单位应当依法履行修复责任。</w:t>
      </w:r>
      <w:r>
        <w:rPr>
          <w:rFonts w:hint="eastAsia"/>
          <w:color w:val="000000" w:themeColor="text1"/>
          <w:sz w:val="24"/>
          <w:lang w:val="de-DE" w:eastAsia="zh-CN"/>
          <w14:textFill>
            <w14:solidFill>
              <w14:schemeClr w14:val="tx1"/>
            </w14:solidFill>
          </w14:textFill>
        </w:rPr>
        <w:t>”</w:t>
      </w:r>
    </w:p>
    <w:p w14:paraId="19CF82E2">
      <w:pPr>
        <w:spacing w:line="480" w:lineRule="exact"/>
        <w:ind w:firstLine="480" w:firstLineChars="200"/>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本项目</w:t>
      </w:r>
      <w:r>
        <w:rPr>
          <w:rFonts w:hint="eastAsia" w:ascii="Times New Roman" w:hAnsi="Times New Roman" w:eastAsia="宋体"/>
          <w:color w:val="000000" w:themeColor="text1"/>
          <w:sz w:val="24"/>
          <w14:textFill>
            <w14:solidFill>
              <w14:schemeClr w14:val="tx1"/>
            </w14:solidFill>
          </w14:textFill>
        </w:rPr>
        <w:t>土地利用现状为戈壁、裸岩石砾地</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其中西风井1工业场地、1号废石堆场、2号废石堆场均永久占用戈壁，势必造成</w:t>
      </w:r>
      <w:r>
        <w:rPr>
          <w:rFonts w:hint="eastAsia" w:ascii="Times New Roman" w:hAnsi="Times New Roman" w:eastAsia="宋体"/>
          <w:color w:val="000000" w:themeColor="text1"/>
          <w:sz w:val="24"/>
          <w:lang w:val="de-DE"/>
          <w14:textFill>
            <w14:solidFill>
              <w14:schemeClr w14:val="tx1"/>
            </w14:solidFill>
          </w14:textFill>
        </w:rPr>
        <w:t>戈壁生态功能破坏</w:t>
      </w:r>
      <w:r>
        <w:rPr>
          <w:rFonts w:hint="eastAsia" w:ascii="Times New Roman" w:hAnsi="Times New Roman" w:eastAsia="宋体"/>
          <w:color w:val="000000" w:themeColor="text1"/>
          <w:sz w:val="24"/>
          <w:lang w:val="de-DE"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本次评价提出，</w:t>
      </w:r>
      <w:r>
        <w:rPr>
          <w:rFonts w:ascii="Times New Roman" w:hAnsi="Times New Roman" w:eastAsia="宋体" w:cs="宋体"/>
          <w:color w:val="000000" w:themeColor="text1"/>
          <w:sz w:val="24"/>
          <w:szCs w:val="24"/>
          <w14:textFill>
            <w14:solidFill>
              <w14:schemeClr w14:val="tx1"/>
            </w14:solidFill>
          </w14:textFill>
        </w:rPr>
        <w:t>划定临时施工</w:t>
      </w:r>
      <w:r>
        <w:rPr>
          <w:rFonts w:hint="eastAsia" w:ascii="Times New Roman" w:hAnsi="Times New Roman" w:eastAsia="宋体" w:cs="宋体"/>
          <w:color w:val="000000" w:themeColor="text1"/>
          <w:sz w:val="24"/>
          <w:szCs w:val="24"/>
          <w:lang w:val="en-US" w:eastAsia="zh-CN"/>
          <w14:textFill>
            <w14:solidFill>
              <w14:schemeClr w14:val="tx1"/>
            </w14:solidFill>
          </w14:textFill>
        </w:rPr>
        <w:t>作业范围，减少对戈壁的压占，将表层砾石和结皮整体剥离（厚度≥10cm），转移至临时堆放区并苫盖，待项目闭矿期及时进行生态恢复，利用剥离的表层砾石和结皮，辅以黏土与细砂（比例1:3），压实后喷水固化，将</w:t>
      </w:r>
      <w:r>
        <w:rPr>
          <w:rFonts w:hint="eastAsia" w:ascii="Times New Roman" w:hAnsi="Times New Roman" w:eastAsia="宋体"/>
          <w:color w:val="000000" w:themeColor="text1"/>
          <w:sz w:val="24"/>
          <w:lang w:val="en-US" w:eastAsia="zh-CN"/>
          <w14:textFill>
            <w14:solidFill>
              <w14:schemeClr w14:val="tx1"/>
            </w14:solidFill>
          </w14:textFill>
        </w:rPr>
        <w:t>西风井1工业场地、1号废石堆场、2号废石堆场均恢复为戈壁地貌。</w:t>
      </w:r>
    </w:p>
    <w:p w14:paraId="1A64F509">
      <w:pPr>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在采取本次评价提出的戈壁生态保护措施的前提下，本项目符合《哈密市戈壁生态环境保护条例》的相关要求。</w:t>
      </w:r>
    </w:p>
    <w:p w14:paraId="4F8EE4BE">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3.4.3.5</w:t>
      </w:r>
      <w:r>
        <w:rPr>
          <w:rFonts w:hint="eastAsia" w:ascii="Times New Roman" w:hAnsi="Times New Roman" w:eastAsia="宋体" w:cs="Times New Roman"/>
          <w:color w:val="000000" w:themeColor="text1"/>
          <w:highlight w:val="none"/>
          <w:lang w:eastAsia="zh-Hans"/>
          <w14:textFill>
            <w14:solidFill>
              <w14:schemeClr w14:val="tx1"/>
            </w14:solidFill>
          </w14:textFill>
        </w:rPr>
        <w:t>与</w:t>
      </w:r>
      <w:r>
        <w:rPr>
          <w:rFonts w:hint="eastAsia" w:ascii="Times New Roman" w:hAnsi="Times New Roman" w:eastAsia="宋体" w:cs="Times New Roman"/>
          <w:color w:val="000000" w:themeColor="text1"/>
          <w:highlight w:val="none"/>
          <w14:textFill>
            <w14:solidFill>
              <w14:schemeClr w14:val="tx1"/>
            </w14:solidFill>
          </w14:textFill>
        </w:rPr>
        <w:t>《哈密市戈壁生态环境保护办法（暂行）》</w:t>
      </w:r>
      <w:r>
        <w:rPr>
          <w:rFonts w:hint="eastAsia" w:ascii="Times New Roman" w:hAnsi="Times New Roman" w:eastAsia="宋体" w:cs="Times New Roman"/>
          <w:color w:val="000000" w:themeColor="text1"/>
          <w:highlight w:val="none"/>
          <w:lang w:eastAsia="zh-Hans"/>
          <w14:textFill>
            <w14:solidFill>
              <w14:schemeClr w14:val="tx1"/>
            </w14:solidFill>
          </w14:textFill>
        </w:rPr>
        <w:t>的符合性分析</w:t>
      </w:r>
    </w:p>
    <w:p w14:paraId="3EDDFBE3">
      <w:pPr>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本项目与《哈密市戈壁生态环境保护办法（暂行）》的符合性分析见下表。</w:t>
      </w:r>
    </w:p>
    <w:p w14:paraId="17A525D6">
      <w:pPr>
        <w:spacing w:line="480" w:lineRule="exact"/>
        <w:jc w:val="center"/>
        <w:rPr>
          <w:b/>
          <w:color w:val="000000" w:themeColor="text1"/>
          <w:kern w:val="0"/>
          <w:sz w:val="24"/>
          <w:szCs w:val="24"/>
          <w:lang w:bidi="ar"/>
          <w14:textFill>
            <w14:solidFill>
              <w14:schemeClr w14:val="tx1"/>
            </w14:solidFill>
          </w14:textFill>
        </w:rPr>
      </w:pPr>
      <w:r>
        <w:rPr>
          <w:rFonts w:hint="eastAsia"/>
          <w:b/>
          <w:color w:val="000000" w:themeColor="text1"/>
          <w:kern w:val="0"/>
          <w:sz w:val="24"/>
          <w:szCs w:val="24"/>
          <w:lang w:bidi="ar"/>
          <w14:textFill>
            <w14:solidFill>
              <w14:schemeClr w14:val="tx1"/>
            </w14:solidFill>
          </w14:textFill>
        </w:rPr>
        <w:t>表3.4</w:t>
      </w:r>
      <w:r>
        <w:rPr>
          <w:b/>
          <w:color w:val="000000" w:themeColor="text1"/>
          <w:kern w:val="0"/>
          <w:sz w:val="24"/>
          <w:szCs w:val="24"/>
          <w:lang w:bidi="ar"/>
          <w14:textFill>
            <w14:solidFill>
              <w14:schemeClr w14:val="tx1"/>
            </w14:solidFill>
          </w14:textFill>
        </w:rPr>
        <w:t>-</w:t>
      </w:r>
      <w:r>
        <w:rPr>
          <w:rFonts w:hint="eastAsia"/>
          <w:b/>
          <w:color w:val="000000" w:themeColor="text1"/>
          <w:kern w:val="0"/>
          <w:sz w:val="24"/>
          <w:szCs w:val="24"/>
          <w:lang w:val="en-US" w:eastAsia="zh-CN" w:bidi="ar"/>
          <w14:textFill>
            <w14:solidFill>
              <w14:schemeClr w14:val="tx1"/>
            </w14:solidFill>
          </w14:textFill>
        </w:rPr>
        <w:t>5</w:t>
      </w:r>
      <w:r>
        <w:rPr>
          <w:rFonts w:hint="eastAsia"/>
          <w:b/>
          <w:color w:val="000000" w:themeColor="text1"/>
          <w:kern w:val="0"/>
          <w:sz w:val="24"/>
          <w:szCs w:val="24"/>
          <w:lang w:bidi="ar"/>
          <w14:textFill>
            <w14:solidFill>
              <w14:schemeClr w14:val="tx1"/>
            </w14:solidFill>
          </w14:textFill>
        </w:rPr>
        <w:t xml:space="preserve">    与《哈密市戈壁生态环境保护办法（暂行）》符合性分析表</w:t>
      </w:r>
    </w:p>
    <w:tbl>
      <w:tblPr>
        <w:tblStyle w:val="7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91"/>
        <w:gridCol w:w="3814"/>
        <w:gridCol w:w="814"/>
      </w:tblGrid>
      <w:tr w14:paraId="17E19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2283" w:type="pct"/>
            <w:noWrap w:val="0"/>
            <w:vAlign w:val="center"/>
          </w:tcPr>
          <w:p w14:paraId="21510F89">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办法规定</w:t>
            </w:r>
          </w:p>
        </w:tc>
        <w:tc>
          <w:tcPr>
            <w:tcW w:w="2238" w:type="pct"/>
            <w:noWrap w:val="0"/>
            <w:vAlign w:val="center"/>
          </w:tcPr>
          <w:p w14:paraId="42FA79E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本</w:t>
            </w:r>
            <w:r>
              <w:rPr>
                <w:rFonts w:hint="eastAsia" w:ascii="Times New Roman" w:hAnsi="Times New Roman" w:cs="Times New Roman"/>
                <w:b/>
                <w:bCs/>
                <w:color w:val="000000" w:themeColor="text1"/>
                <w:szCs w:val="21"/>
                <w:lang w:val="en-US" w:eastAsia="zh-CN"/>
                <w14:textFill>
                  <w14:solidFill>
                    <w14:schemeClr w14:val="tx1"/>
                  </w14:solidFill>
                </w14:textFill>
              </w:rPr>
              <w:t>项目</w:t>
            </w:r>
            <w:r>
              <w:rPr>
                <w:rFonts w:hint="eastAsia" w:ascii="Times New Roman" w:hAnsi="Times New Roman" w:cs="Times New Roman"/>
                <w:b/>
                <w:bCs/>
                <w:color w:val="000000" w:themeColor="text1"/>
                <w:szCs w:val="21"/>
                <w14:textFill>
                  <w14:solidFill>
                    <w14:schemeClr w14:val="tx1"/>
                  </w14:solidFill>
                </w14:textFill>
              </w:rPr>
              <w:t>情况</w:t>
            </w:r>
          </w:p>
        </w:tc>
        <w:tc>
          <w:tcPr>
            <w:tcW w:w="477" w:type="pct"/>
            <w:noWrap w:val="0"/>
            <w:vAlign w:val="center"/>
          </w:tcPr>
          <w:p w14:paraId="1805B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符合性</w:t>
            </w:r>
          </w:p>
        </w:tc>
      </w:tr>
      <w:tr w14:paraId="15B2F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83" w:type="pct"/>
            <w:noWrap w:val="0"/>
            <w:vAlign w:val="center"/>
          </w:tcPr>
          <w:p w14:paraId="7AB1CD7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第十五条 禁止任何单位和个人在戈壁上从事非法采砂、采石、挖石等破坏戈壁自然资源、生态环境的活动，严格保护戈壁植被、沙壳、结皮、砾幕层等具有水土保持功能的原生地貌。</w:t>
            </w:r>
          </w:p>
        </w:tc>
        <w:tc>
          <w:tcPr>
            <w:tcW w:w="2238" w:type="pct"/>
            <w:noWrap w:val="0"/>
            <w:vAlign w:val="center"/>
          </w:tcPr>
          <w:p w14:paraId="35EDE86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本项目已开展环境影响评价工作，不属于非法</w:t>
            </w:r>
            <w:r>
              <w:rPr>
                <w:rFonts w:hint="default" w:ascii="Times New Roman" w:hAnsi="Times New Roman" w:cs="Times New Roman"/>
                <w:color w:val="000000" w:themeColor="text1"/>
                <w:szCs w:val="21"/>
                <w14:textFill>
                  <w14:solidFill>
                    <w14:schemeClr w14:val="tx1"/>
                  </w14:solidFill>
                </w14:textFill>
              </w:rPr>
              <w:t>采砂、采石、挖石等破坏戈壁自然资源、生态环境的活动，</w:t>
            </w:r>
            <w:r>
              <w:rPr>
                <w:rFonts w:hint="eastAsia" w:ascii="Times New Roman" w:hAnsi="Times New Roman" w:cs="Times New Roman"/>
                <w:color w:val="000000" w:themeColor="text1"/>
                <w:szCs w:val="21"/>
                <w:lang w:val="en-US" w:eastAsia="zh-CN"/>
                <w14:textFill>
                  <w14:solidFill>
                    <w14:schemeClr w14:val="tx1"/>
                  </w14:solidFill>
                </w14:textFill>
              </w:rPr>
              <w:t>本次评价提出的各项保护措施可做到严格保护</w:t>
            </w:r>
            <w:r>
              <w:rPr>
                <w:rFonts w:hint="default" w:ascii="Times New Roman" w:hAnsi="Times New Roman" w:cs="Times New Roman"/>
                <w:color w:val="000000" w:themeColor="text1"/>
                <w:szCs w:val="21"/>
                <w14:textFill>
                  <w14:solidFill>
                    <w14:schemeClr w14:val="tx1"/>
                  </w14:solidFill>
                </w14:textFill>
              </w:rPr>
              <w:t>戈壁植被、沙壳、结皮、砾幕层</w:t>
            </w:r>
            <w:r>
              <w:rPr>
                <w:rFonts w:hint="eastAsia" w:ascii="Times New Roman" w:hAnsi="Times New Roman" w:cs="Times New Roman"/>
                <w:color w:val="000000" w:themeColor="text1"/>
                <w:szCs w:val="21"/>
                <w:lang w:eastAsia="zh-CN"/>
                <w14:textFill>
                  <w14:solidFill>
                    <w14:schemeClr w14:val="tx1"/>
                  </w14:solidFill>
                </w14:textFill>
              </w:rPr>
              <w:t>的</w:t>
            </w:r>
            <w:r>
              <w:rPr>
                <w:rFonts w:hint="eastAsia" w:ascii="Times New Roman" w:hAnsi="Times New Roman" w:cs="Times New Roman"/>
                <w:color w:val="000000" w:themeColor="text1"/>
                <w:szCs w:val="21"/>
                <w:lang w:val="en-US" w:eastAsia="zh-CN"/>
                <w14:textFill>
                  <w14:solidFill>
                    <w14:schemeClr w14:val="tx1"/>
                  </w14:solidFill>
                </w14:textFill>
              </w:rPr>
              <w:t>要求。</w:t>
            </w:r>
          </w:p>
        </w:tc>
        <w:tc>
          <w:tcPr>
            <w:tcW w:w="477" w:type="pct"/>
            <w:noWrap w:val="0"/>
            <w:vAlign w:val="center"/>
          </w:tcPr>
          <w:p w14:paraId="2BE81A7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2B02E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83" w:type="pct"/>
            <w:noWrap w:val="0"/>
            <w:vAlign w:val="center"/>
          </w:tcPr>
          <w:p w14:paraId="188E5F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第十六条 在戈壁上实施开发建设活动的，必须事先就该项目可能对当地及相关地区生态环境产生的影响依法进行环境影响评价。</w:t>
            </w:r>
          </w:p>
        </w:tc>
        <w:tc>
          <w:tcPr>
            <w:tcW w:w="2238" w:type="pct"/>
            <w:noWrap w:val="0"/>
            <w:vAlign w:val="center"/>
          </w:tcPr>
          <w:p w14:paraId="5A52E5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本项目尚未建设，在项目建设前建设单位已</w:t>
            </w:r>
            <w:r>
              <w:rPr>
                <w:rFonts w:hint="default" w:ascii="Times New Roman" w:hAnsi="Times New Roman" w:cs="Times New Roman"/>
                <w:color w:val="000000" w:themeColor="text1"/>
                <w:szCs w:val="21"/>
                <w14:textFill>
                  <w14:solidFill>
                    <w14:schemeClr w14:val="tx1"/>
                  </w14:solidFill>
                </w14:textFill>
              </w:rPr>
              <w:t>依法进行</w:t>
            </w:r>
            <w:r>
              <w:rPr>
                <w:rFonts w:hint="eastAsia" w:ascii="Times New Roman" w:hAnsi="Times New Roman" w:cs="Times New Roman"/>
                <w:color w:val="000000" w:themeColor="text1"/>
                <w:szCs w:val="21"/>
                <w:lang w:val="en-US" w:eastAsia="zh-CN"/>
                <w14:textFill>
                  <w14:solidFill>
                    <w14:schemeClr w14:val="tx1"/>
                  </w14:solidFill>
                </w14:textFill>
              </w:rPr>
              <w:t>环境影响评价。</w:t>
            </w:r>
          </w:p>
        </w:tc>
        <w:tc>
          <w:tcPr>
            <w:tcW w:w="477" w:type="pct"/>
            <w:noWrap w:val="0"/>
            <w:vAlign w:val="center"/>
          </w:tcPr>
          <w:p w14:paraId="73A9921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6717B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83" w:type="pct"/>
            <w:noWrap w:val="0"/>
            <w:vAlign w:val="center"/>
          </w:tcPr>
          <w:p w14:paraId="040CBAC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第十七条 排放污染物的企事业单位和其他生产经营者应当采取措施防治在生产建设或者其他活动中产生的废气、废水、废渣、医疗废物、粉尘、恶臭气体、放射性物质以及噪声、振动、光辐射、电磁辐射、生活垃圾等对戈壁生态环境的污染和危害。</w:t>
            </w:r>
          </w:p>
        </w:tc>
        <w:tc>
          <w:tcPr>
            <w:tcW w:w="2238" w:type="pct"/>
            <w:noWrap w:val="0"/>
            <w:vAlign w:val="center"/>
          </w:tcPr>
          <w:p w14:paraId="544D369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建设单位在落实本次评价提出的各项保护措施的前提下，可做到防治生产建设活动</w:t>
            </w:r>
            <w:r>
              <w:rPr>
                <w:rFonts w:hint="default" w:ascii="Times New Roman" w:hAnsi="Times New Roman" w:cs="Times New Roman"/>
                <w:color w:val="000000" w:themeColor="text1"/>
                <w:szCs w:val="21"/>
                <w14:textFill>
                  <w14:solidFill>
                    <w14:schemeClr w14:val="tx1"/>
                  </w14:solidFill>
                </w14:textFill>
              </w:rPr>
              <w:t>产生的废气、废水、废渣、医疗废物、粉尘、恶臭气体、放射性物质以及噪声、振动、光辐射、电磁辐射、生活垃圾等对戈壁生态环境的污染和危害。</w:t>
            </w:r>
          </w:p>
        </w:tc>
        <w:tc>
          <w:tcPr>
            <w:tcW w:w="477" w:type="pct"/>
            <w:noWrap w:val="0"/>
            <w:vAlign w:val="center"/>
          </w:tcPr>
          <w:p w14:paraId="2A4742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14:paraId="20ADB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83" w:type="pct"/>
            <w:noWrap w:val="0"/>
            <w:vAlign w:val="center"/>
          </w:tcPr>
          <w:p w14:paraId="498B83E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第十八条</w:t>
            </w:r>
            <w:r>
              <w:rPr>
                <w:rFonts w:hint="eastAsia" w:ascii="Times New Roman" w:hAnsi="Times New Roman"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各级人民政府应当积极推进戈壁区域内的绿色矿山建设，加强对矿山勘查开发活动的监管，因地制宜开展矿山生态环境保护和综合治理。</w:t>
            </w:r>
          </w:p>
        </w:tc>
        <w:tc>
          <w:tcPr>
            <w:tcW w:w="2238" w:type="pct"/>
            <w:noWrap w:val="0"/>
            <w:vAlign w:val="center"/>
          </w:tcPr>
          <w:p w14:paraId="27B5D54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因</w:t>
            </w:r>
            <w:r>
              <w:rPr>
                <w:rFonts w:hint="eastAsia" w:ascii="Times New Roman" w:hAnsi="Times New Roman" w:eastAsia="宋体" w:cs="Times New Roman"/>
                <w:color w:val="000000" w:themeColor="text1"/>
                <w:szCs w:val="21"/>
                <w:lang w:val="en-US" w:eastAsia="zh-CN"/>
                <w14:textFill>
                  <w14:solidFill>
                    <w14:schemeClr w14:val="tx1"/>
                  </w14:solidFill>
                </w14:textFill>
              </w:rPr>
              <w:t>哈密市西成矿业有限责任公司M1033铁矿</w:t>
            </w:r>
            <w:r>
              <w:rPr>
                <w:rFonts w:hint="eastAsia" w:ascii="Times New Roman" w:hAnsi="Times New Roman" w:cs="Times New Roman"/>
                <w:color w:val="000000" w:themeColor="text1"/>
                <w:szCs w:val="21"/>
                <w:lang w:val="en-US" w:eastAsia="zh-CN"/>
                <w14:textFill>
                  <w14:solidFill>
                    <w14:schemeClr w14:val="tx1"/>
                  </w14:solidFill>
                </w14:textFill>
              </w:rPr>
              <w:t>目前处于停产状态，故未开展绿色矿山建设。本次评价提出，项目应按照绿色矿山的标准进行建设。</w:t>
            </w:r>
          </w:p>
        </w:tc>
        <w:tc>
          <w:tcPr>
            <w:tcW w:w="477" w:type="pct"/>
            <w:noWrap w:val="0"/>
            <w:vAlign w:val="center"/>
          </w:tcPr>
          <w:p w14:paraId="086F8E2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bl>
    <w:p w14:paraId="072D3B5B">
      <w:pPr>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在采取本次评价提出的戈壁生态保护措施的前提下，本项目符合《哈密市戈壁生态环境保护办法（暂行）》的相关要求。</w:t>
      </w:r>
    </w:p>
    <w:p w14:paraId="74C5E0D4">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3.4.</w:t>
      </w:r>
      <w:r>
        <w:rPr>
          <w:rFonts w:hint="eastAsia"/>
          <w:color w:val="000000" w:themeColor="text1"/>
          <w:kern w:val="2"/>
          <w14:textFill>
            <w14:solidFill>
              <w14:schemeClr w14:val="tx1"/>
            </w14:solidFill>
          </w14:textFill>
        </w:rPr>
        <w:t>4</w:t>
      </w:r>
      <w:r>
        <w:rPr>
          <w:color w:val="000000" w:themeColor="text1"/>
          <w:kern w:val="2"/>
          <w14:textFill>
            <w14:solidFill>
              <w14:schemeClr w14:val="tx1"/>
            </w14:solidFill>
          </w14:textFill>
        </w:rPr>
        <w:t>与</w:t>
      </w:r>
      <w:r>
        <w:rPr>
          <w:rFonts w:hint="eastAsia"/>
          <w:color w:val="000000" w:themeColor="text1"/>
          <w:kern w:val="2"/>
          <w:lang w:val="en-US" w:eastAsia="zh-CN"/>
          <w14:textFill>
            <w14:solidFill>
              <w14:schemeClr w14:val="tx1"/>
            </w14:solidFill>
          </w14:textFill>
        </w:rPr>
        <w:t>生态环境分区管控的</w:t>
      </w:r>
      <w:r>
        <w:rPr>
          <w:color w:val="000000" w:themeColor="text1"/>
          <w:kern w:val="2"/>
          <w14:textFill>
            <w14:solidFill>
              <w14:schemeClr w14:val="tx1"/>
            </w14:solidFill>
          </w14:textFill>
        </w:rPr>
        <w:t>相符性分析</w:t>
      </w:r>
    </w:p>
    <w:p w14:paraId="341B146B">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（1）生态保护红线</w:t>
      </w:r>
    </w:p>
    <w:p w14:paraId="5C17935F">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本项目位于新疆维吾尔自治区哈密市</w:t>
      </w:r>
      <w:r>
        <w:rPr>
          <w:rFonts w:hint="eastAsia"/>
          <w:color w:val="000000" w:themeColor="text1"/>
          <w:sz w:val="24"/>
          <w:szCs w:val="24"/>
          <w14:textFill>
            <w14:solidFill>
              <w14:schemeClr w14:val="tx1"/>
            </w14:solidFill>
          </w14:textFill>
        </w:rPr>
        <w:t>168</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方位（与哈密市直线距离约179km），哈密市伊州区雅满苏镇以南约7</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km处，属于</w:t>
      </w:r>
      <w:r>
        <w:rPr>
          <w:rFonts w:hint="eastAsia"/>
          <w:color w:val="000000" w:themeColor="text1"/>
          <w:sz w:val="24"/>
          <w:szCs w:val="24"/>
          <w:lang w:eastAsia="zh-CN"/>
          <w14:textFill>
            <w14:solidFill>
              <w14:schemeClr w14:val="tx1"/>
            </w14:solidFill>
          </w14:textFill>
        </w:rPr>
        <w:t>《哈密市生态环境准入清单（2024版）》</w:t>
      </w:r>
      <w:r>
        <w:rPr>
          <w:rFonts w:hint="eastAsia"/>
          <w:color w:val="000000" w:themeColor="text1"/>
          <w:kern w:val="10"/>
          <w:sz w:val="24"/>
          <w:szCs w:val="24"/>
          <w14:textFill>
            <w14:solidFill>
              <w14:schemeClr w14:val="tx1"/>
            </w14:solidFill>
          </w14:textFill>
        </w:rPr>
        <w:t>中划定的</w:t>
      </w:r>
      <w:r>
        <w:rPr>
          <w:rFonts w:hint="eastAsia"/>
          <w:color w:val="000000" w:themeColor="text1"/>
          <w:kern w:val="10"/>
          <w:sz w:val="24"/>
          <w:szCs w:val="24"/>
          <w:lang w:eastAsia="zh-CN"/>
          <w14:textFill>
            <w14:solidFill>
              <w14:schemeClr w14:val="tx1"/>
            </w14:solidFill>
          </w14:textFill>
        </w:rPr>
        <w:t>一般</w:t>
      </w:r>
      <w:r>
        <w:rPr>
          <w:rFonts w:hint="eastAsia"/>
          <w:color w:val="000000" w:themeColor="text1"/>
          <w:kern w:val="10"/>
          <w:sz w:val="24"/>
          <w:szCs w:val="24"/>
          <w14:textFill>
            <w14:solidFill>
              <w14:schemeClr w14:val="tx1"/>
            </w14:solidFill>
          </w14:textFill>
        </w:rPr>
        <w:t>管控单元（环境管控单元编码：ZH65050230012）</w:t>
      </w:r>
      <w:r>
        <w:rPr>
          <w:color w:val="000000" w:themeColor="text1"/>
          <w:kern w:val="10"/>
          <w:sz w:val="24"/>
          <w:szCs w:val="24"/>
          <w14:textFill>
            <w14:solidFill>
              <w14:schemeClr w14:val="tx1"/>
            </w14:solidFill>
          </w14:textFill>
        </w:rPr>
        <w:t>。</w:t>
      </w:r>
      <w:r>
        <w:rPr>
          <w:rFonts w:hint="eastAsia"/>
          <w:color w:val="000000" w:themeColor="text1"/>
          <w:kern w:val="10"/>
          <w:sz w:val="24"/>
          <w:szCs w:val="24"/>
          <w14:textFill>
            <w14:solidFill>
              <w14:schemeClr w14:val="tx1"/>
            </w14:solidFill>
          </w14:textFill>
        </w:rPr>
        <w:t>项目用地不涉及生态保护红线区域，矿区西侧距库木塔格生物多样性维护、防风固沙生态保护红线区的最近距离约</w:t>
      </w:r>
      <w:r>
        <w:rPr>
          <w:color w:val="000000" w:themeColor="text1"/>
          <w:kern w:val="10"/>
          <w:sz w:val="24"/>
          <w:szCs w:val="24"/>
          <w14:textFill>
            <w14:solidFill>
              <w14:schemeClr w14:val="tx1"/>
            </w14:solidFill>
          </w14:textFill>
        </w:rPr>
        <w:t>37.7</w:t>
      </w:r>
      <w:r>
        <w:rPr>
          <w:rFonts w:hint="eastAsia"/>
          <w:color w:val="000000" w:themeColor="text1"/>
          <w:kern w:val="10"/>
          <w:sz w:val="24"/>
          <w:szCs w:val="24"/>
          <w14:textFill>
            <w14:solidFill>
              <w14:schemeClr w14:val="tx1"/>
            </w14:solidFill>
          </w14:textFill>
        </w:rPr>
        <w:t>km，矿区西侧距新疆罗布泊野骆驼国家级自然保护区的最近距离约</w:t>
      </w:r>
      <w:r>
        <w:rPr>
          <w:color w:val="000000" w:themeColor="text1"/>
          <w:kern w:val="10"/>
          <w:sz w:val="24"/>
          <w:szCs w:val="24"/>
          <w14:textFill>
            <w14:solidFill>
              <w14:schemeClr w14:val="tx1"/>
            </w14:solidFill>
          </w14:textFill>
        </w:rPr>
        <w:t>37.7</w:t>
      </w:r>
      <w:r>
        <w:rPr>
          <w:rFonts w:hint="eastAsia"/>
          <w:color w:val="000000" w:themeColor="text1"/>
          <w:kern w:val="10"/>
          <w:sz w:val="24"/>
          <w:szCs w:val="24"/>
          <w14:textFill>
            <w14:solidFill>
              <w14:schemeClr w14:val="tx1"/>
            </w14:solidFill>
          </w14:textFill>
        </w:rPr>
        <w:t>km，</w:t>
      </w:r>
      <w:r>
        <w:rPr>
          <w:color w:val="000000" w:themeColor="text1"/>
          <w:kern w:val="10"/>
          <w:sz w:val="24"/>
          <w:szCs w:val="24"/>
          <w14:textFill>
            <w14:solidFill>
              <w14:schemeClr w14:val="tx1"/>
            </w14:solidFill>
          </w14:textFill>
        </w:rPr>
        <w:t>不会影响所在区域内生态服务功能。</w:t>
      </w:r>
    </w:p>
    <w:p w14:paraId="40101B6C">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本项目与生态保护红线的位置关系见图3.4-1，与哈密市环境管控单元分类的位置关系见图3.4-2</w:t>
      </w:r>
      <w:r>
        <w:rPr>
          <w:rFonts w:hint="eastAsia"/>
          <w:color w:val="000000" w:themeColor="text1"/>
          <w:kern w:val="10"/>
          <w:sz w:val="24"/>
          <w:szCs w:val="24"/>
          <w14:textFill>
            <w14:solidFill>
              <w14:schemeClr w14:val="tx1"/>
            </w14:solidFill>
          </w14:textFill>
        </w:rPr>
        <w:t>，与新疆罗布泊野骆驼国家级自然保护区的</w:t>
      </w:r>
      <w:r>
        <w:rPr>
          <w:color w:val="000000" w:themeColor="text1"/>
          <w:kern w:val="10"/>
          <w:sz w:val="24"/>
          <w:szCs w:val="24"/>
          <w14:textFill>
            <w14:solidFill>
              <w14:schemeClr w14:val="tx1"/>
            </w14:solidFill>
          </w14:textFill>
        </w:rPr>
        <w:t>位置关系见图3.4-3</w:t>
      </w:r>
      <w:r>
        <w:rPr>
          <w:rFonts w:hint="eastAsia"/>
          <w:color w:val="000000" w:themeColor="text1"/>
          <w:kern w:val="10"/>
          <w:sz w:val="24"/>
          <w:szCs w:val="24"/>
          <w14:textFill>
            <w14:solidFill>
              <w14:schemeClr w14:val="tx1"/>
            </w14:solidFill>
          </w14:textFill>
        </w:rPr>
        <w:t>。</w:t>
      </w:r>
    </w:p>
    <w:p w14:paraId="035CE1E6">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（2）环境质量底线</w:t>
      </w:r>
    </w:p>
    <w:p w14:paraId="22FCDC0C">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环境质量底线就是只能改善不能恶化。大气环境质量底线就是在符合大气环境区域功能区划和大气环境管理的基础上，确保大气污染物排放不对区域功能区划造成影响，污染物排放总量低于大气环境容量。</w:t>
      </w:r>
    </w:p>
    <w:p w14:paraId="61D09F2E">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本项目在运营期大气污染物全部实现达标排放，预测落地浓度满足相应标准，因此本项目的建设不会对区域环境质量造成大的影响；项目生产废水回用于生产</w:t>
      </w:r>
      <w:r>
        <w:rPr>
          <w:rFonts w:hint="eastAsia"/>
          <w:color w:val="000000" w:themeColor="text1"/>
          <w:kern w:val="10"/>
          <w:sz w:val="24"/>
          <w:szCs w:val="24"/>
          <w14:textFill>
            <w14:solidFill>
              <w14:schemeClr w14:val="tx1"/>
            </w14:solidFill>
          </w14:textFill>
        </w:rPr>
        <w:t>、绿化、降尘等环节；</w:t>
      </w:r>
      <w:r>
        <w:rPr>
          <w:color w:val="000000" w:themeColor="text1"/>
          <w:kern w:val="10"/>
          <w:sz w:val="24"/>
          <w:szCs w:val="24"/>
          <w14:textFill>
            <w14:solidFill>
              <w14:schemeClr w14:val="tx1"/>
            </w14:solidFill>
          </w14:textFill>
        </w:rPr>
        <w:t>生活污水经地埋式一体化设施处理后用于矿区绿化，全部利用，</w:t>
      </w:r>
      <w:r>
        <w:rPr>
          <w:rFonts w:hint="eastAsia"/>
          <w:color w:val="000000" w:themeColor="text1"/>
          <w:kern w:val="10"/>
          <w:sz w:val="24"/>
          <w:szCs w:val="24"/>
          <w14:textFill>
            <w14:solidFill>
              <w14:schemeClr w14:val="tx1"/>
            </w14:solidFill>
          </w14:textFill>
        </w:rPr>
        <w:t>非灌溉期输送至选矿厂</w:t>
      </w:r>
      <w:r>
        <w:rPr>
          <w:rFonts w:hint="eastAsia"/>
          <w:color w:val="000000" w:themeColor="text1"/>
          <w:sz w:val="24"/>
          <w:szCs w:val="28"/>
          <w14:textFill>
            <w14:solidFill>
              <w14:schemeClr w14:val="tx1"/>
            </w14:solidFill>
          </w14:textFill>
        </w:rPr>
        <w:t>用于选矿生产，</w:t>
      </w:r>
      <w:r>
        <w:rPr>
          <w:color w:val="000000" w:themeColor="text1"/>
          <w:kern w:val="10"/>
          <w:sz w:val="24"/>
          <w:szCs w:val="24"/>
          <w14:textFill>
            <w14:solidFill>
              <w14:schemeClr w14:val="tx1"/>
            </w14:solidFill>
          </w14:textFill>
        </w:rPr>
        <w:t>不会影响区域水环境质量；本项目开采废石堆放于废石堆场，</w:t>
      </w:r>
      <w:r>
        <w:rPr>
          <w:rFonts w:hint="eastAsia"/>
          <w:color w:val="000000" w:themeColor="text1"/>
          <w:kern w:val="10"/>
          <w:sz w:val="24"/>
          <w:szCs w:val="24"/>
          <w14:textFill>
            <w14:solidFill>
              <w14:schemeClr w14:val="tx1"/>
            </w14:solidFill>
          </w14:textFill>
        </w:rPr>
        <w:t>待开采结束并稳沉后，全部回填至采空区。</w:t>
      </w:r>
      <w:r>
        <w:rPr>
          <w:color w:val="000000" w:themeColor="text1"/>
          <w:kern w:val="10"/>
          <w:sz w:val="24"/>
          <w:szCs w:val="24"/>
          <w14:textFill>
            <w14:solidFill>
              <w14:schemeClr w14:val="tx1"/>
            </w14:solidFill>
          </w14:textFill>
        </w:rPr>
        <w:t>生活垃圾</w:t>
      </w:r>
      <w:r>
        <w:rPr>
          <w:rFonts w:hint="eastAsia"/>
          <w:color w:val="000000" w:themeColor="text1"/>
          <w:kern w:val="10"/>
          <w:sz w:val="24"/>
          <w:szCs w:val="24"/>
          <w14:textFill>
            <w14:solidFill>
              <w14:schemeClr w14:val="tx1"/>
            </w14:solidFill>
          </w14:textFill>
        </w:rPr>
        <w:t>定期拉运至雅满苏镇生活垃圾填埋场填埋处置</w:t>
      </w:r>
      <w:r>
        <w:rPr>
          <w:color w:val="000000" w:themeColor="text1"/>
          <w:kern w:val="10"/>
          <w:sz w:val="24"/>
          <w:szCs w:val="24"/>
          <w14:textFill>
            <w14:solidFill>
              <w14:schemeClr w14:val="tx1"/>
            </w14:solidFill>
          </w14:textFill>
        </w:rPr>
        <w:t>，危险废物委托</w:t>
      </w:r>
      <w:r>
        <w:rPr>
          <w:rFonts w:hint="eastAsia"/>
          <w:color w:val="000000" w:themeColor="text1"/>
          <w:kern w:val="10"/>
          <w:sz w:val="24"/>
          <w:szCs w:val="24"/>
          <w14:textFill>
            <w14:solidFill>
              <w14:schemeClr w14:val="tx1"/>
            </w14:solidFill>
          </w14:textFill>
        </w:rPr>
        <w:t>有资质单位进行处置</w:t>
      </w:r>
      <w:r>
        <w:rPr>
          <w:color w:val="000000" w:themeColor="text1"/>
          <w:kern w:val="10"/>
          <w:sz w:val="24"/>
          <w:szCs w:val="24"/>
          <w14:textFill>
            <w14:solidFill>
              <w14:schemeClr w14:val="tx1"/>
            </w14:solidFill>
          </w14:textFill>
        </w:rPr>
        <w:t>，各项固废均妥善处置，不乱排乱放。</w:t>
      </w:r>
    </w:p>
    <w:p w14:paraId="5295AB54">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综上，上述措施能确保拟建项目污染物对环境质量的影响降到最小，不突破所在区域环境质量底线。</w:t>
      </w:r>
    </w:p>
    <w:p w14:paraId="5AF98A4B">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（3）资源利用上线</w:t>
      </w:r>
    </w:p>
    <w:p w14:paraId="56F6B518">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本项目为铁矿开采项目，在开发时严格按照储量报告及开发利用方案进行开采，不过度开采，不对资源的过度开发，符合资源利用的政策导向。本项目采用先进的设备，工艺设计中采用节能工艺，对区域资源的使用影响较小。</w:t>
      </w:r>
    </w:p>
    <w:p w14:paraId="6044FB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（4）</w:t>
      </w:r>
      <w:r>
        <w:rPr>
          <w:rFonts w:hint="eastAsia"/>
          <w:color w:val="000000" w:themeColor="text1"/>
          <w:kern w:val="10"/>
          <w:sz w:val="24"/>
          <w:szCs w:val="24"/>
          <w:lang w:val="en-US" w:eastAsia="zh-CN"/>
          <w14:textFill>
            <w14:solidFill>
              <w14:schemeClr w14:val="tx1"/>
            </w14:solidFill>
          </w14:textFill>
        </w:rPr>
        <w:t>生态</w:t>
      </w:r>
      <w:r>
        <w:rPr>
          <w:color w:val="000000" w:themeColor="text1"/>
          <w:kern w:val="10"/>
          <w:sz w:val="24"/>
          <w:szCs w:val="24"/>
          <w14:textFill>
            <w14:solidFill>
              <w14:schemeClr w14:val="tx1"/>
            </w14:solidFill>
          </w14:textFill>
        </w:rPr>
        <w:t>环境准入清单</w:t>
      </w:r>
    </w:p>
    <w:p w14:paraId="0643E34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14:textFill>
            <w14:solidFill>
              <w14:schemeClr w14:val="tx1"/>
            </w14:solidFill>
          </w14:textFill>
        </w:rPr>
      </w:pPr>
      <w:r>
        <w:rPr>
          <w:color w:val="000000" w:themeColor="text1"/>
          <w:kern w:val="10"/>
          <w:sz w:val="24"/>
          <w:szCs w:val="24"/>
          <w14:textFill>
            <w14:solidFill>
              <w14:schemeClr w14:val="tx1"/>
            </w14:solidFill>
          </w14:textFill>
        </w:rPr>
        <w:t>本</w:t>
      </w:r>
      <w:r>
        <w:rPr>
          <w:rFonts w:hint="eastAsia"/>
          <w:color w:val="000000" w:themeColor="text1"/>
          <w:kern w:val="10"/>
          <w:sz w:val="24"/>
          <w:szCs w:val="24"/>
          <w:lang w:eastAsia="zh-CN"/>
          <w14:textFill>
            <w14:solidFill>
              <w14:schemeClr w14:val="tx1"/>
            </w14:solidFill>
          </w14:textFill>
        </w:rPr>
        <w:t>项目</w:t>
      </w:r>
      <w:r>
        <w:rPr>
          <w:color w:val="000000" w:themeColor="text1"/>
          <w:kern w:val="10"/>
          <w:sz w:val="24"/>
          <w:szCs w:val="24"/>
          <w14:textFill>
            <w14:solidFill>
              <w14:schemeClr w14:val="tx1"/>
            </w14:solidFill>
          </w14:textFill>
        </w:rPr>
        <w:t>为黑色金属采矿业，</w:t>
      </w:r>
      <w:r>
        <w:rPr>
          <w:rFonts w:hint="eastAsia"/>
          <w:color w:val="000000" w:themeColor="text1"/>
          <w:kern w:val="10"/>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《哈密市生态环境准入清单（2024版）》</w:t>
      </w:r>
      <w:r>
        <w:rPr>
          <w:rFonts w:hint="eastAsia"/>
          <w:color w:val="000000" w:themeColor="text1"/>
          <w:kern w:val="10"/>
          <w:sz w:val="24"/>
          <w:szCs w:val="24"/>
          <w14:textFill>
            <w14:solidFill>
              <w14:schemeClr w14:val="tx1"/>
            </w14:solidFill>
          </w14:textFill>
        </w:rPr>
        <w:t>，</w:t>
      </w:r>
      <w:r>
        <w:rPr>
          <w:rFonts w:hint="eastAsia"/>
          <w:color w:val="000000" w:themeColor="text1"/>
          <w:kern w:val="10"/>
          <w:sz w:val="24"/>
          <w:szCs w:val="24"/>
          <w:lang w:val="en-US" w:eastAsia="zh-CN"/>
          <w14:textFill>
            <w14:solidFill>
              <w14:schemeClr w14:val="tx1"/>
            </w14:solidFill>
          </w14:textFill>
        </w:rPr>
        <w:t>本项目属于其</w:t>
      </w:r>
      <w:r>
        <w:rPr>
          <w:rFonts w:hint="eastAsia"/>
          <w:color w:val="000000" w:themeColor="text1"/>
          <w:kern w:val="10"/>
          <w:sz w:val="24"/>
          <w:szCs w:val="24"/>
          <w14:textFill>
            <w14:solidFill>
              <w14:schemeClr w14:val="tx1"/>
            </w14:solidFill>
          </w14:textFill>
        </w:rPr>
        <w:t>中的</w:t>
      </w:r>
      <w:r>
        <w:rPr>
          <w:rFonts w:hint="eastAsia"/>
          <w:color w:val="000000" w:themeColor="text1"/>
          <w:kern w:val="10"/>
          <w:sz w:val="24"/>
          <w:szCs w:val="24"/>
          <w:lang w:eastAsia="zh-CN"/>
          <w14:textFill>
            <w14:solidFill>
              <w14:schemeClr w14:val="tx1"/>
            </w14:solidFill>
          </w14:textFill>
        </w:rPr>
        <w:t>伊州区雅满苏镇一般管控单元（ZH6505023001</w:t>
      </w:r>
      <w:r>
        <w:rPr>
          <w:rFonts w:hint="eastAsia"/>
          <w:color w:val="000000" w:themeColor="text1"/>
          <w:kern w:val="10"/>
          <w:sz w:val="24"/>
          <w:szCs w:val="24"/>
          <w:lang w:val="en-US" w:eastAsia="zh-CN"/>
          <w14:textFill>
            <w14:solidFill>
              <w14:schemeClr w14:val="tx1"/>
            </w14:solidFill>
          </w14:textFill>
        </w:rPr>
        <w:t>2</w:t>
      </w:r>
      <w:r>
        <w:rPr>
          <w:rFonts w:hint="eastAsia"/>
          <w:color w:val="000000" w:themeColor="text1"/>
          <w:kern w:val="10"/>
          <w:sz w:val="24"/>
          <w:szCs w:val="24"/>
          <w:lang w:eastAsia="zh-CN"/>
          <w14:textFill>
            <w14:solidFill>
              <w14:schemeClr w14:val="tx1"/>
            </w14:solidFill>
          </w14:textFill>
        </w:rPr>
        <w:t>）。</w:t>
      </w:r>
      <w:r>
        <w:rPr>
          <w:rFonts w:hint="eastAsia"/>
          <w:color w:val="000000" w:themeColor="text1"/>
          <w:kern w:val="10"/>
          <w:sz w:val="24"/>
          <w:szCs w:val="24"/>
          <w14:textFill>
            <w14:solidFill>
              <w14:schemeClr w14:val="tx1"/>
            </w14:solidFill>
          </w14:textFill>
        </w:rPr>
        <w:t>本项目</w:t>
      </w:r>
      <w:r>
        <w:rPr>
          <w:color w:val="000000" w:themeColor="text1"/>
          <w:kern w:val="10"/>
          <w:sz w:val="24"/>
          <w:szCs w:val="24"/>
          <w14:textFill>
            <w14:solidFill>
              <w14:schemeClr w14:val="tx1"/>
            </w14:solidFill>
          </w14:textFill>
        </w:rPr>
        <w:t>与</w:t>
      </w:r>
      <w:r>
        <w:rPr>
          <w:rFonts w:hint="eastAsia"/>
          <w:color w:val="000000" w:themeColor="text1"/>
          <w:kern w:val="10"/>
          <w:sz w:val="24"/>
          <w:szCs w:val="24"/>
          <w:lang w:eastAsia="zh-CN"/>
          <w14:textFill>
            <w14:solidFill>
              <w14:schemeClr w14:val="tx1"/>
            </w14:solidFill>
          </w14:textFill>
        </w:rPr>
        <w:t>伊州区雅满苏镇</w:t>
      </w:r>
      <w:r>
        <w:rPr>
          <w:color w:val="000000" w:themeColor="text1"/>
          <w:kern w:val="10"/>
          <w:sz w:val="24"/>
          <w:szCs w:val="24"/>
          <w14:textFill>
            <w14:solidFill>
              <w14:schemeClr w14:val="tx1"/>
            </w14:solidFill>
          </w14:textFill>
        </w:rPr>
        <w:t>一般管控单元</w:t>
      </w:r>
      <w:r>
        <w:rPr>
          <w:rFonts w:hint="eastAsia"/>
          <w:color w:val="000000" w:themeColor="text1"/>
          <w:kern w:val="10"/>
          <w:sz w:val="24"/>
          <w:szCs w:val="24"/>
          <w14:textFill>
            <w14:solidFill>
              <w14:schemeClr w14:val="tx1"/>
            </w14:solidFill>
          </w14:textFill>
        </w:rPr>
        <w:t>管控要求</w:t>
      </w:r>
      <w:r>
        <w:rPr>
          <w:color w:val="000000" w:themeColor="text1"/>
          <w:kern w:val="10"/>
          <w:sz w:val="24"/>
          <w:szCs w:val="24"/>
          <w14:textFill>
            <w14:solidFill>
              <w14:schemeClr w14:val="tx1"/>
            </w14:solidFill>
          </w14:textFill>
        </w:rPr>
        <w:t>的符合性</w:t>
      </w:r>
      <w:r>
        <w:rPr>
          <w:rFonts w:hint="eastAsia"/>
          <w:color w:val="000000" w:themeColor="text1"/>
          <w:kern w:val="10"/>
          <w:sz w:val="24"/>
          <w:szCs w:val="24"/>
          <w14:textFill>
            <w14:solidFill>
              <w14:schemeClr w14:val="tx1"/>
            </w14:solidFill>
          </w14:textFill>
        </w:rPr>
        <w:t>分析见表3.4-</w:t>
      </w:r>
      <w:r>
        <w:rPr>
          <w:color w:val="000000" w:themeColor="text1"/>
          <w:kern w:val="10"/>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w:t>
      </w:r>
    </w:p>
    <w:p w14:paraId="7A177F6D">
      <w:pPr>
        <w:spacing w:line="480" w:lineRule="exact"/>
        <w:jc w:val="center"/>
        <w:rPr>
          <w:b/>
          <w:color w:val="000000" w:themeColor="text1"/>
          <w:spacing w:val="0"/>
          <w:kern w:val="0"/>
          <w:sz w:val="24"/>
          <w:szCs w:val="24"/>
          <w:lang w:bidi="ar"/>
          <w14:textFill>
            <w14:solidFill>
              <w14:schemeClr w14:val="tx1"/>
            </w14:solidFill>
          </w14:textFill>
        </w:rPr>
      </w:pPr>
      <w:r>
        <w:rPr>
          <w:b/>
          <w:color w:val="000000" w:themeColor="text1"/>
          <w:spacing w:val="0"/>
          <w:kern w:val="0"/>
          <w:sz w:val="24"/>
          <w:szCs w:val="24"/>
          <w:lang w:bidi="ar"/>
          <w14:textFill>
            <w14:solidFill>
              <w14:schemeClr w14:val="tx1"/>
            </w14:solidFill>
          </w14:textFill>
        </w:rPr>
        <w:t>表</w:t>
      </w:r>
      <w:r>
        <w:rPr>
          <w:rFonts w:hint="eastAsia"/>
          <w:b/>
          <w:color w:val="000000" w:themeColor="text1"/>
          <w:spacing w:val="0"/>
          <w:kern w:val="0"/>
          <w:sz w:val="24"/>
          <w:szCs w:val="24"/>
          <w:lang w:bidi="ar"/>
          <w14:textFill>
            <w14:solidFill>
              <w14:schemeClr w14:val="tx1"/>
            </w14:solidFill>
          </w14:textFill>
        </w:rPr>
        <w:t>3.4-</w:t>
      </w:r>
      <w:r>
        <w:rPr>
          <w:b/>
          <w:color w:val="000000" w:themeColor="text1"/>
          <w:spacing w:val="0"/>
          <w:kern w:val="0"/>
          <w:sz w:val="24"/>
          <w:szCs w:val="24"/>
          <w:lang w:bidi="ar"/>
          <w14:textFill>
            <w14:solidFill>
              <w14:schemeClr w14:val="tx1"/>
            </w14:solidFill>
          </w14:textFill>
        </w:rPr>
        <w:t>6    与</w:t>
      </w:r>
      <w:r>
        <w:rPr>
          <w:rFonts w:hint="eastAsia"/>
          <w:b/>
          <w:color w:val="000000" w:themeColor="text1"/>
          <w:spacing w:val="0"/>
          <w:kern w:val="0"/>
          <w:sz w:val="24"/>
          <w:szCs w:val="24"/>
          <w:lang w:eastAsia="zh-CN" w:bidi="ar"/>
          <w14:textFill>
            <w14:solidFill>
              <w14:schemeClr w14:val="tx1"/>
            </w14:solidFill>
          </w14:textFill>
        </w:rPr>
        <w:t>伊州区雅满苏镇</w:t>
      </w:r>
      <w:r>
        <w:rPr>
          <w:b/>
          <w:color w:val="000000" w:themeColor="text1"/>
          <w:spacing w:val="0"/>
          <w:kern w:val="0"/>
          <w:sz w:val="24"/>
          <w:szCs w:val="24"/>
          <w:lang w:bidi="ar"/>
          <w14:textFill>
            <w14:solidFill>
              <w14:schemeClr w14:val="tx1"/>
            </w14:solidFill>
          </w14:textFill>
        </w:rPr>
        <w:t>一般管控单元</w:t>
      </w:r>
      <w:r>
        <w:rPr>
          <w:rFonts w:hint="eastAsia"/>
          <w:b/>
          <w:color w:val="000000" w:themeColor="text1"/>
          <w:spacing w:val="0"/>
          <w:kern w:val="0"/>
          <w:sz w:val="24"/>
          <w:szCs w:val="24"/>
          <w:lang w:bidi="ar"/>
          <w14:textFill>
            <w14:solidFill>
              <w14:schemeClr w14:val="tx1"/>
            </w14:solidFill>
          </w14:textFill>
        </w:rPr>
        <w:t>管控要求</w:t>
      </w:r>
      <w:r>
        <w:rPr>
          <w:b/>
          <w:color w:val="000000" w:themeColor="text1"/>
          <w:spacing w:val="0"/>
          <w:kern w:val="0"/>
          <w:sz w:val="24"/>
          <w:szCs w:val="24"/>
          <w:lang w:bidi="ar"/>
          <w14:textFill>
            <w14:solidFill>
              <w14:schemeClr w14:val="tx1"/>
            </w14:solidFill>
          </w14:textFill>
        </w:rPr>
        <w:t>的相符性</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555"/>
        <w:gridCol w:w="758"/>
        <w:gridCol w:w="3512"/>
        <w:gridCol w:w="2464"/>
      </w:tblGrid>
      <w:tr w14:paraId="4BC00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721" w:type="pct"/>
            <w:tcBorders>
              <w:tl2br w:val="nil"/>
              <w:tr2bl w:val="nil"/>
            </w:tcBorders>
            <w:vAlign w:val="center"/>
          </w:tcPr>
          <w:p w14:paraId="2A3FD059">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环境管控单元编码</w:t>
            </w:r>
          </w:p>
        </w:tc>
        <w:tc>
          <w:tcPr>
            <w:tcW w:w="770" w:type="pct"/>
            <w:gridSpan w:val="2"/>
            <w:tcBorders>
              <w:tl2br w:val="nil"/>
              <w:tr2bl w:val="nil"/>
            </w:tcBorders>
            <w:vAlign w:val="center"/>
          </w:tcPr>
          <w:p w14:paraId="281E7CE0">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b/>
                <w:bCs/>
                <w:color w:val="000000" w:themeColor="text1"/>
                <w:kern w:val="0"/>
                <w:sz w:val="21"/>
                <w:szCs w:val="21"/>
                <w:highlight w:val="none"/>
                <w14:textFill>
                  <w14:solidFill>
                    <w14:schemeClr w14:val="tx1"/>
                  </w14:solidFill>
                </w14:textFill>
              </w:rPr>
            </w:pPr>
            <w:r>
              <w:rPr>
                <w:rFonts w:hint="default"/>
                <w:b/>
                <w:bCs/>
                <w:color w:val="000000" w:themeColor="text1"/>
                <w:kern w:val="0"/>
                <w:sz w:val="21"/>
                <w:szCs w:val="21"/>
                <w:highlight w:val="none"/>
                <w14:textFill>
                  <w14:solidFill>
                    <w14:schemeClr w14:val="tx1"/>
                  </w14:solidFill>
                </w14:textFill>
              </w:rPr>
              <w:t>管控类别</w:t>
            </w:r>
          </w:p>
        </w:tc>
        <w:tc>
          <w:tcPr>
            <w:tcW w:w="2061" w:type="pct"/>
            <w:tcBorders>
              <w:tl2br w:val="nil"/>
              <w:tr2bl w:val="nil"/>
            </w:tcBorders>
            <w:vAlign w:val="center"/>
          </w:tcPr>
          <w:p w14:paraId="54304B51">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b/>
                <w:bCs/>
                <w:color w:val="000000" w:themeColor="text1"/>
                <w:kern w:val="0"/>
                <w:sz w:val="21"/>
                <w:szCs w:val="21"/>
                <w:highlight w:val="none"/>
                <w14:textFill>
                  <w14:solidFill>
                    <w14:schemeClr w14:val="tx1"/>
                  </w14:solidFill>
                </w14:textFill>
              </w:rPr>
            </w:pPr>
            <w:r>
              <w:rPr>
                <w:rFonts w:hint="default"/>
                <w:b/>
                <w:bCs/>
                <w:color w:val="000000" w:themeColor="text1"/>
                <w:kern w:val="0"/>
                <w:sz w:val="21"/>
                <w:szCs w:val="21"/>
                <w:highlight w:val="none"/>
                <w14:textFill>
                  <w14:solidFill>
                    <w14:schemeClr w14:val="tx1"/>
                  </w14:solidFill>
                </w14:textFill>
              </w:rPr>
              <w:t>管控要求</w:t>
            </w:r>
          </w:p>
        </w:tc>
        <w:tc>
          <w:tcPr>
            <w:tcW w:w="1446" w:type="pct"/>
            <w:tcBorders>
              <w:tl2br w:val="nil"/>
              <w:tr2bl w:val="nil"/>
            </w:tcBorders>
            <w:vAlign w:val="center"/>
          </w:tcPr>
          <w:p w14:paraId="1265FB4F">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符合性分析</w:t>
            </w:r>
          </w:p>
        </w:tc>
      </w:tr>
      <w:tr w14:paraId="681F6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21" w:type="pct"/>
            <w:vMerge w:val="restart"/>
            <w:tcBorders>
              <w:tl2br w:val="nil"/>
              <w:tr2bl w:val="nil"/>
            </w:tcBorders>
            <w:vAlign w:val="center"/>
          </w:tcPr>
          <w:p w14:paraId="1349C3A2">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ZH6505023001</w:t>
            </w:r>
            <w:r>
              <w:rPr>
                <w:rFonts w:hint="eastAsia"/>
                <w:color w:val="000000" w:themeColor="text1"/>
                <w:kern w:val="0"/>
                <w:sz w:val="21"/>
                <w:szCs w:val="21"/>
                <w:highlight w:val="none"/>
                <w:lang w:val="en-US" w:eastAsia="zh-CN"/>
                <w14:textFill>
                  <w14:solidFill>
                    <w14:schemeClr w14:val="tx1"/>
                  </w14:solidFill>
                </w14:textFill>
              </w:rPr>
              <w:t>2</w:t>
            </w:r>
          </w:p>
        </w:tc>
        <w:tc>
          <w:tcPr>
            <w:tcW w:w="325" w:type="pct"/>
            <w:vMerge w:val="restart"/>
            <w:tcBorders>
              <w:tl2br w:val="nil"/>
              <w:tr2bl w:val="nil"/>
            </w:tcBorders>
            <w:vAlign w:val="center"/>
          </w:tcPr>
          <w:p w14:paraId="352985DA">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伊州区雅满苏镇</w:t>
            </w:r>
            <w:r>
              <w:rPr>
                <w:rFonts w:hint="default"/>
                <w:color w:val="000000" w:themeColor="text1"/>
                <w:kern w:val="0"/>
                <w:sz w:val="21"/>
                <w:szCs w:val="21"/>
                <w:highlight w:val="none"/>
                <w14:textFill>
                  <w14:solidFill>
                    <w14:schemeClr w14:val="tx1"/>
                  </w14:solidFill>
                </w14:textFill>
              </w:rPr>
              <w:t>一般管控单元</w:t>
            </w:r>
          </w:p>
        </w:tc>
        <w:tc>
          <w:tcPr>
            <w:tcW w:w="445" w:type="pct"/>
            <w:tcBorders>
              <w:tl2br w:val="nil"/>
              <w:tr2bl w:val="nil"/>
            </w:tcBorders>
            <w:vAlign w:val="center"/>
          </w:tcPr>
          <w:p w14:paraId="53DA7C04">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空间布局约束</w:t>
            </w:r>
          </w:p>
        </w:tc>
        <w:tc>
          <w:tcPr>
            <w:tcW w:w="2061" w:type="pct"/>
            <w:tcBorders>
              <w:tl2br w:val="nil"/>
              <w:tr2bl w:val="nil"/>
            </w:tcBorders>
            <w:vAlign w:val="center"/>
          </w:tcPr>
          <w:p w14:paraId="2E32C63E">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禁止在邻近基本农田区域新增排放重金属和多环芳烃、石油烃等有机污染物的开发建设活动。拟开发为农用地的，县级人民政府要组织开展土壤环境质量状况评估；不符合标准的，不得种植食用农产品。要加强纳入耕地后备资源的未利用地保护，定期开展巡查。</w:t>
            </w:r>
          </w:p>
        </w:tc>
        <w:tc>
          <w:tcPr>
            <w:tcW w:w="1446" w:type="pct"/>
            <w:tcBorders>
              <w:tl2br w:val="nil"/>
              <w:tr2bl w:val="nil"/>
            </w:tcBorders>
            <w:vAlign w:val="center"/>
          </w:tcPr>
          <w:p w14:paraId="42DDF4E3">
            <w:pPr>
              <w:keepNext w:val="0"/>
              <w:keepLines w:val="0"/>
              <w:suppressLineNumbers w:val="0"/>
              <w:adjustRightInd w:val="0"/>
              <w:snapToGrid w:val="0"/>
              <w:spacing w:before="0" w:beforeAutospacing="0" w:after="0" w:afterAutospacing="0" w:line="360" w:lineRule="exact"/>
              <w:ind w:left="0" w:right="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本项目不涉及农用地。</w:t>
            </w:r>
          </w:p>
        </w:tc>
      </w:tr>
      <w:tr w14:paraId="15284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tcBorders>
              <w:tl2br w:val="nil"/>
              <w:tr2bl w:val="nil"/>
            </w:tcBorders>
            <w:vAlign w:val="center"/>
          </w:tcPr>
          <w:p w14:paraId="691B552F">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325" w:type="pct"/>
            <w:vMerge w:val="continue"/>
            <w:tcBorders>
              <w:tl2br w:val="nil"/>
              <w:tr2bl w:val="nil"/>
            </w:tcBorders>
            <w:vAlign w:val="center"/>
          </w:tcPr>
          <w:p w14:paraId="3EAB5CEF">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445" w:type="pct"/>
            <w:tcBorders>
              <w:tl2br w:val="nil"/>
              <w:tr2bl w:val="nil"/>
            </w:tcBorders>
            <w:vAlign w:val="center"/>
          </w:tcPr>
          <w:p w14:paraId="01B1D35D">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污染物排放管控</w:t>
            </w:r>
          </w:p>
        </w:tc>
        <w:tc>
          <w:tcPr>
            <w:tcW w:w="2061" w:type="pct"/>
            <w:tcBorders>
              <w:tl2br w:val="nil"/>
              <w:tr2bl w:val="nil"/>
            </w:tcBorders>
            <w:vAlign w:val="center"/>
          </w:tcPr>
          <w:p w14:paraId="5FFEFF19">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执行《哈密市全市总体准入要求》第十六条 关于污染物排放管控的要求；第十八条 关于环境质量管控的要求。执行《山南片区总体准入要求》第八条 关于山南片区水污染物排放管控的要求。</w:t>
            </w:r>
          </w:p>
        </w:tc>
        <w:tc>
          <w:tcPr>
            <w:tcW w:w="1446" w:type="pct"/>
            <w:tcBorders>
              <w:tl2br w:val="nil"/>
              <w:tr2bl w:val="nil"/>
            </w:tcBorders>
            <w:vAlign w:val="center"/>
          </w:tcPr>
          <w:p w14:paraId="397050DF">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本项目不属于重点行业并且</w:t>
            </w:r>
            <w:r>
              <w:rPr>
                <w:rFonts w:hint="eastAsia"/>
                <w:color w:val="000000" w:themeColor="text1"/>
                <w:kern w:val="0"/>
                <w:sz w:val="21"/>
                <w:szCs w:val="21"/>
                <w:highlight w:val="none"/>
                <w:lang w:val="en-US" w:eastAsia="zh-CN"/>
                <w14:textFill>
                  <w14:solidFill>
                    <w14:schemeClr w14:val="tx1"/>
                  </w14:solidFill>
                </w14:textFill>
              </w:rPr>
              <w:t>不涉及燃煤锅炉。项目区周边无地表水体，矿井涌水用于生产、绿化、降尘，其余输送至选矿厂用于选矿生产；生活污水用达标处理好于矿区绿化，非灌溉期输送至选矿厂选矿利用，废水利用率为100%。</w:t>
            </w:r>
          </w:p>
        </w:tc>
      </w:tr>
      <w:tr w14:paraId="7BC69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tcBorders>
              <w:tl2br w:val="nil"/>
              <w:tr2bl w:val="nil"/>
            </w:tcBorders>
            <w:vAlign w:val="center"/>
          </w:tcPr>
          <w:p w14:paraId="7817FC3B">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325" w:type="pct"/>
            <w:vMerge w:val="continue"/>
            <w:tcBorders>
              <w:tl2br w:val="nil"/>
              <w:tr2bl w:val="nil"/>
            </w:tcBorders>
            <w:vAlign w:val="center"/>
          </w:tcPr>
          <w:p w14:paraId="2F29272B">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445" w:type="pct"/>
            <w:tcBorders>
              <w:tl2br w:val="nil"/>
              <w:tr2bl w:val="nil"/>
            </w:tcBorders>
            <w:vAlign w:val="center"/>
          </w:tcPr>
          <w:p w14:paraId="1F5534F0">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环境风险防控</w:t>
            </w:r>
          </w:p>
        </w:tc>
        <w:tc>
          <w:tcPr>
            <w:tcW w:w="2061" w:type="pct"/>
            <w:tcBorders>
              <w:tl2br w:val="nil"/>
              <w:tr2bl w:val="nil"/>
            </w:tcBorders>
            <w:vAlign w:val="center"/>
          </w:tcPr>
          <w:p w14:paraId="3A10B748">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执行《山南片区总体准入要求》第九条 关于矿山土壤污染风险防控的要求；第十条 关于土壤治理与修复重点的要求。</w:t>
            </w:r>
          </w:p>
        </w:tc>
        <w:tc>
          <w:tcPr>
            <w:tcW w:w="1446" w:type="pct"/>
            <w:tcBorders>
              <w:tl2br w:val="nil"/>
              <w:tr2bl w:val="nil"/>
            </w:tcBorders>
            <w:vAlign w:val="center"/>
          </w:tcPr>
          <w:p w14:paraId="122A4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本项目土壤污染防治措施按照“源头控制、过程防控和跟踪监控”相结合的原则进行控制。项目区周边无沙漠、滩涂、盐碱地、沼泽等，运营期废水利用率100%，各项固体废物妥善处置，对土壤环境影响较小。根据本次环评制定土壤环境监测计划，如发现土壤污染，应制定修复进度计划，修复土壤环境。</w:t>
            </w:r>
          </w:p>
        </w:tc>
      </w:tr>
      <w:tr w14:paraId="01CBE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tcBorders>
              <w:tl2br w:val="nil"/>
              <w:tr2bl w:val="nil"/>
            </w:tcBorders>
            <w:vAlign w:val="center"/>
          </w:tcPr>
          <w:p w14:paraId="6081740B">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325" w:type="pct"/>
            <w:vMerge w:val="continue"/>
            <w:tcBorders>
              <w:tl2br w:val="nil"/>
              <w:tr2bl w:val="nil"/>
            </w:tcBorders>
            <w:vAlign w:val="center"/>
          </w:tcPr>
          <w:p w14:paraId="1B16A9EE">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445" w:type="pct"/>
            <w:tcBorders>
              <w:tl2br w:val="nil"/>
              <w:tr2bl w:val="nil"/>
            </w:tcBorders>
            <w:vAlign w:val="center"/>
          </w:tcPr>
          <w:p w14:paraId="0C4B7BDB">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资源利用效率</w:t>
            </w:r>
          </w:p>
        </w:tc>
        <w:tc>
          <w:tcPr>
            <w:tcW w:w="2061" w:type="pct"/>
            <w:tcBorders>
              <w:tl2br w:val="nil"/>
              <w:tr2bl w:val="nil"/>
            </w:tcBorders>
            <w:vAlign w:val="center"/>
          </w:tcPr>
          <w:p w14:paraId="5E23CA46">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严格控制地下水开采新增量。</w:t>
            </w:r>
          </w:p>
        </w:tc>
        <w:tc>
          <w:tcPr>
            <w:tcW w:w="1446" w:type="pct"/>
            <w:tcBorders>
              <w:tl2br w:val="nil"/>
              <w:tr2bl w:val="nil"/>
            </w:tcBorders>
            <w:vAlign w:val="center"/>
          </w:tcPr>
          <w:p w14:paraId="3F89CDF9">
            <w:pPr>
              <w:keepNext w:val="0"/>
              <w:keepLines w:val="0"/>
              <w:suppressLineNumbers w:val="0"/>
              <w:adjustRightInd w:val="0"/>
              <w:snapToGrid w:val="0"/>
              <w:spacing w:before="0" w:beforeAutospacing="0" w:after="0" w:afterAutospacing="0" w:line="360" w:lineRule="exact"/>
              <w:ind w:left="0" w:right="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本项目不</w:t>
            </w:r>
            <w:r>
              <w:rPr>
                <w:rFonts w:hint="default"/>
                <w:color w:val="000000" w:themeColor="text1"/>
                <w:kern w:val="0"/>
                <w:sz w:val="21"/>
                <w:szCs w:val="21"/>
                <w:highlight w:val="none"/>
                <w14:textFill>
                  <w14:solidFill>
                    <w14:schemeClr w14:val="tx1"/>
                  </w14:solidFill>
                </w14:textFill>
              </w:rPr>
              <w:t>新增地下水开采</w:t>
            </w:r>
            <w:r>
              <w:rPr>
                <w:rFonts w:hint="eastAsia"/>
                <w:color w:val="000000" w:themeColor="text1"/>
                <w:kern w:val="0"/>
                <w:sz w:val="21"/>
                <w:szCs w:val="21"/>
                <w:highlight w:val="none"/>
                <w:lang w:eastAsia="zh-CN"/>
                <w14:textFill>
                  <w14:solidFill>
                    <w14:schemeClr w14:val="tx1"/>
                  </w14:solidFill>
                </w14:textFill>
              </w:rPr>
              <w:t>量。</w:t>
            </w:r>
          </w:p>
        </w:tc>
      </w:tr>
    </w:tbl>
    <w:p w14:paraId="7EE9E185">
      <w:pPr>
        <w:spacing w:line="480" w:lineRule="exact"/>
        <w:ind w:firstLine="480" w:firstLineChars="200"/>
        <w:rPr>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本项目所在地哈密市伊州区不属于《关于印发新疆维吾尔自治区28个国家重点生态功能区县（市）产业准入负面清单</w:t>
      </w:r>
      <w:r>
        <w:rPr>
          <w:rFonts w:hint="eastAsia"/>
          <w:color w:val="000000" w:themeColor="text1"/>
          <w:kern w:val="10"/>
          <w:sz w:val="24"/>
          <w:szCs w:val="24"/>
          <w:lang w:eastAsia="zh-CN"/>
          <w14:textFill>
            <w14:solidFill>
              <w14:schemeClr w14:val="tx1"/>
            </w14:solidFill>
          </w14:textFill>
        </w:rPr>
        <w:t>（</w:t>
      </w:r>
      <w:r>
        <w:rPr>
          <w:rFonts w:hint="eastAsia"/>
          <w:color w:val="000000" w:themeColor="text1"/>
          <w:kern w:val="10"/>
          <w:sz w:val="24"/>
          <w:szCs w:val="24"/>
          <w14:textFill>
            <w14:solidFill>
              <w14:schemeClr w14:val="tx1"/>
            </w14:solidFill>
          </w14:textFill>
        </w:rPr>
        <w:t>试行</w:t>
      </w:r>
      <w:r>
        <w:rPr>
          <w:rFonts w:hint="eastAsia"/>
          <w:color w:val="000000" w:themeColor="text1"/>
          <w:kern w:val="10"/>
          <w:sz w:val="24"/>
          <w:szCs w:val="24"/>
          <w:lang w:eastAsia="zh-CN"/>
          <w14:textFill>
            <w14:solidFill>
              <w14:schemeClr w14:val="tx1"/>
            </w14:solidFill>
          </w14:textFill>
        </w:rPr>
        <w:t>）</w:t>
      </w:r>
      <w:r>
        <w:rPr>
          <w:rFonts w:hint="eastAsia"/>
          <w:color w:val="000000" w:themeColor="text1"/>
          <w:kern w:val="10"/>
          <w:sz w:val="24"/>
          <w:szCs w:val="24"/>
          <w14:textFill>
            <w14:solidFill>
              <w14:schemeClr w14:val="tx1"/>
            </w14:solidFill>
          </w14:textFill>
        </w:rPr>
        <w:t>的通知》《新疆维吾尔自治区17个新增纳入国家重点生态功能区县（市）产业准入负面清单》中划定的重点生态功能区县。</w:t>
      </w:r>
    </w:p>
    <w:p w14:paraId="30A8BD68">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综上，本项目</w:t>
      </w:r>
      <w:r>
        <w:rPr>
          <w:color w:val="000000" w:themeColor="text1"/>
          <w:sz w:val="24"/>
          <w:szCs w:val="24"/>
          <w14:textFill>
            <w14:solidFill>
              <w14:schemeClr w14:val="tx1"/>
            </w14:solidFill>
          </w14:textFill>
        </w:rPr>
        <w:t>符合</w:t>
      </w:r>
      <w:r>
        <w:rPr>
          <w:rFonts w:hint="eastAsia"/>
          <w:color w:val="000000" w:themeColor="text1"/>
          <w:sz w:val="24"/>
          <w:szCs w:val="24"/>
          <w:lang w:val="en-US" w:eastAsia="zh-CN"/>
          <w14:textFill>
            <w14:solidFill>
              <w14:schemeClr w14:val="tx1"/>
            </w14:solidFill>
          </w14:textFill>
        </w:rPr>
        <w:t>生态环境分区管控</w:t>
      </w:r>
      <w:r>
        <w:rPr>
          <w:color w:val="000000" w:themeColor="text1"/>
          <w:sz w:val="24"/>
          <w:szCs w:val="24"/>
          <w14:textFill>
            <w14:solidFill>
              <w14:schemeClr w14:val="tx1"/>
            </w14:solidFill>
          </w14:textFill>
        </w:rPr>
        <w:t>的相关规定。</w:t>
      </w:r>
    </w:p>
    <w:p w14:paraId="61206966">
      <w:pPr>
        <w:pStyle w:val="3"/>
        <w:jc w:val="left"/>
        <w:rPr>
          <w:bCs/>
          <w:color w:val="000000" w:themeColor="text1"/>
          <w:kern w:val="2"/>
          <w:szCs w:val="32"/>
          <w14:textFill>
            <w14:solidFill>
              <w14:schemeClr w14:val="tx1"/>
            </w14:solidFill>
          </w14:textFill>
        </w:rPr>
      </w:pPr>
      <w:bookmarkStart w:id="326" w:name="_Toc7830"/>
      <w:bookmarkStart w:id="327" w:name="_Toc111767554"/>
      <w:r>
        <w:rPr>
          <w:rFonts w:hint="eastAsia"/>
          <w:bCs/>
          <w:color w:val="000000" w:themeColor="text1"/>
          <w:kern w:val="2"/>
          <w:szCs w:val="32"/>
          <w14:textFill>
            <w14:solidFill>
              <w14:schemeClr w14:val="tx1"/>
            </w14:solidFill>
          </w14:textFill>
        </w:rPr>
        <w:t>3.</w:t>
      </w:r>
      <w:r>
        <w:rPr>
          <w:rFonts w:hint="eastAsia"/>
          <w:bCs/>
          <w:color w:val="000000" w:themeColor="text1"/>
          <w:kern w:val="2"/>
          <w:szCs w:val="32"/>
          <w:lang w:val="en-US" w:eastAsia="zh-CN"/>
          <w14:textFill>
            <w14:solidFill>
              <w14:schemeClr w14:val="tx1"/>
            </w14:solidFill>
          </w14:textFill>
        </w:rPr>
        <w:t>5</w:t>
      </w:r>
      <w:r>
        <w:rPr>
          <w:rFonts w:hint="eastAsia"/>
          <w:bCs/>
          <w:color w:val="000000" w:themeColor="text1"/>
          <w:kern w:val="2"/>
          <w:szCs w:val="32"/>
          <w14:textFill>
            <w14:solidFill>
              <w14:schemeClr w14:val="tx1"/>
            </w14:solidFill>
          </w14:textFill>
        </w:rPr>
        <w:t>清洁生产水平分析</w:t>
      </w:r>
      <w:bookmarkEnd w:id="326"/>
      <w:bookmarkEnd w:id="327"/>
    </w:p>
    <w:p w14:paraId="702F3388">
      <w:pPr>
        <w:spacing w:line="480" w:lineRule="exact"/>
        <w:ind w:firstLine="480" w:firstLineChars="200"/>
        <w:rPr>
          <w:rFonts w:hint="eastAsia"/>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清洁生产是对产品和产品的生产过程采用预防污染的策略来减少污染物的产生。它是一种新的创造性的思想，将整体预防的环境战略持续应用于生产过程、产品和服务中，以增加生态效益和减少对人类及环境的风险。</w:t>
      </w:r>
    </w:p>
    <w:p w14:paraId="35A730B6">
      <w:pPr>
        <w:spacing w:line="480" w:lineRule="exact"/>
        <w:ind w:firstLine="480" w:firstLineChars="200"/>
        <w:rPr>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本项目按照《清洁生产标准 铁矿采选行业》（HJ/T294-2006）进行分析。该标准根据当前的行业技术、装备水平和管理水平而制订，共分为三级，一级代表国际清洁生产先进水平，二级代表国内清洁生产先进水平，三级代表国内清洁生产基本水平。</w:t>
      </w:r>
    </w:p>
    <w:p w14:paraId="2E89577D">
      <w:pPr>
        <w:pStyle w:val="4"/>
        <w:spacing w:before="60" w:after="60" w:line="480" w:lineRule="exact"/>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w:t>
      </w:r>
      <w:r>
        <w:rPr>
          <w:rFonts w:hint="eastAsia"/>
          <w:color w:val="000000" w:themeColor="text1"/>
          <w:kern w:val="2"/>
          <w:lang w:val="en-US" w:eastAsia="zh-CN"/>
          <w14:textFill>
            <w14:solidFill>
              <w14:schemeClr w14:val="tx1"/>
            </w14:solidFill>
          </w14:textFill>
        </w:rPr>
        <w:t>5</w:t>
      </w: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清洁生产评价</w:t>
      </w:r>
    </w:p>
    <w:p w14:paraId="399020A6">
      <w:pPr>
        <w:spacing w:line="480" w:lineRule="exact"/>
        <w:ind w:firstLine="480" w:firstLineChars="200"/>
        <w:rPr>
          <w:rFonts w:hint="eastAsia"/>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清洁生产是对产品和产品的生产过程采用预防污染的策略来减少污染物的产生。它是一种新的创造性的思想，将整体预防的环境战略持续应用于生产过程、产品和服务中，以增加生态效益和减少对人类及环境的风险。</w:t>
      </w:r>
    </w:p>
    <w:p w14:paraId="57FF267B">
      <w:pPr>
        <w:spacing w:line="480" w:lineRule="exact"/>
        <w:ind w:firstLine="480" w:firstLineChars="200"/>
        <w:rPr>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本次评价按照《清洁生产标准 铁矿采选业》（HJ/T294-2006）进行分析。该标准根据当前的行业技术、装备水平和管理水平而制订，共分为三级，一级代表国际清洁生产先进水平，二级代表国内清洁生产先进水平，三级代表国内清洁生产基本水平。</w:t>
      </w:r>
    </w:p>
    <w:p w14:paraId="4E4D5CCD">
      <w:pPr>
        <w:pStyle w:val="4"/>
        <w:spacing w:before="60" w:after="60" w:line="480" w:lineRule="exact"/>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w:t>
      </w:r>
      <w:r>
        <w:rPr>
          <w:rFonts w:hint="eastAsia"/>
          <w:color w:val="000000" w:themeColor="text1"/>
          <w:kern w:val="2"/>
          <w:lang w:val="en-US" w:eastAsia="zh-CN"/>
          <w14:textFill>
            <w14:solidFill>
              <w14:schemeClr w14:val="tx1"/>
            </w14:solidFill>
          </w14:textFill>
        </w:rPr>
        <w:t>5</w:t>
      </w: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指标选取</w:t>
      </w:r>
    </w:p>
    <w:p w14:paraId="71E4664C">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清洁生产的一般要求，清洁生产指标原则上分为装备要求、资源能源利用指标、废物回收利用指标、环境管理要求等。根据黑色金属矿采选行业的特点，本环评将清洁生产指标分为工艺装备要求、资源能源利用指标、废物回收利用指标和环境管理要求，共分为四项指标。具体内容见表3.</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-1。</w:t>
      </w:r>
    </w:p>
    <w:p w14:paraId="31B65619">
      <w:pPr>
        <w:spacing w:line="480" w:lineRule="exact"/>
        <w:jc w:val="center"/>
        <w:rPr>
          <w:b/>
          <w:color w:val="000000" w:themeColor="text1"/>
          <w:kern w:val="0"/>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3.</w:t>
      </w:r>
      <w:r>
        <w:rPr>
          <w:rFonts w:hint="eastAsia"/>
          <w:b/>
          <w:color w:val="000000" w:themeColor="text1"/>
          <w:sz w:val="24"/>
          <w:szCs w:val="24"/>
          <w:lang w:val="en-US" w:eastAsia="zh-CN"/>
          <w14:textFill>
            <w14:solidFill>
              <w14:schemeClr w14:val="tx1"/>
            </w14:solidFill>
          </w14:textFill>
        </w:rPr>
        <w:t>5</w:t>
      </w:r>
      <w:r>
        <w:rPr>
          <w:b/>
          <w:color w:val="000000" w:themeColor="text1"/>
          <w:sz w:val="24"/>
          <w:szCs w:val="24"/>
          <w14:textFill>
            <w14:solidFill>
              <w14:schemeClr w14:val="tx1"/>
            </w14:solidFill>
          </w14:textFill>
        </w:rPr>
        <w:t>-1     铁矿采选行业清洁生产技术要求（地下开采类）</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352"/>
        <w:gridCol w:w="1801"/>
        <w:gridCol w:w="1633"/>
        <w:gridCol w:w="1636"/>
        <w:gridCol w:w="1674"/>
      </w:tblGrid>
      <w:tr w14:paraId="04742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43" w:type="pct"/>
            <w:gridSpan w:val="2"/>
            <w:noWrap w:val="0"/>
            <w:vAlign w:val="center"/>
          </w:tcPr>
          <w:p w14:paraId="4533ACB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指标</w:t>
            </w:r>
          </w:p>
        </w:tc>
        <w:tc>
          <w:tcPr>
            <w:tcW w:w="1057" w:type="pct"/>
            <w:noWrap w:val="0"/>
            <w:vAlign w:val="center"/>
          </w:tcPr>
          <w:p w14:paraId="22BC6DC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一级</w:t>
            </w:r>
          </w:p>
        </w:tc>
        <w:tc>
          <w:tcPr>
            <w:tcW w:w="958" w:type="pct"/>
            <w:noWrap w:val="0"/>
            <w:vAlign w:val="center"/>
          </w:tcPr>
          <w:p w14:paraId="242F7D67">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二级</w:t>
            </w:r>
          </w:p>
        </w:tc>
        <w:tc>
          <w:tcPr>
            <w:tcW w:w="959" w:type="pct"/>
            <w:noWrap w:val="0"/>
            <w:vAlign w:val="center"/>
          </w:tcPr>
          <w:p w14:paraId="217F2AC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三级</w:t>
            </w:r>
          </w:p>
        </w:tc>
        <w:tc>
          <w:tcPr>
            <w:tcW w:w="980" w:type="pct"/>
            <w:noWrap w:val="0"/>
            <w:vAlign w:val="center"/>
          </w:tcPr>
          <w:p w14:paraId="6924C746">
            <w:pPr>
              <w:keepNext w:val="0"/>
              <w:keepLines w:val="0"/>
              <w:suppressLineNumbers w:val="0"/>
              <w:snapToGrid w:val="0"/>
              <w:spacing w:before="0" w:beforeAutospacing="0" w:after="0" w:afterAutospacing="0" w:line="360" w:lineRule="exact"/>
              <w:ind w:left="0" w:right="0"/>
              <w:jc w:val="center"/>
              <w:rPr>
                <w:rFonts w:hint="eastAsia" w:ascii="Times New Roman" w:hAnsi="Times New Roman" w:eastAsia="宋体" w:cs="Times New Roman"/>
                <w:b/>
                <w:color w:val="000000" w:themeColor="text1"/>
                <w:lang w:eastAsia="zh-CN"/>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本</w:t>
            </w:r>
            <w:r>
              <w:rPr>
                <w:rFonts w:hint="eastAsia" w:cs="Times New Roman"/>
                <w:b/>
                <w:color w:val="000000" w:themeColor="text1"/>
                <w:szCs w:val="21"/>
                <w:lang w:val="en-US" w:eastAsia="zh-CN"/>
                <w14:textFill>
                  <w14:solidFill>
                    <w14:schemeClr w14:val="tx1"/>
                  </w14:solidFill>
                </w14:textFill>
              </w:rPr>
              <w:t>项目</w:t>
            </w:r>
          </w:p>
        </w:tc>
      </w:tr>
      <w:tr w14:paraId="4391A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2CEB69E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一、工艺装备要求</w:t>
            </w:r>
          </w:p>
        </w:tc>
      </w:tr>
      <w:tr w14:paraId="42429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7AD6B2D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凿岩</w:t>
            </w:r>
          </w:p>
        </w:tc>
        <w:tc>
          <w:tcPr>
            <w:tcW w:w="1057" w:type="pct"/>
            <w:noWrap w:val="0"/>
            <w:vAlign w:val="center"/>
          </w:tcPr>
          <w:p w14:paraId="4EA598E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采用国际先进的高效、信息化程度高、凿岩效率高、配有除尘净化装置的凿岩台车</w:t>
            </w:r>
          </w:p>
        </w:tc>
        <w:tc>
          <w:tcPr>
            <w:tcW w:w="958" w:type="pct"/>
            <w:noWrap w:val="0"/>
            <w:vAlign w:val="center"/>
          </w:tcPr>
          <w:p w14:paraId="22EB0DC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采用国际先进的凿岩效率较高、配有除尘净化装置的凿岩台车</w:t>
            </w:r>
          </w:p>
        </w:tc>
        <w:tc>
          <w:tcPr>
            <w:tcW w:w="959" w:type="pct"/>
            <w:noWrap w:val="0"/>
            <w:vAlign w:val="center"/>
          </w:tcPr>
          <w:p w14:paraId="4CEE40C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采用国产较先进的配有除尘净化装置的凿岩设备</w:t>
            </w:r>
          </w:p>
        </w:tc>
        <w:tc>
          <w:tcPr>
            <w:tcW w:w="980" w:type="pct"/>
            <w:noWrap w:val="0"/>
            <w:vAlign w:val="center"/>
          </w:tcPr>
          <w:p w14:paraId="6C522742">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75E09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2BF7F0B4">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爆破</w:t>
            </w:r>
          </w:p>
        </w:tc>
        <w:tc>
          <w:tcPr>
            <w:tcW w:w="1057" w:type="pct"/>
            <w:noWrap w:val="0"/>
            <w:vAlign w:val="center"/>
          </w:tcPr>
          <w:p w14:paraId="0D2B39D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采用国际先进的机械化程度高的装药车，采用控制爆破技术</w:t>
            </w:r>
          </w:p>
        </w:tc>
        <w:tc>
          <w:tcPr>
            <w:tcW w:w="958" w:type="pct"/>
            <w:noWrap w:val="0"/>
            <w:vAlign w:val="center"/>
          </w:tcPr>
          <w:p w14:paraId="12D7113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采用国内先进的机械化程度较高的装药车，采用控制爆破技术</w:t>
            </w:r>
          </w:p>
        </w:tc>
        <w:tc>
          <w:tcPr>
            <w:tcW w:w="959" w:type="pct"/>
            <w:noWrap w:val="0"/>
            <w:vAlign w:val="center"/>
          </w:tcPr>
          <w:p w14:paraId="3401B207">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spacing w:val="-16"/>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厚矿体采用机械化装药，薄矿体采用人工装药</w:t>
            </w:r>
          </w:p>
        </w:tc>
        <w:tc>
          <w:tcPr>
            <w:tcW w:w="980" w:type="pct"/>
            <w:noWrap w:val="0"/>
            <w:vAlign w:val="center"/>
          </w:tcPr>
          <w:p w14:paraId="2F6E0602">
            <w:pPr>
              <w:keepNext w:val="0"/>
              <w:keepLines w:val="0"/>
              <w:suppressLineNumbers w:val="0"/>
              <w:snapToGrid w:val="0"/>
              <w:spacing w:before="0" w:beforeAutospacing="0" w:after="0" w:afterAutospacing="0" w:line="360" w:lineRule="exact"/>
              <w:ind w:left="0" w:right="0"/>
              <w:jc w:val="center"/>
              <w:rPr>
                <w:rFonts w:hint="eastAsia" w:ascii="Times New Roman" w:hAnsi="Times New Roman" w:eastAsia="宋体" w:cs="Times New Roman"/>
                <w:color w:val="000000" w:themeColor="text1"/>
                <w:spacing w:val="-16"/>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79F7C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2FDA2654">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铲装</w:t>
            </w:r>
          </w:p>
        </w:tc>
        <w:tc>
          <w:tcPr>
            <w:tcW w:w="1057" w:type="pct"/>
            <w:noWrap w:val="0"/>
            <w:vAlign w:val="center"/>
          </w:tcPr>
          <w:p w14:paraId="194BB08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采用国际先进的高效、能耗低的铲运机、装岩机等装岩设备，配有除尘净化设施</w:t>
            </w:r>
          </w:p>
        </w:tc>
        <w:tc>
          <w:tcPr>
            <w:tcW w:w="958" w:type="pct"/>
            <w:noWrap w:val="0"/>
            <w:vAlign w:val="center"/>
          </w:tcPr>
          <w:p w14:paraId="56B383B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采用国内先进的高效、能耗低的铲运机、装岩机等装岩设备，配有除尘净化设施</w:t>
            </w:r>
          </w:p>
        </w:tc>
        <w:tc>
          <w:tcPr>
            <w:tcW w:w="959" w:type="pct"/>
            <w:noWrap w:val="0"/>
            <w:vAlign w:val="center"/>
          </w:tcPr>
          <w:p w14:paraId="370B54C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采用国内较先进的机械化装岩设备，配有除尘净化设施</w:t>
            </w:r>
          </w:p>
        </w:tc>
        <w:tc>
          <w:tcPr>
            <w:tcW w:w="980" w:type="pct"/>
            <w:noWrap w:val="0"/>
            <w:vAlign w:val="center"/>
          </w:tcPr>
          <w:p w14:paraId="45AA80F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7ED3F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75ECF0E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运输</w:t>
            </w:r>
          </w:p>
        </w:tc>
        <w:tc>
          <w:tcPr>
            <w:tcW w:w="2015" w:type="pct"/>
            <w:gridSpan w:val="2"/>
            <w:noWrap w:val="0"/>
            <w:vAlign w:val="center"/>
          </w:tcPr>
          <w:p w14:paraId="0106CB3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采用高效、规模化、配套的机械运输体系，如电机车运输，胶带运输，配有除尘净化设施</w:t>
            </w:r>
          </w:p>
        </w:tc>
        <w:tc>
          <w:tcPr>
            <w:tcW w:w="959" w:type="pct"/>
            <w:noWrap w:val="0"/>
            <w:vAlign w:val="center"/>
          </w:tcPr>
          <w:p w14:paraId="6CF3AEE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采用国内较先进的机械化运输体系，配有除尘净化设施</w:t>
            </w:r>
          </w:p>
        </w:tc>
        <w:tc>
          <w:tcPr>
            <w:tcW w:w="980" w:type="pct"/>
            <w:noWrap w:val="0"/>
            <w:vAlign w:val="center"/>
          </w:tcPr>
          <w:p w14:paraId="77D3473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10389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4A6ED29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通风</w:t>
            </w:r>
          </w:p>
        </w:tc>
        <w:tc>
          <w:tcPr>
            <w:tcW w:w="1057" w:type="pct"/>
            <w:noWrap w:val="0"/>
            <w:vAlign w:val="center"/>
          </w:tcPr>
          <w:p w14:paraId="512DF9D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采用配有自动控制、监测系统的通</w:t>
            </w:r>
            <w:r>
              <w:rPr>
                <w:rFonts w:hint="eastAsia" w:cs="Times New Roman"/>
                <w:color w:val="000000" w:themeColor="text1"/>
                <w:szCs w:val="21"/>
                <w:lang w:val="en-US" w:eastAsia="zh-CN"/>
                <w14:textFill>
                  <w14:solidFill>
                    <w14:schemeClr w14:val="tx1"/>
                  </w14:solidFill>
                </w14:textFill>
              </w:rPr>
              <w:t>风</w:t>
            </w:r>
            <w:r>
              <w:rPr>
                <w:rFonts w:hint="default" w:ascii="Times New Roman" w:hAnsi="Times New Roman" w:cs="Times New Roman"/>
                <w:color w:val="000000" w:themeColor="text1"/>
                <w:szCs w:val="21"/>
                <w14:textFill>
                  <w14:solidFill>
                    <w14:schemeClr w14:val="tx1"/>
                  </w14:solidFill>
                </w14:textFill>
              </w:rPr>
              <w:t>系统，采用低压、大风</w:t>
            </w:r>
            <w:r>
              <w:rPr>
                <w:rFonts w:hint="eastAsia" w:cs="Times New Roman"/>
                <w:color w:val="000000" w:themeColor="text1"/>
                <w:szCs w:val="21"/>
                <w:lang w:val="en-US" w:eastAsia="zh-CN"/>
                <w14:textFill>
                  <w14:solidFill>
                    <w14:schemeClr w14:val="tx1"/>
                  </w14:solidFill>
                </w14:textFill>
              </w:rPr>
              <w:t>量</w:t>
            </w:r>
            <w:r>
              <w:rPr>
                <w:rFonts w:hint="default" w:ascii="Times New Roman" w:hAnsi="Times New Roman" w:cs="Times New Roman"/>
                <w:color w:val="000000" w:themeColor="text1"/>
                <w:szCs w:val="21"/>
                <w14:textFill>
                  <w14:solidFill>
                    <w14:schemeClr w14:val="tx1"/>
                  </w14:solidFill>
                </w14:textFill>
              </w:rPr>
              <w:t>、高效、节能的矿用通风机</w:t>
            </w:r>
          </w:p>
        </w:tc>
        <w:tc>
          <w:tcPr>
            <w:tcW w:w="1917" w:type="pct"/>
            <w:gridSpan w:val="2"/>
            <w:noWrap w:val="0"/>
            <w:vAlign w:val="center"/>
          </w:tcPr>
          <w:p w14:paraId="25C6AA6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采用大风量、低压、高效、节能的矿用通风机</w:t>
            </w:r>
          </w:p>
        </w:tc>
        <w:tc>
          <w:tcPr>
            <w:tcW w:w="980" w:type="pct"/>
            <w:noWrap w:val="0"/>
            <w:vAlign w:val="center"/>
          </w:tcPr>
          <w:p w14:paraId="2095C55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1B28A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436645C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排水</w:t>
            </w:r>
          </w:p>
        </w:tc>
        <w:tc>
          <w:tcPr>
            <w:tcW w:w="1057" w:type="pct"/>
            <w:noWrap w:val="0"/>
            <w:vAlign w:val="center"/>
          </w:tcPr>
          <w:p w14:paraId="1FDB054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满足30年一遇的矿坑涌水量排水要求</w:t>
            </w:r>
          </w:p>
        </w:tc>
        <w:tc>
          <w:tcPr>
            <w:tcW w:w="958" w:type="pct"/>
            <w:noWrap w:val="0"/>
            <w:vAlign w:val="center"/>
          </w:tcPr>
          <w:p w14:paraId="6224C96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满足20年一遇的矿坑涌水量排水要求</w:t>
            </w:r>
          </w:p>
        </w:tc>
        <w:tc>
          <w:tcPr>
            <w:tcW w:w="959" w:type="pct"/>
            <w:noWrap w:val="0"/>
            <w:vAlign w:val="center"/>
          </w:tcPr>
          <w:p w14:paraId="5F552FF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满足最大的矿坑涌水量排水要求</w:t>
            </w:r>
          </w:p>
        </w:tc>
        <w:tc>
          <w:tcPr>
            <w:tcW w:w="980" w:type="pct"/>
            <w:noWrap w:val="0"/>
            <w:vAlign w:val="center"/>
          </w:tcPr>
          <w:p w14:paraId="1F31D5A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1A281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3531BDC7">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二、资源能源利用指标</w:t>
            </w:r>
          </w:p>
        </w:tc>
      </w:tr>
      <w:tr w14:paraId="3BD5B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3F26E0A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回采率（%）</w:t>
            </w:r>
          </w:p>
        </w:tc>
        <w:tc>
          <w:tcPr>
            <w:tcW w:w="1057" w:type="pct"/>
            <w:noWrap w:val="0"/>
            <w:vAlign w:val="center"/>
          </w:tcPr>
          <w:p w14:paraId="45A933B9">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w:t>
            </w:r>
          </w:p>
        </w:tc>
        <w:tc>
          <w:tcPr>
            <w:tcW w:w="958" w:type="pct"/>
            <w:noWrap w:val="0"/>
            <w:vAlign w:val="center"/>
          </w:tcPr>
          <w:p w14:paraId="39A3C2B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≥80</w:t>
            </w:r>
          </w:p>
        </w:tc>
        <w:tc>
          <w:tcPr>
            <w:tcW w:w="959" w:type="pct"/>
            <w:noWrap w:val="0"/>
            <w:vAlign w:val="center"/>
          </w:tcPr>
          <w:p w14:paraId="73B22C3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w:t>
            </w:r>
          </w:p>
        </w:tc>
        <w:tc>
          <w:tcPr>
            <w:tcW w:w="980" w:type="pct"/>
            <w:noWrap w:val="0"/>
            <w:vAlign w:val="center"/>
          </w:tcPr>
          <w:p w14:paraId="18D0530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85，二级</w:t>
            </w:r>
          </w:p>
        </w:tc>
      </w:tr>
      <w:tr w14:paraId="333ED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0FBC564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贫化率（%）</w:t>
            </w:r>
          </w:p>
        </w:tc>
        <w:tc>
          <w:tcPr>
            <w:tcW w:w="1057" w:type="pct"/>
            <w:noWrap w:val="0"/>
            <w:vAlign w:val="center"/>
          </w:tcPr>
          <w:p w14:paraId="40EA0FE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958" w:type="pct"/>
            <w:noWrap w:val="0"/>
            <w:vAlign w:val="center"/>
          </w:tcPr>
          <w:p w14:paraId="17A13EF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959" w:type="pct"/>
            <w:noWrap w:val="0"/>
            <w:vAlign w:val="center"/>
          </w:tcPr>
          <w:p w14:paraId="3757911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980" w:type="pct"/>
            <w:noWrap w:val="0"/>
            <w:vAlign w:val="center"/>
          </w:tcPr>
          <w:p w14:paraId="4256807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0</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二</w:t>
            </w:r>
            <w:r>
              <w:rPr>
                <w:rFonts w:hint="default" w:ascii="Times New Roman" w:hAnsi="Times New Roman" w:cs="Times New Roman"/>
                <w:color w:val="000000" w:themeColor="text1"/>
                <w:szCs w:val="21"/>
                <w14:textFill>
                  <w14:solidFill>
                    <w14:schemeClr w14:val="tx1"/>
                  </w14:solidFill>
                </w14:textFill>
              </w:rPr>
              <w:t>级</w:t>
            </w:r>
          </w:p>
        </w:tc>
      </w:tr>
      <w:tr w14:paraId="6E175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14D5016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采矿强度（t/m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·a）</w:t>
            </w:r>
          </w:p>
        </w:tc>
        <w:tc>
          <w:tcPr>
            <w:tcW w:w="1057" w:type="pct"/>
            <w:noWrap w:val="0"/>
            <w:vAlign w:val="center"/>
          </w:tcPr>
          <w:p w14:paraId="43020F1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958" w:type="pct"/>
            <w:noWrap w:val="0"/>
            <w:vAlign w:val="center"/>
          </w:tcPr>
          <w:p w14:paraId="54E07B5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959" w:type="pct"/>
            <w:noWrap w:val="0"/>
            <w:vAlign w:val="center"/>
          </w:tcPr>
          <w:p w14:paraId="22BA870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980" w:type="pct"/>
            <w:noWrap w:val="0"/>
            <w:vAlign w:val="center"/>
          </w:tcPr>
          <w:p w14:paraId="7D4130C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30，二级</w:t>
            </w:r>
          </w:p>
        </w:tc>
      </w:tr>
      <w:tr w14:paraId="09814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6B159E42">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电耗（kW·h/t）</w:t>
            </w:r>
          </w:p>
        </w:tc>
        <w:tc>
          <w:tcPr>
            <w:tcW w:w="1057" w:type="pct"/>
            <w:noWrap w:val="0"/>
            <w:vAlign w:val="center"/>
          </w:tcPr>
          <w:p w14:paraId="156C492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958" w:type="pct"/>
            <w:noWrap w:val="0"/>
            <w:vAlign w:val="center"/>
          </w:tcPr>
          <w:p w14:paraId="544D9A4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w:t>
            </w:r>
          </w:p>
        </w:tc>
        <w:tc>
          <w:tcPr>
            <w:tcW w:w="959" w:type="pct"/>
            <w:noWrap w:val="0"/>
            <w:vAlign w:val="center"/>
          </w:tcPr>
          <w:p w14:paraId="0B5EB43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w:t>
            </w:r>
          </w:p>
        </w:tc>
        <w:tc>
          <w:tcPr>
            <w:tcW w:w="980" w:type="pct"/>
            <w:noWrap w:val="0"/>
            <w:vAlign w:val="center"/>
          </w:tcPr>
          <w:p w14:paraId="0DF8FC5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16.4，二级</w:t>
            </w:r>
          </w:p>
        </w:tc>
      </w:tr>
      <w:tr w14:paraId="6BEB0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591C209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废石综合利用率（%）</w:t>
            </w:r>
          </w:p>
        </w:tc>
        <w:tc>
          <w:tcPr>
            <w:tcW w:w="1057" w:type="pct"/>
            <w:noWrap w:val="0"/>
            <w:vAlign w:val="center"/>
          </w:tcPr>
          <w:p w14:paraId="12B7E93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958" w:type="pct"/>
            <w:noWrap w:val="0"/>
            <w:vAlign w:val="center"/>
          </w:tcPr>
          <w:p w14:paraId="79BB9B77">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959" w:type="pct"/>
            <w:noWrap w:val="0"/>
            <w:vAlign w:val="center"/>
          </w:tcPr>
          <w:p w14:paraId="6D253A3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980" w:type="pct"/>
            <w:noWrap w:val="0"/>
            <w:vAlign w:val="center"/>
          </w:tcPr>
          <w:p w14:paraId="23FA04B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100%</w:t>
            </w:r>
            <w:r>
              <w:rPr>
                <w:rFonts w:hint="default" w:ascii="Times New Roman" w:hAnsi="Times New Roman" w:cs="Times New Roman"/>
                <w:color w:val="000000" w:themeColor="text1"/>
                <w:szCs w:val="21"/>
                <w14:textFill>
                  <w14:solidFill>
                    <w14:schemeClr w14:val="tx1"/>
                  </w14:solidFill>
                </w14:textFill>
              </w:rPr>
              <w:t>，一级</w:t>
            </w:r>
          </w:p>
        </w:tc>
      </w:tr>
      <w:tr w14:paraId="1D78D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553F3D5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四、环境管理要求</w:t>
            </w:r>
          </w:p>
        </w:tc>
      </w:tr>
      <w:tr w14:paraId="0002D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7440060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环境法律法规标准</w:t>
            </w:r>
          </w:p>
        </w:tc>
        <w:tc>
          <w:tcPr>
            <w:tcW w:w="3956" w:type="pct"/>
            <w:gridSpan w:val="4"/>
            <w:noWrap w:val="0"/>
            <w:vAlign w:val="center"/>
          </w:tcPr>
          <w:p w14:paraId="4AA9889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符合国家和地方有关环境、法规，污染物排放达到国家和</w:t>
            </w:r>
            <w:r>
              <w:rPr>
                <w:rFonts w:hint="eastAsia" w:cs="Times New Roman"/>
                <w:color w:val="000000" w:themeColor="text1"/>
                <w:szCs w:val="21"/>
                <w:lang w:val="en-US" w:eastAsia="zh-CN"/>
                <w14:textFill>
                  <w14:solidFill>
                    <w14:schemeClr w14:val="tx1"/>
                  </w14:solidFill>
                </w14:textFill>
              </w:rPr>
              <w:t>地方</w:t>
            </w:r>
            <w:r>
              <w:rPr>
                <w:rFonts w:hint="default" w:ascii="Times New Roman" w:hAnsi="Times New Roman" w:cs="Times New Roman"/>
                <w:color w:val="000000" w:themeColor="text1"/>
                <w:szCs w:val="21"/>
                <w14:textFill>
                  <w14:solidFill>
                    <w14:schemeClr w14:val="tx1"/>
                  </w14:solidFill>
                </w14:textFill>
              </w:rPr>
              <w:t>排放标准、总量控制和排污许可管理要求</w:t>
            </w:r>
          </w:p>
        </w:tc>
      </w:tr>
      <w:tr w14:paraId="324C1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5C75F99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环境审核</w:t>
            </w:r>
          </w:p>
        </w:tc>
        <w:tc>
          <w:tcPr>
            <w:tcW w:w="1057" w:type="pct"/>
            <w:noWrap w:val="0"/>
            <w:vAlign w:val="center"/>
          </w:tcPr>
          <w:p w14:paraId="5CB20E6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按照企业清洁生产审核指南的要求进行了审核；按照ISO14001建立并运行环境管理体系，环境管理手册、程序文件及作业文件齐备</w:t>
            </w:r>
          </w:p>
        </w:tc>
        <w:tc>
          <w:tcPr>
            <w:tcW w:w="958" w:type="pct"/>
            <w:noWrap w:val="0"/>
            <w:vAlign w:val="center"/>
          </w:tcPr>
          <w:p w14:paraId="7B2CCA1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按照企业清洁生产审核指南的要求进行了审核；环境管理制度健全，原始记录及统计数据齐全有效</w:t>
            </w:r>
          </w:p>
        </w:tc>
        <w:tc>
          <w:tcPr>
            <w:tcW w:w="959" w:type="pct"/>
            <w:noWrap w:val="0"/>
            <w:vAlign w:val="center"/>
          </w:tcPr>
          <w:p w14:paraId="3FEB022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按照企业清洁生产审核指南的要求进行了审核；环境管理制度、原始记录及统计数据基本齐全</w:t>
            </w:r>
          </w:p>
        </w:tc>
        <w:tc>
          <w:tcPr>
            <w:tcW w:w="980" w:type="pct"/>
            <w:noWrap w:val="0"/>
            <w:vAlign w:val="center"/>
          </w:tcPr>
          <w:p w14:paraId="46221544">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企业</w:t>
            </w:r>
            <w:r>
              <w:rPr>
                <w:rFonts w:hint="eastAsia" w:ascii="Times New Roman" w:hAnsi="Times New Roman" w:cs="Times New Roman"/>
                <w:color w:val="000000" w:themeColor="text1"/>
                <w:szCs w:val="21"/>
                <w14:textFill>
                  <w14:solidFill>
                    <w14:schemeClr w14:val="tx1"/>
                  </w14:solidFill>
                </w14:textFill>
              </w:rPr>
              <w:t>未开展</w:t>
            </w:r>
            <w:r>
              <w:rPr>
                <w:rFonts w:hint="default" w:ascii="Times New Roman" w:hAnsi="Times New Roman" w:cs="Times New Roman"/>
                <w:color w:val="000000" w:themeColor="text1"/>
                <w:szCs w:val="21"/>
                <w14:textFill>
                  <w14:solidFill>
                    <w14:schemeClr w14:val="tx1"/>
                  </w14:solidFill>
                </w14:textFill>
              </w:rPr>
              <w:t>清洁生产审核</w:t>
            </w:r>
            <w:r>
              <w:rPr>
                <w:rFonts w:hint="eastAsia" w:ascii="Times New Roman" w:hAnsi="Times New Roman" w:cs="Times New Roman"/>
                <w:color w:val="000000" w:themeColor="text1"/>
                <w:szCs w:val="21"/>
                <w14:textFill>
                  <w14:solidFill>
                    <w14:schemeClr w14:val="tx1"/>
                  </w14:solidFill>
                </w14:textFill>
              </w:rPr>
              <w:t>，待项目建成后，将按照</w:t>
            </w:r>
            <w:r>
              <w:rPr>
                <w:rFonts w:hint="default" w:ascii="Times New Roman" w:hAnsi="Times New Roman" w:cs="Times New Roman"/>
                <w:color w:val="000000" w:themeColor="text1"/>
                <w:szCs w:val="21"/>
                <w14:textFill>
                  <w14:solidFill>
                    <w14:schemeClr w14:val="tx1"/>
                  </w14:solidFill>
                </w14:textFill>
              </w:rPr>
              <w:t>二级</w:t>
            </w:r>
            <w:r>
              <w:rPr>
                <w:rFonts w:hint="eastAsia" w:ascii="Times New Roman" w:hAnsi="Times New Roman" w:cs="Times New Roman"/>
                <w:color w:val="000000" w:themeColor="text1"/>
                <w:szCs w:val="21"/>
                <w14:textFill>
                  <w14:solidFill>
                    <w14:schemeClr w14:val="tx1"/>
                  </w14:solidFill>
                </w14:textFill>
              </w:rPr>
              <w:t>要求进行审核。</w:t>
            </w:r>
          </w:p>
        </w:tc>
      </w:tr>
      <w:tr w14:paraId="0608D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restart"/>
            <w:noWrap w:val="0"/>
            <w:vAlign w:val="center"/>
          </w:tcPr>
          <w:p w14:paraId="572AE912">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生产过程环境管理</w:t>
            </w:r>
          </w:p>
        </w:tc>
        <w:tc>
          <w:tcPr>
            <w:tcW w:w="793" w:type="pct"/>
            <w:noWrap w:val="0"/>
            <w:vAlign w:val="center"/>
          </w:tcPr>
          <w:p w14:paraId="3DE113E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岗位培训</w:t>
            </w:r>
          </w:p>
        </w:tc>
        <w:tc>
          <w:tcPr>
            <w:tcW w:w="1057" w:type="pct"/>
            <w:noWrap w:val="0"/>
            <w:vAlign w:val="center"/>
          </w:tcPr>
          <w:p w14:paraId="31C36192">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所有岗位进行严格培训</w:t>
            </w:r>
          </w:p>
        </w:tc>
        <w:tc>
          <w:tcPr>
            <w:tcW w:w="1917" w:type="pct"/>
            <w:gridSpan w:val="2"/>
            <w:noWrap w:val="0"/>
            <w:vAlign w:val="center"/>
          </w:tcPr>
          <w:p w14:paraId="3D39728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主要岗位进行严格培训</w:t>
            </w:r>
          </w:p>
        </w:tc>
        <w:tc>
          <w:tcPr>
            <w:tcW w:w="980" w:type="pct"/>
            <w:noWrap w:val="0"/>
            <w:vAlign w:val="center"/>
          </w:tcPr>
          <w:p w14:paraId="707D0BB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主要岗位进行严格培训。</w:t>
            </w:r>
          </w:p>
          <w:p w14:paraId="5FEE248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08252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noWrap w:val="0"/>
            <w:vAlign w:val="center"/>
          </w:tcPr>
          <w:p w14:paraId="088A1F5C">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93" w:type="pct"/>
            <w:noWrap w:val="0"/>
            <w:vAlign w:val="center"/>
          </w:tcPr>
          <w:p w14:paraId="2612BE8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生产设备的使用、维护、检修管理制度</w:t>
            </w:r>
          </w:p>
        </w:tc>
        <w:tc>
          <w:tcPr>
            <w:tcW w:w="1057" w:type="pct"/>
            <w:noWrap w:val="0"/>
            <w:vAlign w:val="center"/>
          </w:tcPr>
          <w:p w14:paraId="008B451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有完善的管理制度，并严格执行</w:t>
            </w:r>
          </w:p>
        </w:tc>
        <w:tc>
          <w:tcPr>
            <w:tcW w:w="958" w:type="pct"/>
            <w:noWrap w:val="0"/>
            <w:vAlign w:val="center"/>
          </w:tcPr>
          <w:p w14:paraId="1C7C0514">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主要设备有具体的管理制度，并严格执行</w:t>
            </w:r>
          </w:p>
        </w:tc>
        <w:tc>
          <w:tcPr>
            <w:tcW w:w="959" w:type="pct"/>
            <w:noWrap w:val="0"/>
            <w:vAlign w:val="center"/>
          </w:tcPr>
          <w:p w14:paraId="63F69FC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主要设备有基本的管理制度，并严格执行</w:t>
            </w:r>
          </w:p>
        </w:tc>
        <w:tc>
          <w:tcPr>
            <w:tcW w:w="980" w:type="pct"/>
            <w:noWrap w:val="0"/>
            <w:vAlign w:val="center"/>
          </w:tcPr>
          <w:p w14:paraId="66A0F582">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主要设备有具体的管理制度，并严格执行。二级</w:t>
            </w:r>
          </w:p>
        </w:tc>
      </w:tr>
      <w:tr w14:paraId="31B6A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noWrap w:val="0"/>
            <w:vAlign w:val="center"/>
          </w:tcPr>
          <w:p w14:paraId="2E2F7A3B">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93" w:type="pct"/>
            <w:noWrap w:val="0"/>
            <w:vAlign w:val="center"/>
          </w:tcPr>
          <w:p w14:paraId="26A09E72">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生产工艺用水、用电管理</w:t>
            </w:r>
          </w:p>
        </w:tc>
        <w:tc>
          <w:tcPr>
            <w:tcW w:w="1057" w:type="pct"/>
            <w:noWrap w:val="0"/>
            <w:vAlign w:val="center"/>
          </w:tcPr>
          <w:p w14:paraId="71EED98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spacing w:val="-16"/>
                <w14:textFill>
                  <w14:solidFill>
                    <w14:schemeClr w14:val="tx1"/>
                  </w14:solidFill>
                </w14:textFill>
              </w:rPr>
            </w:pPr>
            <w:r>
              <w:rPr>
                <w:rFonts w:hint="default" w:ascii="Times New Roman" w:hAnsi="Times New Roman" w:cs="Times New Roman"/>
                <w:color w:val="000000" w:themeColor="text1"/>
                <w:spacing w:val="-16"/>
                <w:szCs w:val="21"/>
                <w14:textFill>
                  <w14:solidFill>
                    <w14:schemeClr w14:val="tx1"/>
                  </w14:solidFill>
                </w14:textFill>
              </w:rPr>
              <w:t>各种计量装置齐全，并制定严格计量考核制度</w:t>
            </w:r>
          </w:p>
        </w:tc>
        <w:tc>
          <w:tcPr>
            <w:tcW w:w="958" w:type="pct"/>
            <w:noWrap w:val="0"/>
            <w:vAlign w:val="center"/>
          </w:tcPr>
          <w:p w14:paraId="1D514BE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主要环节进行计量，并制定定量考核制度</w:t>
            </w:r>
          </w:p>
        </w:tc>
        <w:tc>
          <w:tcPr>
            <w:tcW w:w="959" w:type="pct"/>
            <w:noWrap w:val="0"/>
            <w:vAlign w:val="center"/>
          </w:tcPr>
          <w:p w14:paraId="30ED7D1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主要环节进行计量</w:t>
            </w:r>
          </w:p>
        </w:tc>
        <w:tc>
          <w:tcPr>
            <w:tcW w:w="980" w:type="pct"/>
            <w:noWrap w:val="0"/>
            <w:vAlign w:val="center"/>
          </w:tcPr>
          <w:p w14:paraId="2AC493E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主要环节进行计量，并制定定量考核制度。二级</w:t>
            </w:r>
          </w:p>
        </w:tc>
      </w:tr>
      <w:tr w14:paraId="055FF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noWrap w:val="0"/>
            <w:vAlign w:val="center"/>
          </w:tcPr>
          <w:p w14:paraId="0B3EFC9B">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93" w:type="pct"/>
            <w:noWrap w:val="0"/>
            <w:vAlign w:val="center"/>
          </w:tcPr>
          <w:p w14:paraId="1F2C8177">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各种标识</w:t>
            </w:r>
          </w:p>
        </w:tc>
        <w:tc>
          <w:tcPr>
            <w:tcW w:w="3956" w:type="pct"/>
            <w:gridSpan w:val="4"/>
            <w:noWrap w:val="0"/>
            <w:vAlign w:val="center"/>
          </w:tcPr>
          <w:p w14:paraId="550AF6B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生产区内各种标识明显，严格进行定期检查</w:t>
            </w:r>
          </w:p>
        </w:tc>
      </w:tr>
      <w:tr w14:paraId="3F496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restart"/>
            <w:noWrap w:val="0"/>
            <w:vAlign w:val="center"/>
          </w:tcPr>
          <w:p w14:paraId="3A34505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环境管理</w:t>
            </w:r>
          </w:p>
        </w:tc>
        <w:tc>
          <w:tcPr>
            <w:tcW w:w="793" w:type="pct"/>
            <w:noWrap w:val="0"/>
            <w:vAlign w:val="center"/>
          </w:tcPr>
          <w:p w14:paraId="5916D7F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环境管理机构</w:t>
            </w:r>
          </w:p>
        </w:tc>
        <w:tc>
          <w:tcPr>
            <w:tcW w:w="2975" w:type="pct"/>
            <w:gridSpan w:val="3"/>
            <w:noWrap w:val="0"/>
            <w:vAlign w:val="center"/>
          </w:tcPr>
          <w:p w14:paraId="48A4948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建立并有专人负责</w:t>
            </w:r>
          </w:p>
        </w:tc>
        <w:tc>
          <w:tcPr>
            <w:tcW w:w="980" w:type="pct"/>
            <w:noWrap w:val="0"/>
            <w:vAlign w:val="center"/>
          </w:tcPr>
          <w:p w14:paraId="0FD273F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建立并有专人负责</w:t>
            </w:r>
          </w:p>
        </w:tc>
      </w:tr>
      <w:tr w14:paraId="15430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noWrap w:val="0"/>
            <w:vAlign w:val="center"/>
          </w:tcPr>
          <w:p w14:paraId="6CB0436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93" w:type="pct"/>
            <w:noWrap w:val="0"/>
            <w:vAlign w:val="center"/>
          </w:tcPr>
          <w:p w14:paraId="0076BDE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环境管理制度</w:t>
            </w:r>
          </w:p>
        </w:tc>
        <w:tc>
          <w:tcPr>
            <w:tcW w:w="2015" w:type="pct"/>
            <w:gridSpan w:val="2"/>
            <w:noWrap w:val="0"/>
            <w:vAlign w:val="center"/>
          </w:tcPr>
          <w:p w14:paraId="6044290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健全、完善的环境管理制度，并纳入日常管理</w:t>
            </w:r>
          </w:p>
        </w:tc>
        <w:tc>
          <w:tcPr>
            <w:tcW w:w="959" w:type="pct"/>
            <w:noWrap w:val="0"/>
            <w:vAlign w:val="center"/>
          </w:tcPr>
          <w:p w14:paraId="341E111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较完善的环境管理制度</w:t>
            </w:r>
          </w:p>
        </w:tc>
        <w:tc>
          <w:tcPr>
            <w:tcW w:w="980" w:type="pct"/>
            <w:noWrap w:val="0"/>
            <w:vAlign w:val="center"/>
          </w:tcPr>
          <w:p w14:paraId="6AD0B27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健全、完善的环境管理制度，并纳入日常管理</w:t>
            </w:r>
          </w:p>
          <w:p w14:paraId="424DB3EE">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03CDE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noWrap w:val="0"/>
            <w:vAlign w:val="center"/>
          </w:tcPr>
          <w:p w14:paraId="1CA22E29">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93" w:type="pct"/>
            <w:noWrap w:val="0"/>
            <w:vAlign w:val="center"/>
          </w:tcPr>
          <w:p w14:paraId="0E134295">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环境管理计划</w:t>
            </w:r>
          </w:p>
        </w:tc>
        <w:tc>
          <w:tcPr>
            <w:tcW w:w="1057" w:type="pct"/>
            <w:noWrap w:val="0"/>
            <w:vAlign w:val="center"/>
          </w:tcPr>
          <w:p w14:paraId="60A4D92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制定近、远期计划并监督实施</w:t>
            </w:r>
          </w:p>
        </w:tc>
        <w:tc>
          <w:tcPr>
            <w:tcW w:w="958" w:type="pct"/>
            <w:noWrap w:val="0"/>
            <w:vAlign w:val="center"/>
          </w:tcPr>
          <w:p w14:paraId="71D165A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制定近期计划并监督实施</w:t>
            </w:r>
          </w:p>
        </w:tc>
        <w:tc>
          <w:tcPr>
            <w:tcW w:w="959" w:type="pct"/>
            <w:noWrap w:val="0"/>
            <w:vAlign w:val="center"/>
          </w:tcPr>
          <w:p w14:paraId="77F42F2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制定日常计划并监督实施</w:t>
            </w:r>
          </w:p>
        </w:tc>
        <w:tc>
          <w:tcPr>
            <w:tcW w:w="980" w:type="pct"/>
            <w:noWrap w:val="0"/>
            <w:vAlign w:val="center"/>
          </w:tcPr>
          <w:p w14:paraId="3651C44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制定近期计划并监督实施</w:t>
            </w:r>
          </w:p>
          <w:p w14:paraId="09EA662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5E70B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noWrap w:val="0"/>
            <w:vAlign w:val="center"/>
          </w:tcPr>
          <w:p w14:paraId="381AB87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93" w:type="pct"/>
            <w:noWrap w:val="0"/>
            <w:vAlign w:val="center"/>
          </w:tcPr>
          <w:p w14:paraId="7C40CF2F">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环保设施运行管理</w:t>
            </w:r>
          </w:p>
        </w:tc>
        <w:tc>
          <w:tcPr>
            <w:tcW w:w="2015" w:type="pct"/>
            <w:gridSpan w:val="2"/>
            <w:noWrap w:val="0"/>
            <w:vAlign w:val="center"/>
          </w:tcPr>
          <w:p w14:paraId="79C66B2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记录运行数据并建立环保档案</w:t>
            </w:r>
          </w:p>
        </w:tc>
        <w:tc>
          <w:tcPr>
            <w:tcW w:w="959" w:type="pct"/>
            <w:noWrap w:val="0"/>
            <w:vAlign w:val="center"/>
          </w:tcPr>
          <w:p w14:paraId="5623C01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记录并统计运行数据</w:t>
            </w:r>
          </w:p>
        </w:tc>
        <w:tc>
          <w:tcPr>
            <w:tcW w:w="980" w:type="pct"/>
            <w:noWrap w:val="0"/>
            <w:vAlign w:val="center"/>
          </w:tcPr>
          <w:p w14:paraId="380D6D5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记录运行数据，并建立环保档案</w:t>
            </w:r>
          </w:p>
          <w:p w14:paraId="551C763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r>
      <w:tr w14:paraId="359D1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noWrap w:val="0"/>
            <w:vAlign w:val="center"/>
          </w:tcPr>
          <w:p w14:paraId="17E93327">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93" w:type="pct"/>
            <w:noWrap w:val="0"/>
            <w:vAlign w:val="center"/>
          </w:tcPr>
          <w:p w14:paraId="0C50B22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污染源监测系统</w:t>
            </w:r>
          </w:p>
        </w:tc>
        <w:tc>
          <w:tcPr>
            <w:tcW w:w="3956" w:type="pct"/>
            <w:gridSpan w:val="4"/>
            <w:noWrap w:val="0"/>
            <w:vAlign w:val="center"/>
          </w:tcPr>
          <w:p w14:paraId="1DE0F1B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对凿岩、爆破、铲装、运输等生产过程产生的粉尘进行定期监测</w:t>
            </w:r>
          </w:p>
        </w:tc>
      </w:tr>
      <w:tr w14:paraId="790C1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 w:type="pct"/>
            <w:vMerge w:val="continue"/>
            <w:noWrap w:val="0"/>
            <w:vAlign w:val="center"/>
          </w:tcPr>
          <w:p w14:paraId="5FD6D3F8">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p>
        </w:tc>
        <w:tc>
          <w:tcPr>
            <w:tcW w:w="793" w:type="pct"/>
            <w:noWrap w:val="0"/>
            <w:vAlign w:val="center"/>
          </w:tcPr>
          <w:p w14:paraId="5A80AB8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信息交流</w:t>
            </w:r>
          </w:p>
        </w:tc>
        <w:tc>
          <w:tcPr>
            <w:tcW w:w="2015" w:type="pct"/>
            <w:gridSpan w:val="2"/>
            <w:noWrap w:val="0"/>
            <w:vAlign w:val="center"/>
          </w:tcPr>
          <w:p w14:paraId="501EA0E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具备计算机网络化管理系统</w:t>
            </w:r>
          </w:p>
        </w:tc>
        <w:tc>
          <w:tcPr>
            <w:tcW w:w="959" w:type="pct"/>
            <w:noWrap w:val="0"/>
            <w:vAlign w:val="center"/>
          </w:tcPr>
          <w:p w14:paraId="7E962CBA">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定期交流</w:t>
            </w:r>
          </w:p>
        </w:tc>
        <w:tc>
          <w:tcPr>
            <w:tcW w:w="980" w:type="pct"/>
            <w:noWrap w:val="0"/>
            <w:vAlign w:val="center"/>
          </w:tcPr>
          <w:p w14:paraId="516DD46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按二级管理</w:t>
            </w:r>
          </w:p>
        </w:tc>
      </w:tr>
      <w:tr w14:paraId="1788F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6931EE8D">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土地复垦</w:t>
            </w:r>
          </w:p>
        </w:tc>
        <w:tc>
          <w:tcPr>
            <w:tcW w:w="1057" w:type="pct"/>
            <w:noWrap w:val="0"/>
            <w:vAlign w:val="center"/>
          </w:tcPr>
          <w:p w14:paraId="1C308D3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具有完整的复垦计划，复垦管理纳入日常生产管理土地复垦率达80%以上</w:t>
            </w:r>
          </w:p>
        </w:tc>
        <w:tc>
          <w:tcPr>
            <w:tcW w:w="958" w:type="pct"/>
            <w:noWrap w:val="0"/>
            <w:vAlign w:val="center"/>
          </w:tcPr>
          <w:p w14:paraId="6BECD75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1）具有完整的复垦计划，复垦管理纳入日常生产管理</w:t>
            </w:r>
          </w:p>
          <w:p w14:paraId="4960315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2）土地复垦率达50%以上</w:t>
            </w:r>
          </w:p>
        </w:tc>
        <w:tc>
          <w:tcPr>
            <w:tcW w:w="959" w:type="pct"/>
            <w:noWrap w:val="0"/>
            <w:vAlign w:val="center"/>
          </w:tcPr>
          <w:p w14:paraId="5FA8665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1）具有完整的复垦计划，并纳入日常生产管理</w:t>
            </w:r>
          </w:p>
          <w:p w14:paraId="60E61987">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2）土地复垦率达20%以上</w:t>
            </w:r>
          </w:p>
        </w:tc>
        <w:tc>
          <w:tcPr>
            <w:tcW w:w="980" w:type="pct"/>
            <w:noWrap w:val="0"/>
            <w:vAlign w:val="center"/>
          </w:tcPr>
          <w:p w14:paraId="5B1C80EB">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企业已编制《哈密市西成矿业有限责任公司新疆哈密市M1033铁矿矿产资源开发利用与生态保护修复方案》，方案中明确了复垦计划及复垦实施时间，土地复垦率可达到50%以上</w:t>
            </w:r>
          </w:p>
        </w:tc>
      </w:tr>
      <w:tr w14:paraId="5201B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213F0E92">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废物处理与处置</w:t>
            </w:r>
          </w:p>
        </w:tc>
        <w:tc>
          <w:tcPr>
            <w:tcW w:w="3956" w:type="pct"/>
            <w:gridSpan w:val="4"/>
            <w:noWrap w:val="0"/>
            <w:vAlign w:val="center"/>
          </w:tcPr>
          <w:p w14:paraId="0283BA0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应建有废石处置场，并有防止扬尘、淋滤水污染、水土流失的措施</w:t>
            </w:r>
          </w:p>
        </w:tc>
      </w:tr>
      <w:tr w14:paraId="40644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3" w:type="pct"/>
            <w:gridSpan w:val="2"/>
            <w:noWrap w:val="0"/>
            <w:vAlign w:val="center"/>
          </w:tcPr>
          <w:p w14:paraId="28FFE60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相关方环境管理</w:t>
            </w:r>
          </w:p>
        </w:tc>
        <w:tc>
          <w:tcPr>
            <w:tcW w:w="3956" w:type="pct"/>
            <w:gridSpan w:val="4"/>
            <w:noWrap w:val="0"/>
            <w:vAlign w:val="center"/>
          </w:tcPr>
          <w:p w14:paraId="7DA21C62">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服务协议中应明确原辅材料的供应方、协作方、服务方的环境要求</w:t>
            </w:r>
          </w:p>
        </w:tc>
      </w:tr>
    </w:tbl>
    <w:p w14:paraId="475D350C">
      <w:pPr>
        <w:pStyle w:val="4"/>
        <w:spacing w:before="60" w:after="60" w:line="480" w:lineRule="exact"/>
        <w:rPr>
          <w:color w:val="000000" w:themeColor="text1"/>
          <w:kern w:val="2"/>
          <w14:textFill>
            <w14:solidFill>
              <w14:schemeClr w14:val="tx1"/>
            </w14:solidFill>
          </w14:textFill>
        </w:rPr>
      </w:pPr>
      <w:bookmarkStart w:id="328" w:name="_Toc28451"/>
      <w:bookmarkStart w:id="329" w:name="_Toc30752"/>
      <w:bookmarkStart w:id="330" w:name="_Toc11984"/>
      <w:bookmarkStart w:id="331" w:name="_Toc26445"/>
      <w:bookmarkStart w:id="332" w:name="_Toc22126276"/>
      <w:bookmarkStart w:id="333" w:name="_Toc8272"/>
      <w:r>
        <w:rPr>
          <w:rFonts w:hint="eastAsia"/>
          <w:color w:val="000000" w:themeColor="text1"/>
          <w:kern w:val="2"/>
          <w14:textFill>
            <w14:solidFill>
              <w14:schemeClr w14:val="tx1"/>
            </w14:solidFill>
          </w14:textFill>
        </w:rPr>
        <w:t>3.</w:t>
      </w:r>
      <w:r>
        <w:rPr>
          <w:rFonts w:hint="eastAsia"/>
          <w:color w:val="000000" w:themeColor="text1"/>
          <w:kern w:val="2"/>
          <w:lang w:val="en-US" w:eastAsia="zh-CN"/>
          <w14:textFill>
            <w14:solidFill>
              <w14:schemeClr w14:val="tx1"/>
            </w14:solidFill>
          </w14:textFill>
        </w:rPr>
        <w:t>5</w:t>
      </w:r>
      <w:r>
        <w:rPr>
          <w:color w:val="000000" w:themeColor="text1"/>
          <w:kern w:val="2"/>
          <w14:textFill>
            <w14:solidFill>
              <w14:schemeClr w14:val="tx1"/>
            </w14:solidFill>
          </w14:textFill>
        </w:rPr>
        <w:t>.3项目清洁生产指标分析</w:t>
      </w:r>
      <w:bookmarkEnd w:id="328"/>
      <w:bookmarkEnd w:id="329"/>
      <w:bookmarkEnd w:id="330"/>
      <w:bookmarkEnd w:id="331"/>
      <w:bookmarkEnd w:id="332"/>
      <w:bookmarkEnd w:id="333"/>
    </w:p>
    <w:p w14:paraId="59CB56D9">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（1）装备要求指标</w:t>
      </w:r>
    </w:p>
    <w:p w14:paraId="02E3AD91">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本项目</w:t>
      </w:r>
      <w:r>
        <w:rPr>
          <w:color w:val="000000" w:themeColor="text1"/>
          <w:sz w:val="24"/>
          <w:szCs w:val="24"/>
          <w14:textFill>
            <w14:solidFill>
              <w14:schemeClr w14:val="tx1"/>
            </w14:solidFill>
          </w14:textFill>
        </w:rPr>
        <w:t>地下开采主要生产设备大部分为国产定型设备</w:t>
      </w:r>
      <w:r>
        <w:rPr>
          <w:rFonts w:hint="eastAsia"/>
          <w:color w:val="000000" w:themeColor="text1"/>
          <w:sz w:val="24"/>
          <w:szCs w:val="24"/>
          <w:lang w:val="en-US" w:eastAsia="zh-CN"/>
          <w14:textFill>
            <w14:solidFill>
              <w14:schemeClr w14:val="tx1"/>
            </w14:solidFill>
          </w14:textFill>
        </w:rPr>
        <w:t>以及</w:t>
      </w:r>
      <w:r>
        <w:rPr>
          <w:color w:val="000000" w:themeColor="text1"/>
          <w:sz w:val="24"/>
          <w:szCs w:val="24"/>
          <w14:textFill>
            <w14:solidFill>
              <w14:schemeClr w14:val="tx1"/>
            </w14:solidFill>
          </w14:textFill>
        </w:rPr>
        <w:t>矿山开采通用设备，主要生产设备无国家明令淘汰的项目。根据项目开采规模及开采方式，</w:t>
      </w:r>
      <w:r>
        <w:rPr>
          <w:rFonts w:hint="eastAsia"/>
          <w:color w:val="000000" w:themeColor="text1"/>
          <w:sz w:val="24"/>
          <w:szCs w:val="24"/>
          <w:lang w:eastAsia="zh-CN"/>
          <w14:textFill>
            <w14:solidFill>
              <w14:schemeClr w14:val="tx1"/>
            </w14:solidFill>
          </w14:textFill>
        </w:rPr>
        <w:t>本项目</w:t>
      </w:r>
      <w:r>
        <w:rPr>
          <w:color w:val="000000" w:themeColor="text1"/>
          <w:sz w:val="24"/>
          <w:szCs w:val="24"/>
          <w14:textFill>
            <w14:solidFill>
              <w14:schemeClr w14:val="tx1"/>
            </w14:solidFill>
          </w14:textFill>
        </w:rPr>
        <w:t>均为地下开采，分析认为矿山装备水平为国内同行业水平，均达到国内清洁生产先进水平。企业积极建设清洁生产，在选购新增设备时，采用国际先进的凿岩效率较高、配有除尘净化装置的凿岩台车，使清洁生产达到国内先进水平。</w:t>
      </w:r>
    </w:p>
    <w:p w14:paraId="24DA2BF5">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（2）资源利用指标</w:t>
      </w:r>
    </w:p>
    <w:p w14:paraId="78CD95E2">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1）回采率</w:t>
      </w:r>
    </w:p>
    <w:p w14:paraId="46FCAD1F">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矿石开采量为60万t/a，回采率85%，清洁生产水平较高，均达到国内清洁生产先进水平，资源利用率高。</w:t>
      </w:r>
    </w:p>
    <w:p w14:paraId="124C37A5">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2）贫化率</w:t>
      </w:r>
    </w:p>
    <w:p w14:paraId="59A28F56">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贫化率为1</w:t>
      </w:r>
      <w:r>
        <w:rPr>
          <w:rFonts w:hint="eastAsia"/>
          <w:color w:val="000000" w:themeColor="text1"/>
          <w:sz w:val="24"/>
          <w:szCs w:val="24"/>
          <w:lang w:val="en-US" w:eastAsia="zh-CN"/>
          <w14:textFill>
            <w14:solidFill>
              <w14:schemeClr w14:val="tx1"/>
            </w14:solidFill>
          </w14:textFill>
        </w:rPr>
        <w:t>0</w:t>
      </w:r>
      <w:r>
        <w:rPr>
          <w:color w:val="000000" w:themeColor="text1"/>
          <w:sz w:val="24"/>
          <w:szCs w:val="24"/>
          <w14:textFill>
            <w14:solidFill>
              <w14:schemeClr w14:val="tx1"/>
            </w14:solidFill>
          </w14:textFill>
        </w:rPr>
        <w:t>%，清洁生产水平均达到国内先进水平，指标等级为二级。</w:t>
      </w:r>
    </w:p>
    <w:p w14:paraId="6063657E">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3）采矿强度</w:t>
      </w:r>
    </w:p>
    <w:p w14:paraId="7AF44FF6">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地下开采强度大于30t/m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·a，均达到国内清洁生产基本水平。</w:t>
      </w:r>
    </w:p>
    <w:p w14:paraId="041BB21A">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4）耗电水平</w:t>
      </w:r>
    </w:p>
    <w:p w14:paraId="24B5E078">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本项目采矿用电</w:t>
      </w:r>
      <w:r>
        <w:rPr>
          <w:color w:val="000000" w:themeColor="text1"/>
          <w:sz w:val="24"/>
          <w:szCs w:val="24"/>
          <w14:textFill>
            <w14:solidFill>
              <w14:schemeClr w14:val="tx1"/>
            </w14:solidFill>
          </w14:textFill>
        </w:rPr>
        <w:t>单耗16.4kW·h/t</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达到国内清洁生产先进水平。</w:t>
      </w:r>
    </w:p>
    <w:p w14:paraId="588FD35A">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（3）废物回收利用指标</w:t>
      </w:r>
    </w:p>
    <w:p w14:paraId="353E3144">
      <w:pPr>
        <w:spacing w:line="480" w:lineRule="exact"/>
        <w:ind w:firstLine="480" w:firstLineChars="200"/>
        <w:rPr>
          <w:color w:val="000000" w:themeColor="text1"/>
          <w:sz w:val="24"/>
          <w:lang w:bidi="ar"/>
          <w14:textFill>
            <w14:solidFill>
              <w14:schemeClr w14:val="tx1"/>
            </w14:solidFill>
          </w14:textFill>
        </w:rPr>
      </w:pPr>
      <w:r>
        <w:rPr>
          <w:color w:val="000000" w:themeColor="text1"/>
          <w:sz w:val="24"/>
          <w:szCs w:val="24"/>
          <w14:textFill>
            <w14:solidFill>
              <w14:schemeClr w14:val="tx1"/>
            </w14:solidFill>
          </w14:textFill>
        </w:rPr>
        <w:t>项目矿井涌水，经沉淀后回用于井下生产</w:t>
      </w:r>
      <w:r>
        <w:rPr>
          <w:rFonts w:hint="eastAsia"/>
          <w:color w:val="000000" w:themeColor="text1"/>
          <w:sz w:val="24"/>
          <w:szCs w:val="24"/>
          <w14:textFill>
            <w14:solidFill>
              <w14:schemeClr w14:val="tx1"/>
            </w14:solidFill>
          </w14:textFill>
        </w:rPr>
        <w:t>及绿化、降尘等</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其余输送至选矿厂用于</w:t>
      </w:r>
      <w:r>
        <w:rPr>
          <w:rFonts w:hint="eastAsia"/>
          <w:color w:val="000000" w:themeColor="text1"/>
          <w:sz w:val="24"/>
          <w:lang w:bidi="ar"/>
          <w14:textFill>
            <w14:solidFill>
              <w14:schemeClr w14:val="tx1"/>
            </w14:solidFill>
          </w14:textFill>
        </w:rPr>
        <w:t>选矿生产，全部利用，不外排。</w:t>
      </w:r>
      <w:r>
        <w:rPr>
          <w:color w:val="000000" w:themeColor="text1"/>
          <w:sz w:val="24"/>
          <w:lang w:bidi="ar"/>
          <w14:textFill>
            <w14:solidFill>
              <w14:schemeClr w14:val="tx1"/>
            </w14:solidFill>
          </w14:textFill>
        </w:rPr>
        <w:t>生活污水</w:t>
      </w:r>
      <w:r>
        <w:rPr>
          <w:rFonts w:hint="eastAsia"/>
          <w:color w:val="000000" w:themeColor="text1"/>
          <w:sz w:val="24"/>
          <w:lang w:bidi="ar"/>
          <w14:textFill>
            <w14:solidFill>
              <w14:schemeClr w14:val="tx1"/>
            </w14:solidFill>
          </w14:textFill>
        </w:rPr>
        <w:t>经矿山现有地埋式一体化污水处理设施处理后用于矿山绿化，不外排，非灌溉期达标</w:t>
      </w:r>
      <w:r>
        <w:rPr>
          <w:rFonts w:hint="eastAsia"/>
          <w:color w:val="000000" w:themeColor="text1"/>
          <w:sz w:val="24"/>
          <w:szCs w:val="28"/>
          <w14:textFill>
            <w14:solidFill>
              <w14:schemeClr w14:val="tx1"/>
            </w14:solidFill>
          </w14:textFill>
        </w:rPr>
        <w:t>尾水</w:t>
      </w:r>
      <w:r>
        <w:rPr>
          <w:rFonts w:hint="eastAsia"/>
          <w:color w:val="000000" w:themeColor="text1"/>
          <w:sz w:val="24"/>
          <w:szCs w:val="24"/>
          <w14:textFill>
            <w14:solidFill>
              <w14:schemeClr w14:val="tx1"/>
            </w14:solidFill>
          </w14:textFill>
        </w:rPr>
        <w:t>输送至选矿厂用于</w:t>
      </w:r>
      <w:r>
        <w:rPr>
          <w:rFonts w:hint="eastAsia"/>
          <w:color w:val="000000" w:themeColor="text1"/>
          <w:sz w:val="24"/>
          <w:lang w:bidi="ar"/>
          <w14:textFill>
            <w14:solidFill>
              <w14:schemeClr w14:val="tx1"/>
            </w14:solidFill>
          </w14:textFill>
        </w:rPr>
        <w:t>选矿生产。生活垃圾集中收集，</w:t>
      </w:r>
      <w:r>
        <w:rPr>
          <w:color w:val="000000" w:themeColor="text1"/>
          <w:sz w:val="24"/>
          <w14:textFill>
            <w14:solidFill>
              <w14:schemeClr w14:val="tx1"/>
            </w14:solidFill>
          </w14:textFill>
        </w:rPr>
        <w:t>定期运至</w:t>
      </w:r>
      <w:r>
        <w:rPr>
          <w:rFonts w:hint="eastAsia"/>
          <w:color w:val="000000" w:themeColor="text1"/>
          <w:sz w:val="24"/>
          <w14:textFill>
            <w14:solidFill>
              <w14:schemeClr w14:val="tx1"/>
            </w14:solidFill>
          </w14:textFill>
        </w:rPr>
        <w:t>雅满苏镇</w:t>
      </w:r>
      <w:r>
        <w:rPr>
          <w:color w:val="000000" w:themeColor="text1"/>
          <w:sz w:val="24"/>
          <w14:textFill>
            <w14:solidFill>
              <w14:schemeClr w14:val="tx1"/>
            </w14:solidFill>
          </w14:textFill>
        </w:rPr>
        <w:t>生活垃圾填埋场填埋处理</w:t>
      </w:r>
      <w:r>
        <w:rPr>
          <w:rFonts w:hint="eastAsia"/>
          <w:color w:val="000000" w:themeColor="text1"/>
          <w:sz w:val="24"/>
          <w14:textFill>
            <w14:solidFill>
              <w14:schemeClr w14:val="tx1"/>
            </w14:solidFill>
          </w14:textFill>
        </w:rPr>
        <w:t>。</w:t>
      </w:r>
    </w:p>
    <w:p w14:paraId="0D75B436">
      <w:pPr>
        <w:spacing w:line="480" w:lineRule="exact"/>
        <w:ind w:firstLine="480" w:firstLineChars="200"/>
        <w:rPr>
          <w:color w:val="000000" w:themeColor="text1"/>
          <w:sz w:val="24"/>
          <w:szCs w:val="24"/>
          <w14:textFill>
            <w14:solidFill>
              <w14:schemeClr w14:val="tx1"/>
            </w14:solidFill>
          </w14:textFill>
        </w:rPr>
      </w:pPr>
      <w:r>
        <w:rPr>
          <w:color w:val="000000" w:themeColor="text1"/>
          <w:kern w:val="0"/>
          <w:sz w:val="24"/>
          <w14:textFill>
            <w14:solidFill>
              <w14:schemeClr w14:val="tx1"/>
            </w14:solidFill>
          </w14:textFill>
        </w:rPr>
        <w:t>矿体开采期间产生的废石</w:t>
      </w:r>
      <w:r>
        <w:rPr>
          <w:rFonts w:hint="eastAsia"/>
          <w:color w:val="000000" w:themeColor="text1"/>
          <w:kern w:val="0"/>
          <w:sz w:val="24"/>
          <w14:textFill>
            <w14:solidFill>
              <w14:schemeClr w14:val="tx1"/>
            </w14:solidFill>
          </w14:textFill>
        </w:rPr>
        <w:t>待开采结束并沉稳后回填采空区，</w:t>
      </w:r>
      <w:r>
        <w:rPr>
          <w:color w:val="000000" w:themeColor="text1"/>
          <w:sz w:val="24"/>
          <w:szCs w:val="24"/>
          <w14:textFill>
            <w14:solidFill>
              <w14:schemeClr w14:val="tx1"/>
            </w14:solidFill>
          </w14:textFill>
        </w:rPr>
        <w:t>利用率可达到</w:t>
      </w:r>
      <w:r>
        <w:rPr>
          <w:rFonts w:hint="eastAsia"/>
          <w:color w:val="000000" w:themeColor="text1"/>
          <w:sz w:val="24"/>
          <w:szCs w:val="24"/>
          <w14:textFill>
            <w14:solidFill>
              <w14:schemeClr w14:val="tx1"/>
            </w14:solidFill>
          </w14:textFill>
        </w:rPr>
        <w:t>100</w:t>
      </w:r>
      <w:r>
        <w:rPr>
          <w:color w:val="000000" w:themeColor="text1"/>
          <w:sz w:val="24"/>
          <w:szCs w:val="24"/>
          <w14:textFill>
            <w14:solidFill>
              <w14:schemeClr w14:val="tx1"/>
            </w14:solidFill>
          </w14:textFill>
        </w:rPr>
        <w:t>%。矿山固废的处理与处置遵循着</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三化</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原则，即无害化、减量化、资源化，而矿山固废处理的关键是资源综合利用。分析认为项目废物综合利用率较高，清洁生产指标等级为二级。</w:t>
      </w:r>
    </w:p>
    <w:p w14:paraId="7F0FB20E">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（4）环境管理要求指标</w:t>
      </w:r>
    </w:p>
    <w:p w14:paraId="55F99799">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矿山</w:t>
      </w:r>
      <w:r>
        <w:rPr>
          <w:rFonts w:hint="eastAsia"/>
          <w:color w:val="000000" w:themeColor="text1"/>
          <w:sz w:val="24"/>
          <w:szCs w:val="24"/>
          <w14:textFill>
            <w14:solidFill>
              <w14:schemeClr w14:val="tx1"/>
            </w14:solidFill>
          </w14:textFill>
        </w:rPr>
        <w:t>应</w:t>
      </w:r>
      <w:r>
        <w:rPr>
          <w:color w:val="000000" w:themeColor="text1"/>
          <w:sz w:val="24"/>
          <w:szCs w:val="24"/>
          <w14:textFill>
            <w14:solidFill>
              <w14:schemeClr w14:val="tx1"/>
            </w14:solidFill>
          </w14:textFill>
        </w:rPr>
        <w:t>建立完整的环境管理体系，根据</w:t>
      </w:r>
      <w:r>
        <w:rPr>
          <w:rFonts w:hint="eastAsia"/>
          <w:color w:val="000000" w:themeColor="text1"/>
          <w:sz w:val="24"/>
          <w:szCs w:val="24"/>
          <w14:textFill>
            <w14:solidFill>
              <w14:schemeClr w14:val="tx1"/>
            </w14:solidFill>
          </w14:textFill>
        </w:rPr>
        <w:t>项目</w:t>
      </w:r>
      <w:r>
        <w:rPr>
          <w:color w:val="000000" w:themeColor="text1"/>
          <w:sz w:val="24"/>
          <w:szCs w:val="24"/>
          <w14:textFill>
            <w14:solidFill>
              <w14:schemeClr w14:val="tx1"/>
            </w14:solidFill>
          </w14:textFill>
        </w:rPr>
        <w:t>规模应尽快完善以矿长为负责人的整套环境管理体系，设置2名</w:t>
      </w:r>
      <w:r>
        <w:rPr>
          <w:rFonts w:hint="eastAsia"/>
          <w:color w:val="000000" w:themeColor="text1"/>
          <w:sz w:val="24"/>
          <w:szCs w:val="24"/>
          <w14:textFill>
            <w14:solidFill>
              <w14:schemeClr w14:val="tx1"/>
            </w14:solidFill>
          </w14:textFill>
        </w:rPr>
        <w:t>专职</w:t>
      </w:r>
      <w:r>
        <w:rPr>
          <w:color w:val="000000" w:themeColor="text1"/>
          <w:sz w:val="24"/>
          <w:szCs w:val="24"/>
          <w14:textFill>
            <w14:solidFill>
              <w14:schemeClr w14:val="tx1"/>
            </w14:solidFill>
          </w14:textFill>
        </w:rPr>
        <w:t>环境管理人员，随时监督矿区环境保护措施落实情况，随时向矿长</w:t>
      </w:r>
      <w:r>
        <w:rPr>
          <w:rFonts w:hint="eastAsia"/>
          <w:color w:val="000000" w:themeColor="text1"/>
          <w:sz w:val="24"/>
          <w:szCs w:val="24"/>
          <w:lang w:val="en-US" w:eastAsia="zh-CN"/>
          <w14:textFill>
            <w14:solidFill>
              <w14:schemeClr w14:val="tx1"/>
            </w14:solidFill>
          </w14:textFill>
        </w:rPr>
        <w:t>汇报</w:t>
      </w:r>
      <w:r>
        <w:rPr>
          <w:color w:val="000000" w:themeColor="text1"/>
          <w:sz w:val="24"/>
          <w:szCs w:val="24"/>
          <w14:textFill>
            <w14:solidFill>
              <w14:schemeClr w14:val="tx1"/>
            </w14:solidFill>
          </w14:textFill>
        </w:rPr>
        <w:t>环保工作情况，保证矿区环保工作的顺利开展和持续。清洁生产等级为二级。</w:t>
      </w:r>
    </w:p>
    <w:p w14:paraId="6EF641FD">
      <w:pPr>
        <w:pStyle w:val="4"/>
        <w:spacing w:before="60" w:after="60" w:line="480" w:lineRule="exact"/>
        <w:rPr>
          <w:color w:val="000000" w:themeColor="text1"/>
          <w:kern w:val="2"/>
          <w14:textFill>
            <w14:solidFill>
              <w14:schemeClr w14:val="tx1"/>
            </w14:solidFill>
          </w14:textFill>
        </w:rPr>
      </w:pPr>
      <w:bookmarkStart w:id="334" w:name="_Toc26748"/>
      <w:bookmarkStart w:id="335" w:name="_Toc8825"/>
      <w:bookmarkStart w:id="336" w:name="_Toc18991"/>
      <w:bookmarkStart w:id="337" w:name="_Toc8301"/>
      <w:bookmarkStart w:id="338" w:name="_Toc6043"/>
      <w:bookmarkStart w:id="339" w:name="_Toc22126277"/>
      <w:r>
        <w:rPr>
          <w:rFonts w:hint="eastAsia"/>
          <w:color w:val="000000" w:themeColor="text1"/>
          <w:kern w:val="2"/>
          <w14:textFill>
            <w14:solidFill>
              <w14:schemeClr w14:val="tx1"/>
            </w14:solidFill>
          </w14:textFill>
        </w:rPr>
        <w:t>3.</w:t>
      </w:r>
      <w:r>
        <w:rPr>
          <w:rFonts w:hint="eastAsia"/>
          <w:color w:val="000000" w:themeColor="text1"/>
          <w:kern w:val="2"/>
          <w:lang w:val="en-US" w:eastAsia="zh-CN"/>
          <w14:textFill>
            <w14:solidFill>
              <w14:schemeClr w14:val="tx1"/>
            </w14:solidFill>
          </w14:textFill>
        </w:rPr>
        <w:t>5</w:t>
      </w:r>
      <w:r>
        <w:rPr>
          <w:color w:val="000000" w:themeColor="text1"/>
          <w:kern w:val="2"/>
          <w14:textFill>
            <w14:solidFill>
              <w14:schemeClr w14:val="tx1"/>
            </w14:solidFill>
          </w14:textFill>
        </w:rPr>
        <w:t>.4清洁生产的措施和建议</w:t>
      </w:r>
      <w:bookmarkEnd w:id="334"/>
      <w:bookmarkEnd w:id="335"/>
      <w:bookmarkEnd w:id="336"/>
      <w:bookmarkEnd w:id="337"/>
      <w:bookmarkEnd w:id="338"/>
      <w:bookmarkEnd w:id="339"/>
    </w:p>
    <w:p w14:paraId="6C6324CB">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根据清洁生产审计的原则，我们对</w:t>
      </w:r>
      <w:r>
        <w:rPr>
          <w:rFonts w:hint="eastAsia"/>
          <w:color w:val="000000" w:themeColor="text1"/>
          <w:sz w:val="24"/>
          <w:szCs w:val="24"/>
          <w14:textFill>
            <w14:solidFill>
              <w14:schemeClr w14:val="tx1"/>
            </w14:solidFill>
          </w14:textFill>
        </w:rPr>
        <w:t>本</w:t>
      </w:r>
      <w:r>
        <w:rPr>
          <w:color w:val="000000" w:themeColor="text1"/>
          <w:sz w:val="24"/>
          <w:szCs w:val="24"/>
          <w14:textFill>
            <w14:solidFill>
              <w14:schemeClr w14:val="tx1"/>
            </w14:solidFill>
          </w14:textFill>
        </w:rPr>
        <w:t>项目生产全过程从工艺装备要求、资源能源利用指标、废物回收利用指标和环境管理要求四个重要环节进行了初步的清洁生产预审计，根据预评价结果，对其中一些环节的清洁生产潜力提出建议：</w:t>
      </w:r>
    </w:p>
    <w:p w14:paraId="48C9CA9E">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（1）采用先进的工艺设备、先进的开采工艺，提高资源回采率和劳动生产率。</w:t>
      </w:r>
    </w:p>
    <w:p w14:paraId="72711981">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（2）根据矿产储存情况和采矿工艺特点，选择恰当的采矿方法，降低矿石贫化率，提高回采率，尽可能地减少废石产生量。</w:t>
      </w:r>
    </w:p>
    <w:p w14:paraId="3964BC17">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（3）各岗位操作规程和设备检修制度完善，设有专人严格监督执行情况，设备运转完好连续，对生产过程中产生的粉尘有相应的控制措施，并满足规定要求。</w:t>
      </w:r>
    </w:p>
    <w:p w14:paraId="3B1CA07E">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（4）落实固体废物防治措施，做好废石堆场的管理。</w:t>
      </w:r>
    </w:p>
    <w:p w14:paraId="35D7FD35">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（5）提高设备生产率，对主要工作岗位进行节能培训，提高操作水平，建立完善节能的奖惩制度。</w:t>
      </w:r>
    </w:p>
    <w:p w14:paraId="52365DA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清洁生产涉及企业生产、技术和管理的各个方面，需要全员参与，建议在全公司开展全员节能、降耗、减污、增效等清洁生产合理化建议活动，并制订切实可行的激励手段，鼓励员工提出合理化建议，组织力量研究、实施职工的合理化建议，争取尽快取得清洁生产成效，同时对职工进行清洁生产宣传教育和操作培训，提高员工的清洁生产意识和操作水平。</w:t>
      </w:r>
    </w:p>
    <w:p w14:paraId="2F099E8E">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（7）落实拟实施的中/高费方案，并开展持续清洁生产，确保实现审核制定的远期目标。</w:t>
      </w:r>
    </w:p>
    <w:p w14:paraId="1F120AC7">
      <w:pPr>
        <w:spacing w:line="480" w:lineRule="exact"/>
        <w:ind w:firstLine="480" w:firstLineChars="200"/>
        <w:rPr>
          <w:color w:val="000000" w:themeColor="text1"/>
          <w:kern w:val="10"/>
          <w:sz w:val="24"/>
          <w:szCs w:val="24"/>
          <w14:textFill>
            <w14:solidFill>
              <w14:schemeClr w14:val="tx1"/>
            </w14:solidFill>
          </w14:textFill>
        </w:rPr>
        <w:sectPr>
          <w:footerReference r:id="rId24" w:type="default"/>
          <w:footerReference r:id="rId25"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922096B">
      <w:pPr>
        <w:pStyle w:val="2"/>
        <w:spacing w:line="720" w:lineRule="exact"/>
        <w:rPr>
          <w:rFonts w:hint="eastAsia"/>
          <w:color w:val="000000" w:themeColor="text1"/>
          <w:kern w:val="0"/>
          <w:sz w:val="44"/>
          <w14:textFill>
            <w14:solidFill>
              <w14:schemeClr w14:val="tx1"/>
            </w14:solidFill>
          </w14:textFill>
        </w:rPr>
      </w:pPr>
      <w:bookmarkStart w:id="340" w:name="_Toc9955"/>
      <w:bookmarkStart w:id="341" w:name="_Toc27429"/>
      <w:bookmarkStart w:id="342" w:name="_Toc111767555"/>
      <w:bookmarkStart w:id="343" w:name="_Toc9574"/>
      <w:r>
        <w:rPr>
          <w:rFonts w:hint="eastAsia"/>
          <w:color w:val="000000" w:themeColor="text1"/>
          <w:kern w:val="0"/>
          <w:sz w:val="44"/>
          <w14:textFill>
            <w14:solidFill>
              <w14:schemeClr w14:val="tx1"/>
            </w14:solidFill>
          </w14:textFill>
        </w:rPr>
        <w:t>4环境现状调查与评价</w:t>
      </w:r>
      <w:bookmarkEnd w:id="340"/>
      <w:bookmarkEnd w:id="341"/>
      <w:bookmarkEnd w:id="342"/>
      <w:bookmarkEnd w:id="343"/>
    </w:p>
    <w:p w14:paraId="283406D7">
      <w:pPr>
        <w:pStyle w:val="3"/>
        <w:jc w:val="left"/>
        <w:rPr>
          <w:bCs/>
          <w:color w:val="000000" w:themeColor="text1"/>
          <w:kern w:val="2"/>
          <w:szCs w:val="32"/>
          <w14:textFill>
            <w14:solidFill>
              <w14:schemeClr w14:val="tx1"/>
            </w14:solidFill>
          </w14:textFill>
        </w:rPr>
      </w:pPr>
      <w:bookmarkStart w:id="344" w:name="_Toc9027"/>
      <w:bookmarkStart w:id="345" w:name="_Toc111767556"/>
      <w:bookmarkStart w:id="346" w:name="_Toc6170"/>
      <w:bookmarkStart w:id="347" w:name="_Toc6930"/>
      <w:r>
        <w:rPr>
          <w:rFonts w:hint="eastAsia"/>
          <w:bCs/>
          <w:color w:val="000000" w:themeColor="text1"/>
          <w:kern w:val="2"/>
          <w:szCs w:val="32"/>
          <w14:textFill>
            <w14:solidFill>
              <w14:schemeClr w14:val="tx1"/>
            </w14:solidFill>
          </w14:textFill>
        </w:rPr>
        <w:t>4.1自然环境</w:t>
      </w:r>
      <w:bookmarkEnd w:id="344"/>
      <w:bookmarkEnd w:id="345"/>
      <w:bookmarkEnd w:id="346"/>
      <w:bookmarkEnd w:id="347"/>
    </w:p>
    <w:p w14:paraId="353E9010">
      <w:pPr>
        <w:pStyle w:val="4"/>
        <w:spacing w:before="60" w:after="60" w:line="480" w:lineRule="exact"/>
        <w:rPr>
          <w:color w:val="000000" w:themeColor="text1"/>
          <w:kern w:val="2"/>
          <w14:textFill>
            <w14:solidFill>
              <w14:schemeClr w14:val="tx1"/>
            </w14:solidFill>
          </w14:textFill>
        </w:rPr>
      </w:pPr>
      <w:bookmarkStart w:id="348" w:name="_Toc31352"/>
      <w:r>
        <w:rPr>
          <w:color w:val="000000" w:themeColor="text1"/>
          <w:kern w:val="2"/>
          <w14:textFill>
            <w14:solidFill>
              <w14:schemeClr w14:val="tx1"/>
            </w14:solidFill>
          </w14:textFill>
        </w:rPr>
        <w:t>4.1.1地理位置</w:t>
      </w:r>
      <w:bookmarkEnd w:id="348"/>
    </w:p>
    <w:p w14:paraId="4168EE09">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哈密市是</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"https://baike.baidu.com/item/%E6%96%B0%E7%96%86%E7%BB%B4%E5%90%BE%E5%B0%94%E8%87%AA%E6%B2%BB%E5%8C%BA/906636"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新疆维吾尔自治区</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的4个地级市之一，驻地伊州区。位于新疆东部，是新疆通向中国内地的</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"https://baike.baidu.com/item/%E8%A6%81%E9%81%93/8728071"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要道</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，自古就是</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"https://baike.baidu.com/item/%E4%B8%9D%E7%BB%B8%E4%B9%8B%E8%B7%AF/434"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丝绸之路</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的咽喉，有</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西域襟喉，中华拱卫</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和</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新疆门户</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之称。东与甘肃省</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"https://baike.baidu.com/item/%E9%85%92%E6%B3%89%E5%B8%82/4762180"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酒泉市</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相邻，南与</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"https://baike.baidu.com/item/%E5%B7%B4%E9%9F%B3%E9%83%AD%E6%A5%9E%E8%92%99%E5%8F%A4%E8%87%AA%E6%B2%BB%E5%B7%9E/5310284"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巴音郭楞蒙古自治州</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相连，西与</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"https://baike.baidu.com/item/%E5%90%90%E9%B2%81%E7%95%AA%E5%B8%82/9732678"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吐鲁番市</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"https://baike.baidu.com/item/%E6%98%8C%E5%90%89%E5%9B%9E%E6%97%8F%E8%87%AA%E6%B2%BB%E5%B7%9E/2283504"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昌吉回族自治州</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毗邻，北与</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"https://baike.baidu.com/item/%E8%92%99%E5%8F%A4%E5%9B%BD/209648"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蒙古国</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接壤，设有国家一类季节性开放口岸——</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"https://baike.baidu.com/item/%E8%80%81%E7%88%B7%E5%BA%99%E5%8F%A3%E5%B2%B8/4898349" \t "_blank"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老爷庙口岸</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，是新疆与蒙古国发展边贸的重要开放口岸之一。</w:t>
      </w:r>
    </w:p>
    <w:p w14:paraId="0D19B99A">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本项目位于新疆维吾尔自治区哈密市168</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方位（与哈密市直线距离约179km），雅满苏镇以南约7</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km处，行政区划属于新疆维吾尔自治区哈密市雅满苏镇管辖。矿区中心地理坐标：</w:t>
      </w:r>
      <w:r>
        <w:rPr>
          <w:color w:val="000000" w:themeColor="text1"/>
          <w:sz w:val="24"/>
          <w:szCs w:val="24"/>
          <w14:textFill>
            <w14:solidFill>
              <w14:schemeClr w14:val="tx1"/>
            </w14:solidFill>
          </w14:textFill>
        </w:rPr>
        <w:t>E</w:t>
      </w:r>
      <w:r>
        <w:rPr>
          <w:rFonts w:hint="eastAsia"/>
          <w:color w:val="000000" w:themeColor="text1"/>
          <w:sz w:val="24"/>
          <w:szCs w:val="28"/>
          <w14:textFill>
            <w14:solidFill>
              <w14:schemeClr w14:val="tx1"/>
            </w14:solidFill>
          </w14:textFill>
        </w:rPr>
        <w:t>********</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N</w:t>
      </w:r>
      <w:r>
        <w:rPr>
          <w:rFonts w:hint="eastAsia"/>
          <w:color w:val="000000" w:themeColor="text1"/>
          <w:sz w:val="24"/>
          <w:szCs w:val="28"/>
          <w14:textFill>
            <w14:solidFill>
              <w14:schemeClr w14:val="tx1"/>
            </w14:solidFill>
          </w14:textFill>
        </w:rPr>
        <w:t>********</w:t>
      </w:r>
      <w:r>
        <w:rPr>
          <w:rFonts w:hint="eastAsia"/>
          <w:color w:val="000000" w:themeColor="text1"/>
          <w:sz w:val="24"/>
          <w:szCs w:val="24"/>
          <w14:textFill>
            <w14:solidFill>
              <w14:schemeClr w14:val="tx1"/>
            </w14:solidFill>
          </w14:textFill>
        </w:rPr>
        <w:t>（2000地理坐标）。</w:t>
      </w:r>
    </w:p>
    <w:p w14:paraId="5D80B414">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哈密市-雅满苏镇-磁海铁矿有柏油公路相通，矿区至磁海铁矿柏油路路口30km为简易公路，可以直达矿区。兰新铁路从本区的东北角附近通过，矿区距兰新铁路红柳河车站75km，距雅满苏铁矿80km，距离哈密市270km，交通较为便利。</w:t>
      </w:r>
    </w:p>
    <w:p w14:paraId="323174AB">
      <w:pPr>
        <w:pStyle w:val="4"/>
        <w:spacing w:before="60" w:after="60" w:line="480" w:lineRule="exact"/>
        <w:rPr>
          <w:color w:val="000000" w:themeColor="text1"/>
          <w:kern w:val="2"/>
          <w14:textFill>
            <w14:solidFill>
              <w14:schemeClr w14:val="tx1"/>
            </w14:solidFill>
          </w14:textFill>
        </w:rPr>
      </w:pPr>
      <w:bookmarkStart w:id="349" w:name="_Toc393410976"/>
      <w:bookmarkStart w:id="350" w:name="_Toc7072"/>
      <w:bookmarkStart w:id="351" w:name="_Toc1959"/>
      <w:bookmarkStart w:id="352" w:name="_Toc17921"/>
      <w:r>
        <w:rPr>
          <w:color w:val="000000" w:themeColor="text1"/>
          <w:kern w:val="2"/>
          <w14:textFill>
            <w14:solidFill>
              <w14:schemeClr w14:val="tx1"/>
            </w14:solidFill>
          </w14:textFill>
        </w:rPr>
        <w:t>4.1.2地形地貌</w:t>
      </w:r>
      <w:bookmarkEnd w:id="349"/>
      <w:bookmarkEnd w:id="350"/>
      <w:bookmarkEnd w:id="351"/>
      <w:bookmarkEnd w:id="352"/>
    </w:p>
    <w:p w14:paraId="5F871064">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哈密市地处东天山南麓。东天山是由几条平行山脉和其山间盆地组成的山系，北部以山地为主要特征的东天山余脉；东部、南部则以剥蚀形态为主要特征的高原地带；中部，西部是哈密盆地。以此形成哈密地区“两山夹一盆”的地形地貌特点。位于市境内东北部的喀尔里克山</w:t>
      </w:r>
      <w:r>
        <w:rPr>
          <w:rFonts w:hint="eastAsia"/>
          <w:color w:val="000000" w:themeColor="text1"/>
          <w:sz w:val="24"/>
          <w:szCs w:val="24"/>
          <w:lang w:val="en-US" w:eastAsia="zh-CN"/>
          <w14:textFill>
            <w14:solidFill>
              <w14:schemeClr w14:val="tx1"/>
            </w14:solidFill>
          </w14:textFill>
        </w:rPr>
        <w:t>主</w:t>
      </w:r>
      <w:r>
        <w:rPr>
          <w:rFonts w:hint="eastAsia"/>
          <w:color w:val="000000" w:themeColor="text1"/>
          <w:sz w:val="24"/>
          <w:szCs w:val="24"/>
          <w14:textFill>
            <w14:solidFill>
              <w14:schemeClr w14:val="tx1"/>
            </w14:solidFill>
          </w14:textFill>
        </w:rPr>
        <w:t>峰，终年不化，海拔4886m，为全市最高点。市境西部戈壁深处的沙尔湖为哈密盆地的最低处，海拔仅53m。</w:t>
      </w:r>
    </w:p>
    <w:p w14:paraId="6B995C27">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矿区属低山丘陵地貌，海拔在1234.57～1254.20m之间，相对高差2～5m，最大高差17m，总体地形北高南低，地形平缓，地形坡度2～5°。地势起伏不大，地形切割不强烈。矿区内植被不发育，大部分地带被第四系覆盖，基岩零星出露。</w:t>
      </w:r>
    </w:p>
    <w:p w14:paraId="02A49FDC">
      <w:pPr>
        <w:pStyle w:val="999"/>
        <w:keepNext w:val="0"/>
        <w:keepLines w:val="0"/>
        <w:suppressLineNumbers w:val="0"/>
        <w:spacing w:before="0" w:beforeAutospacing="0" w:after="0" w:afterAutospacing="0" w:line="240" w:lineRule="auto"/>
        <w:ind w:left="0" w:right="0" w:firstLine="0" w:firstLineChars="0"/>
        <w:jc w:val="center"/>
        <w:rPr>
          <w:rFonts w:hint="default" w:ascii="宋体" w:hAnsi="Times New Roman"/>
          <w:b/>
          <w:color w:val="000000" w:themeColor="text1"/>
          <w:szCs w:val="28"/>
          <w14:textFill>
            <w14:solidFill>
              <w14:schemeClr w14:val="tx1"/>
            </w14:solidFill>
          </w14:textFill>
        </w:rPr>
        <w:sectPr>
          <w:footerReference r:id="rId26" w:type="default"/>
          <w:footerReference r:id="rId27"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C33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261" w:type="dxa"/>
            <w:noWrap w:val="0"/>
            <w:vAlign w:val="top"/>
          </w:tcPr>
          <w:p w14:paraId="6BD4F9D3">
            <w:pPr>
              <w:pStyle w:val="99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18"/>
                <w:szCs w:val="18"/>
                <w14:textFill>
                  <w14:solidFill>
                    <w14:schemeClr w14:val="tx1"/>
                  </w14:solidFill>
                </w14:textFill>
              </w:rPr>
            </w:pPr>
          </w:p>
        </w:tc>
        <w:tc>
          <w:tcPr>
            <w:tcW w:w="4261" w:type="dxa"/>
            <w:noWrap w:val="0"/>
            <w:vAlign w:val="top"/>
          </w:tcPr>
          <w:p w14:paraId="5003FAD4">
            <w:pPr>
              <w:pStyle w:val="99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18"/>
                <w:szCs w:val="18"/>
                <w14:textFill>
                  <w14:solidFill>
                    <w14:schemeClr w14:val="tx1"/>
                  </w14:solidFill>
                </w14:textFill>
              </w:rPr>
            </w:pPr>
          </w:p>
        </w:tc>
      </w:tr>
      <w:tr w14:paraId="373B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261" w:type="dxa"/>
            <w:noWrap w:val="0"/>
            <w:vAlign w:val="top"/>
          </w:tcPr>
          <w:p w14:paraId="12ADE6BA">
            <w:pPr>
              <w:pStyle w:val="99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矿区南部地形地貌</w:t>
            </w:r>
          </w:p>
        </w:tc>
        <w:tc>
          <w:tcPr>
            <w:tcW w:w="4261" w:type="dxa"/>
            <w:noWrap w:val="0"/>
            <w:vAlign w:val="top"/>
          </w:tcPr>
          <w:p w14:paraId="01921834">
            <w:pPr>
              <w:pStyle w:val="99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矿区北部地形地貌</w:t>
            </w:r>
          </w:p>
        </w:tc>
      </w:tr>
    </w:tbl>
    <w:p w14:paraId="268D185E">
      <w:pPr>
        <w:spacing w:line="480" w:lineRule="exact"/>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图4</w:t>
      </w:r>
      <w:r>
        <w:rPr>
          <w:b/>
          <w:color w:val="000000" w:themeColor="text1"/>
          <w:sz w:val="24"/>
          <w:szCs w:val="24"/>
          <w14:textFill>
            <w14:solidFill>
              <w14:schemeClr w14:val="tx1"/>
            </w14:solidFill>
          </w14:textFill>
        </w:rPr>
        <w:t xml:space="preserve">.1-1    </w:t>
      </w:r>
      <w:r>
        <w:rPr>
          <w:rFonts w:hint="eastAsia"/>
          <w:b/>
          <w:color w:val="000000" w:themeColor="text1"/>
          <w:sz w:val="24"/>
          <w:szCs w:val="24"/>
          <w14:textFill>
            <w14:solidFill>
              <w14:schemeClr w14:val="tx1"/>
            </w14:solidFill>
          </w14:textFill>
        </w:rPr>
        <w:t>地形地貌图</w:t>
      </w:r>
    </w:p>
    <w:p w14:paraId="15D5D951">
      <w:pPr>
        <w:pStyle w:val="4"/>
        <w:spacing w:before="60" w:after="60" w:line="480" w:lineRule="exact"/>
        <w:rPr>
          <w:color w:val="000000" w:themeColor="text1"/>
          <w:kern w:val="2"/>
          <w14:textFill>
            <w14:solidFill>
              <w14:schemeClr w14:val="tx1"/>
            </w14:solidFill>
          </w14:textFill>
        </w:rPr>
      </w:pPr>
      <w:bookmarkStart w:id="353" w:name="_Toc14419"/>
      <w:r>
        <w:rPr>
          <w:rFonts w:hint="eastAsia"/>
          <w:color w:val="000000" w:themeColor="text1"/>
          <w:kern w:val="2"/>
          <w14:textFill>
            <w14:solidFill>
              <w14:schemeClr w14:val="tx1"/>
            </w14:solidFill>
          </w14:textFill>
        </w:rPr>
        <w:t>4.1.3</w:t>
      </w:r>
      <w:bookmarkEnd w:id="353"/>
      <w:r>
        <w:rPr>
          <w:rFonts w:hint="eastAsia"/>
          <w:color w:val="000000" w:themeColor="text1"/>
          <w:kern w:val="2"/>
          <w14:textFill>
            <w14:solidFill>
              <w14:schemeClr w14:val="tx1"/>
            </w14:solidFill>
          </w14:textFill>
        </w:rPr>
        <w:t>矿区地质</w:t>
      </w:r>
    </w:p>
    <w:p w14:paraId="6289CE3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矿区位于塔里木板块东部北山古生代裂谷中，处于天山-阴山东西向构造体系的南缘M1033南背斜南翼。</w:t>
      </w:r>
    </w:p>
    <w:p w14:paraId="3FAF0801">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4.1.3.1地层岩性</w:t>
      </w:r>
    </w:p>
    <w:p w14:paraId="04E7ED0F">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矿区内大面积被第四系覆盖，出露的地层有下寒武统双鹰山组第二岩性段（</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vertAlign w:val="subscript"/>
          <w14:textFill>
            <w14:solidFill>
              <w14:schemeClr w14:val="tx1"/>
            </w14:solidFill>
          </w14:textFill>
        </w:rPr>
        <w:t>1</w:t>
      </w:r>
      <w:r>
        <w:rPr>
          <w:color w:val="000000" w:themeColor="text1"/>
          <w:sz w:val="24"/>
          <w:szCs w:val="24"/>
          <w14:textFill>
            <w14:solidFill>
              <w14:schemeClr w14:val="tx1"/>
            </w14:solidFill>
          </w14:textFill>
        </w:rPr>
        <w:t>S</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）及第四系全新统冲洪积物（Q</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vertAlign w:val="superscript"/>
          <w14:textFill>
            <w14:solidFill>
              <w14:schemeClr w14:val="tx1"/>
            </w14:solidFill>
          </w14:textFill>
        </w:rPr>
        <w:t>apl</w:t>
      </w:r>
      <w:r>
        <w:rPr>
          <w:rFonts w:hint="eastAsia"/>
          <w:color w:val="000000" w:themeColor="text1"/>
          <w:sz w:val="24"/>
          <w:szCs w:val="24"/>
          <w14:textFill>
            <w14:solidFill>
              <w14:schemeClr w14:val="tx1"/>
            </w14:solidFill>
          </w14:textFill>
        </w:rPr>
        <w:t>）。</w:t>
      </w:r>
    </w:p>
    <w:p w14:paraId="14276165">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下寒武统双鹰山组（</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vertAlign w:val="subscript"/>
          <w14:textFill>
            <w14:solidFill>
              <w14:schemeClr w14:val="tx1"/>
            </w14:solidFill>
          </w14:textFill>
        </w:rPr>
        <w:t>1</w:t>
      </w:r>
      <w:r>
        <w:rPr>
          <w:color w:val="000000" w:themeColor="text1"/>
          <w:sz w:val="24"/>
          <w:szCs w:val="24"/>
          <w14:textFill>
            <w14:solidFill>
              <w14:schemeClr w14:val="tx1"/>
            </w14:solidFill>
          </w14:textFill>
        </w:rPr>
        <w:t>S</w:t>
      </w:r>
      <w:r>
        <w:rPr>
          <w:rFonts w:hint="eastAsia"/>
          <w:color w:val="000000" w:themeColor="text1"/>
          <w:sz w:val="24"/>
          <w:szCs w:val="24"/>
          <w14:textFill>
            <w14:solidFill>
              <w14:schemeClr w14:val="tx1"/>
            </w14:solidFill>
          </w14:textFill>
        </w:rPr>
        <w:t>）</w:t>
      </w:r>
    </w:p>
    <w:p w14:paraId="13835B3F">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根据地表出露地层和钻孔中岩性组合特征及分布规律可划分为五个岩性段，磁铁矿主要赋存于下寒武统双鹰山组第四岩性段（∈</w:t>
      </w:r>
      <w:r>
        <w:rPr>
          <w:rFonts w:hint="eastAsia"/>
          <w:color w:val="000000" w:themeColor="text1"/>
          <w:sz w:val="24"/>
          <w:szCs w:val="24"/>
          <w:vertAlign w:val="subscript"/>
          <w14:textFill>
            <w14:solidFill>
              <w14:schemeClr w14:val="tx1"/>
            </w14:solidFill>
          </w14:textFill>
        </w:rPr>
        <w:t>1</w:t>
      </w:r>
      <w:r>
        <w:rPr>
          <w:rFonts w:hint="eastAsia"/>
          <w:color w:val="000000" w:themeColor="text1"/>
          <w:sz w:val="24"/>
          <w:szCs w:val="24"/>
          <w14:textFill>
            <w14:solidFill>
              <w14:schemeClr w14:val="tx1"/>
            </w14:solidFill>
          </w14:textFill>
        </w:rPr>
        <w:t>S</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）地层中。各地层特征如下：</w:t>
      </w:r>
    </w:p>
    <w:p w14:paraId="442A2238">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（1）第一岩性段（∈</w:t>
      </w:r>
      <w:r>
        <w:rPr>
          <w:rFonts w:hint="eastAsia"/>
          <w:color w:val="000000" w:themeColor="text1"/>
          <w:sz w:val="24"/>
          <w:szCs w:val="24"/>
          <w:vertAlign w:val="subscript"/>
          <w14:textFill>
            <w14:solidFill>
              <w14:schemeClr w14:val="tx1"/>
            </w14:solidFill>
          </w14:textFill>
        </w:rPr>
        <w:t>1</w:t>
      </w:r>
      <w:r>
        <w:rPr>
          <w:rFonts w:hint="eastAsia"/>
          <w:color w:val="000000" w:themeColor="text1"/>
          <w:sz w:val="24"/>
          <w:szCs w:val="24"/>
          <w14:textFill>
            <w14:solidFill>
              <w14:schemeClr w14:val="tx1"/>
            </w14:solidFill>
          </w14:textFill>
        </w:rPr>
        <w:t>S</w:t>
      </w:r>
      <w:r>
        <w:rPr>
          <w:rFonts w:hint="eastAsia"/>
          <w:color w:val="000000" w:themeColor="text1"/>
          <w:sz w:val="24"/>
          <w:szCs w:val="24"/>
          <w:vertAlign w:val="superscript"/>
          <w14:textFill>
            <w14:solidFill>
              <w14:schemeClr w14:val="tx1"/>
            </w14:solidFill>
          </w14:textFill>
        </w:rPr>
        <w:t>1</w:t>
      </w:r>
      <w:r>
        <w:rPr>
          <w:rFonts w:hint="eastAsia"/>
          <w:color w:val="000000" w:themeColor="text1"/>
          <w:sz w:val="24"/>
          <w:szCs w:val="24"/>
          <w14:textFill>
            <w14:solidFill>
              <w14:schemeClr w14:val="tx1"/>
            </w14:solidFill>
          </w14:textFill>
        </w:rPr>
        <w:t>）：红褐色粉砂质泥岩</w:t>
      </w:r>
    </w:p>
    <w:p w14:paraId="5B1AB9FC">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分布在矿区东部钻孔顶部第四系以下，岩石呈红褐色，粉砂质泥状结构，中-厚层状层理构造。岩石由颗粒细小的碎屑矿物及粘土矿物组成。钻孔控制厚度为3.20～83.60m。</w:t>
      </w:r>
    </w:p>
    <w:p w14:paraId="71F99CBB">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（2）第二岩性段（</w:t>
      </w:r>
      <w:r>
        <w:rPr>
          <w:rFonts w:hint="default" w:ascii="Times New Roman" w:hAnsi="Times New Roman" w:cs="Times New Roman"/>
          <w:color w:val="000000" w:themeColor="text1"/>
          <w:sz w:val="24"/>
          <w:szCs w:val="24"/>
          <w14:textFill>
            <w14:solidFill>
              <w14:schemeClr w14:val="tx1"/>
            </w14:solidFill>
          </w14:textFill>
        </w:rPr>
        <w:t>∈</w:t>
      </w:r>
      <w:r>
        <w:rPr>
          <w:rFonts w:hint="eastAsia"/>
          <w:color w:val="000000" w:themeColor="text1"/>
          <w:sz w:val="24"/>
          <w:szCs w:val="24"/>
          <w:vertAlign w:val="subscript"/>
          <w14:textFill>
            <w14:solidFill>
              <w14:schemeClr w14:val="tx1"/>
            </w14:solidFill>
          </w14:textFill>
        </w:rPr>
        <w:t>1</w:t>
      </w:r>
      <w:r>
        <w:rPr>
          <w:rFonts w:hint="eastAsia"/>
          <w:color w:val="000000" w:themeColor="text1"/>
          <w:sz w:val="24"/>
          <w:szCs w:val="24"/>
          <w14:textFill>
            <w14:solidFill>
              <w14:schemeClr w14:val="tx1"/>
            </w14:solidFill>
          </w14:textFill>
        </w:rPr>
        <w:t>S</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p>
    <w:p w14:paraId="0DA139D2">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出露地表分布于矿区中北部和南西部，呈北东-南西走向，其他区域均被第四系覆盖。主要岩性为含水云母大理岩和含炭质硅质板岩，产状190～155°∠79～85°。地层厚度5.80～188.35m。</w:t>
      </w:r>
    </w:p>
    <w:p w14:paraId="034B6487">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含水云母大理岩</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分布在矿区中西部钻孔顶部第四系以下，岩石呈灰白色，鳞片粒状变晶结构，块状构造。主要矿物</w:t>
      </w:r>
      <w:r>
        <w:rPr>
          <w:rFonts w:hint="eastAsia"/>
          <w:color w:val="000000" w:themeColor="text1"/>
          <w:sz w:val="24"/>
          <w:szCs w:val="28"/>
          <w:lang w:val="en-US" w:eastAsia="zh-CN"/>
          <w14:textFill>
            <w14:solidFill>
              <w14:schemeClr w14:val="tx1"/>
            </w14:solidFill>
          </w14:textFill>
        </w:rPr>
        <w:t>成分</w:t>
      </w:r>
      <w:r>
        <w:rPr>
          <w:rFonts w:hint="eastAsia"/>
          <w:color w:val="000000" w:themeColor="text1"/>
          <w:sz w:val="24"/>
          <w:szCs w:val="24"/>
          <w14:textFill>
            <w14:solidFill>
              <w14:schemeClr w14:val="tx1"/>
            </w14:solidFill>
          </w14:textFill>
        </w:rPr>
        <w:t>：方解石，多呈&lt;0.3mm泥晶圆粒状，局部呈亮晶粒状，粒径0.4～0.7mm，密集分布，含量88%左右；水云母含量约10%；葡萄石2%，柱状，0.2～1.4×0.5mm</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零星分布；</w:t>
      </w:r>
    </w:p>
    <w:p w14:paraId="0C34B288">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金属矿物，粒径&lt;0.25～0.03mm，呈浸染状、微脉状分布，微量。</w:t>
      </w:r>
    </w:p>
    <w:p w14:paraId="2208639C">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含炭质硅质板岩</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分布在矿区中部钻孔中含水云母大理岩以下，黑云母长英质片岩以上，呈薄层状分布，岩石呈暗黑-灰黑色，鳞片粒状变晶结构，板状构造。主要矿物</w:t>
      </w:r>
      <w:r>
        <w:rPr>
          <w:rFonts w:hint="eastAsia"/>
          <w:color w:val="000000" w:themeColor="text1"/>
          <w:sz w:val="24"/>
          <w:szCs w:val="28"/>
          <w:lang w:val="en-US" w:eastAsia="zh-CN"/>
          <w14:textFill>
            <w14:solidFill>
              <w14:schemeClr w14:val="tx1"/>
            </w14:solidFill>
          </w14:textFill>
        </w:rPr>
        <w:t>成分</w:t>
      </w:r>
      <w:r>
        <w:rPr>
          <w:rFonts w:hint="eastAsia"/>
          <w:color w:val="000000" w:themeColor="text1"/>
          <w:sz w:val="24"/>
          <w:szCs w:val="24"/>
          <w14:textFill>
            <w14:solidFill>
              <w14:schemeClr w14:val="tx1"/>
            </w14:solidFill>
          </w14:textFill>
        </w:rPr>
        <w:t>：方解石、石英颗粒约60%～70%；碳质含量20%～25%；含少量黄铁矿和微量的其他金属矿物。岩石受挤压破碎，绿泥石化严重。</w:t>
      </w:r>
    </w:p>
    <w:p w14:paraId="34BE5CF5">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（3）第三岩性段（∈</w:t>
      </w:r>
      <w:r>
        <w:rPr>
          <w:rFonts w:hint="eastAsia"/>
          <w:color w:val="000000" w:themeColor="text1"/>
          <w:sz w:val="24"/>
          <w:szCs w:val="24"/>
          <w:vertAlign w:val="subscript"/>
          <w14:textFill>
            <w14:solidFill>
              <w14:schemeClr w14:val="tx1"/>
            </w14:solidFill>
          </w14:textFill>
        </w:rPr>
        <w:t>1</w:t>
      </w:r>
      <w:r>
        <w:rPr>
          <w:rFonts w:hint="eastAsia"/>
          <w:color w:val="000000" w:themeColor="text1"/>
          <w:sz w:val="24"/>
          <w:szCs w:val="24"/>
          <w14:textFill>
            <w14:solidFill>
              <w14:schemeClr w14:val="tx1"/>
            </w14:solidFill>
          </w14:textFill>
        </w:rPr>
        <w:t>S</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4AE5A067">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黑云母长英质片岩与黑云母长英质角岩互层，为磁铁矿层的顶板，钻孔中控制厚度为28.44～164.10m。</w:t>
      </w:r>
    </w:p>
    <w:p w14:paraId="7D590C2B">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黑云母长英质片岩：岩石呈灰绿-灰黑色，鳞片细粒变晶结构，片状构造。主要矿物</w:t>
      </w:r>
      <w:r>
        <w:rPr>
          <w:rFonts w:hint="eastAsia"/>
          <w:color w:val="000000" w:themeColor="text1"/>
          <w:sz w:val="24"/>
          <w:szCs w:val="24"/>
          <w:lang w:eastAsia="zh-CN"/>
          <w14:textFill>
            <w14:solidFill>
              <w14:schemeClr w14:val="tx1"/>
            </w14:solidFill>
          </w14:textFill>
        </w:rPr>
        <w:t>成分</w:t>
      </w:r>
      <w:r>
        <w:rPr>
          <w:rFonts w:hint="eastAsia"/>
          <w:color w:val="000000" w:themeColor="text1"/>
          <w:sz w:val="24"/>
          <w:szCs w:val="24"/>
          <w14:textFill>
            <w14:solidFill>
              <w14:schemeClr w14:val="tx1"/>
            </w14:solidFill>
          </w14:textFill>
        </w:rPr>
        <w:t>：由长石、石英、白云母、黑云母组成，矿物平行定向排列明显，长石含量20%，石英含量50%，它形细粒，粒径0.05～0.4mm，二者相间均匀平行分布，长石双晶不发育，以斜长石为主，泥化、绢云母化中度，部分为钾长石；黑云母含量30%，细片状，褐-黄色，片径0.1～0.5×0.23mm，</w:t>
      </w:r>
      <w:r>
        <w:rPr>
          <w:rFonts w:hint="eastAsia"/>
          <w:color w:val="000000" w:themeColor="text1"/>
          <w:sz w:val="24"/>
          <w:szCs w:val="24"/>
          <w:lang w:val="en-US" w:eastAsia="zh-CN"/>
          <w14:textFill>
            <w14:solidFill>
              <w14:schemeClr w14:val="tx1"/>
            </w14:solidFill>
          </w14:textFill>
        </w:rPr>
        <w:t>呈</w:t>
      </w:r>
      <w:r>
        <w:rPr>
          <w:rFonts w:hint="eastAsia"/>
          <w:color w:val="000000" w:themeColor="text1"/>
          <w:sz w:val="24"/>
          <w:szCs w:val="24"/>
          <w14:textFill>
            <w14:solidFill>
              <w14:schemeClr w14:val="tx1"/>
            </w14:solidFill>
          </w14:textFill>
        </w:rPr>
        <w:t>条带平行分布。局部见微量磁铁矿，粒径0.3～0.07mm粒状，浸染状分布黑云母之间。</w:t>
      </w:r>
    </w:p>
    <w:p w14:paraId="03FF158E">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黑云母长英质角岩：岩石呈灰色，角岩结构，块状构造。主要矿物</w:t>
      </w:r>
      <w:r>
        <w:rPr>
          <w:rFonts w:hint="eastAsia"/>
          <w:color w:val="000000" w:themeColor="text1"/>
          <w:sz w:val="24"/>
          <w:szCs w:val="24"/>
          <w:lang w:eastAsia="zh-CN"/>
          <w14:textFill>
            <w14:solidFill>
              <w14:schemeClr w14:val="tx1"/>
            </w14:solidFill>
          </w14:textFill>
        </w:rPr>
        <w:t>成分</w:t>
      </w:r>
      <w:r>
        <w:rPr>
          <w:rFonts w:hint="eastAsia"/>
          <w:color w:val="000000" w:themeColor="text1"/>
          <w:sz w:val="24"/>
          <w:szCs w:val="24"/>
          <w14:textFill>
            <w14:solidFill>
              <w14:schemeClr w14:val="tx1"/>
            </w14:solidFill>
          </w14:textFill>
        </w:rPr>
        <w:t>：由很细的长石、石英微粒及黑云母组成。长石含量50%、石英含量约30%，呈他形微细粒，粒径0.05～0.40</w:t>
      </w:r>
      <w:r>
        <w:rPr>
          <w:rFonts w:hint="eastAsia"/>
          <w:color w:val="000000" w:themeColor="text1"/>
          <w:sz w:val="24"/>
          <w:szCs w:val="24"/>
          <w:lang w:val="en-US" w:eastAsia="zh-CN"/>
          <w14:textFill>
            <w14:solidFill>
              <w14:schemeClr w14:val="tx1"/>
            </w14:solidFill>
          </w14:textFill>
        </w:rPr>
        <w:t>mm</w:t>
      </w:r>
      <w:r>
        <w:rPr>
          <w:rFonts w:hint="eastAsia"/>
          <w:color w:val="000000" w:themeColor="text1"/>
          <w:sz w:val="24"/>
          <w:szCs w:val="24"/>
          <w14:textFill>
            <w14:solidFill>
              <w14:schemeClr w14:val="tx1"/>
            </w14:solidFill>
          </w14:textFill>
        </w:rPr>
        <w:t>，二者相间均匀分布，长石以钾长石为主，部分为斜长石，斜长石普遍泥化、绢云母化蚀变强烈。黑云母含量约20%呈片状，片径0.07～0.6×0.2</w:t>
      </w:r>
      <w:r>
        <w:rPr>
          <w:rFonts w:hint="eastAsia"/>
          <w:color w:val="000000" w:themeColor="text1"/>
          <w:sz w:val="24"/>
          <w:szCs w:val="24"/>
          <w:lang w:val="en-US" w:eastAsia="zh-CN"/>
          <w14:textFill>
            <w14:solidFill>
              <w14:schemeClr w14:val="tx1"/>
            </w14:solidFill>
          </w14:textFill>
        </w:rPr>
        <w:t>mm</w:t>
      </w:r>
      <w:r>
        <w:rPr>
          <w:rFonts w:hint="eastAsia"/>
          <w:color w:val="000000" w:themeColor="text1"/>
          <w:sz w:val="24"/>
          <w:szCs w:val="24"/>
          <w14:textFill>
            <w14:solidFill>
              <w14:schemeClr w14:val="tx1"/>
            </w14:solidFill>
          </w14:textFill>
        </w:rPr>
        <w:t>，杂乱分布，黄-褐色，多色性显著。黄铁矿少量，粒状，粒径0.03～0.4</w:t>
      </w:r>
      <w:r>
        <w:rPr>
          <w:rFonts w:hint="eastAsia"/>
          <w:color w:val="000000" w:themeColor="text1"/>
          <w:sz w:val="24"/>
          <w:szCs w:val="24"/>
          <w:lang w:val="en-US" w:eastAsia="zh-CN"/>
          <w14:textFill>
            <w14:solidFill>
              <w14:schemeClr w14:val="tx1"/>
            </w14:solidFill>
          </w14:textFill>
        </w:rPr>
        <w:t>mm</w:t>
      </w:r>
      <w:r>
        <w:rPr>
          <w:rFonts w:hint="eastAsia"/>
          <w:color w:val="000000" w:themeColor="text1"/>
          <w:sz w:val="24"/>
          <w:szCs w:val="24"/>
          <w14:textFill>
            <w14:solidFill>
              <w14:schemeClr w14:val="tx1"/>
            </w14:solidFill>
          </w14:textFill>
        </w:rPr>
        <w:t>，浸染状分布。</w:t>
      </w:r>
    </w:p>
    <w:p w14:paraId="264411FA">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（4）第四岩性段（∈</w:t>
      </w:r>
      <w:r>
        <w:rPr>
          <w:rFonts w:hint="eastAsia"/>
          <w:color w:val="000000" w:themeColor="text1"/>
          <w:sz w:val="24"/>
          <w:szCs w:val="24"/>
          <w:vertAlign w:val="subscript"/>
          <w14:textFill>
            <w14:solidFill>
              <w14:schemeClr w14:val="tx1"/>
            </w14:solidFill>
          </w14:textFill>
        </w:rPr>
        <w:t>1</w:t>
      </w:r>
      <w:r>
        <w:rPr>
          <w:rFonts w:hint="eastAsia"/>
          <w:color w:val="000000" w:themeColor="text1"/>
          <w:sz w:val="24"/>
          <w:szCs w:val="24"/>
          <w14:textFill>
            <w14:solidFill>
              <w14:schemeClr w14:val="tx1"/>
            </w14:solidFill>
          </w14:textFill>
        </w:rPr>
        <w:t>S</w:t>
      </w:r>
      <w:r>
        <w:rPr>
          <w:rFonts w:hint="eastAsia"/>
          <w:color w:val="000000" w:themeColor="text1"/>
          <w:sz w:val="24"/>
          <w:szCs w:val="24"/>
          <w:vertAlign w:val="superscript"/>
          <w14:textFill>
            <w14:solidFill>
              <w14:schemeClr w14:val="tx1"/>
            </w14:solidFill>
          </w14:textFill>
        </w:rPr>
        <w:t>4</w:t>
      </w:r>
      <w:r>
        <w:rPr>
          <w:rFonts w:hint="eastAsia"/>
          <w:color w:val="000000" w:themeColor="text1"/>
          <w:sz w:val="24"/>
          <w:szCs w:val="24"/>
          <w14:textFill>
            <w14:solidFill>
              <w14:schemeClr w14:val="tx1"/>
            </w14:solidFill>
          </w14:textFill>
        </w:rPr>
        <w:t>）</w:t>
      </w:r>
    </w:p>
    <w:p w14:paraId="12A7EF13">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磁铁矿层，主要为磁铁矿化绿泥石石英片岩和绿泥石片岩，钻孔中控制厚度为4.35～82.21m。</w:t>
      </w:r>
    </w:p>
    <w:p w14:paraId="4CE53642">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磁铁矿化绿泥石石英片岩：岩石呈灰绿-灰黑色，粒状鳞片变晶结构，片状构造。岩石变质作用形成，主要矿物由石英、绿泥石组成，矿物平行定向排列。绿泥石呈浅绿色，片径0.3～2.8×1.3mm片状，大致成条带平行分布，含量约45%；石英呈粒径0.5～2.6mm粒状，波形消光，成条带平行分布，含量约30%；碳酸盐粒径&lt;0.13mm微粒，</w:t>
      </w:r>
      <w:r>
        <w:rPr>
          <w:rFonts w:hint="eastAsia"/>
          <w:color w:val="000000" w:themeColor="text1"/>
          <w:sz w:val="24"/>
          <w:szCs w:val="24"/>
          <w:lang w:val="en-US" w:eastAsia="zh-CN"/>
          <w14:textFill>
            <w14:solidFill>
              <w14:schemeClr w14:val="tx1"/>
            </w14:solidFill>
          </w14:textFill>
        </w:rPr>
        <w:t>呈</w:t>
      </w:r>
      <w:r>
        <w:rPr>
          <w:rFonts w:hint="eastAsia"/>
          <w:color w:val="000000" w:themeColor="text1"/>
          <w:sz w:val="24"/>
          <w:szCs w:val="24"/>
          <w14:textFill>
            <w14:solidFill>
              <w14:schemeClr w14:val="tx1"/>
            </w14:solidFill>
          </w14:textFill>
        </w:rPr>
        <w:t>细条带分布于绿泥石、磁铁矿之间，含量约10%；磁铁矿粒径0.2～1.5mm粒状，成脉状、条带状分布于绿泥石条带内含量约15%。</w:t>
      </w:r>
    </w:p>
    <w:p w14:paraId="7FF40CF9">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磁铁矿化绿泥石片岩：岩石呈灰绿-灰黑色，粒状鳞片状变晶结构，片状构造。岩石经变质作用形成，主要矿物由绿泥石、石英组成，矿物平行定向排列。绿泥石呈浅绿色，片径0.4～2.5×1.4mm片状，大致成条带平行分布，含量约70%；石英呈粒径0.5～2.6mm粒状，波形消光，成条带平行分布，含量约10%；碳酸盐粒径&lt;0.13mm微粒，</w:t>
      </w:r>
      <w:r>
        <w:rPr>
          <w:rFonts w:hint="eastAsia"/>
          <w:color w:val="000000" w:themeColor="text1"/>
          <w:sz w:val="24"/>
          <w:szCs w:val="24"/>
          <w:lang w:val="en-US" w:eastAsia="zh-CN"/>
          <w14:textFill>
            <w14:solidFill>
              <w14:schemeClr w14:val="tx1"/>
            </w14:solidFill>
          </w14:textFill>
        </w:rPr>
        <w:t>呈</w:t>
      </w:r>
      <w:r>
        <w:rPr>
          <w:rFonts w:hint="eastAsia"/>
          <w:color w:val="000000" w:themeColor="text1"/>
          <w:sz w:val="24"/>
          <w:szCs w:val="24"/>
          <w14:textFill>
            <w14:solidFill>
              <w14:schemeClr w14:val="tx1"/>
            </w14:solidFill>
          </w14:textFill>
        </w:rPr>
        <w:t>细条带分布于绿泥石、磁铁矿之间，含量约10%；磁铁矿粒径0.2～1.5mm粒状，成脉状、条带状分布于绿泥石条带内含量约10%。</w:t>
      </w:r>
    </w:p>
    <w:p w14:paraId="210E5A36">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（5）第五岩性段（∈</w:t>
      </w:r>
      <w:r>
        <w:rPr>
          <w:rFonts w:hint="eastAsia"/>
          <w:color w:val="000000" w:themeColor="text1"/>
          <w:sz w:val="24"/>
          <w:szCs w:val="24"/>
          <w:vertAlign w:val="subscript"/>
          <w14:textFill>
            <w14:solidFill>
              <w14:schemeClr w14:val="tx1"/>
            </w14:solidFill>
          </w14:textFill>
        </w:rPr>
        <w:t>1</w:t>
      </w:r>
      <w:r>
        <w:rPr>
          <w:rFonts w:hint="eastAsia"/>
          <w:color w:val="000000" w:themeColor="text1"/>
          <w:sz w:val="24"/>
          <w:szCs w:val="24"/>
          <w14:textFill>
            <w14:solidFill>
              <w14:schemeClr w14:val="tx1"/>
            </w14:solidFill>
          </w14:textFill>
        </w:rPr>
        <w:t>S</w:t>
      </w:r>
      <w:r>
        <w:rPr>
          <w:rFonts w:hint="eastAsia"/>
          <w:color w:val="000000" w:themeColor="text1"/>
          <w:sz w:val="24"/>
          <w:szCs w:val="24"/>
          <w:vertAlign w:val="superscript"/>
          <w14:textFill>
            <w14:solidFill>
              <w14:schemeClr w14:val="tx1"/>
            </w14:solidFill>
          </w14:textFill>
        </w:rPr>
        <w:t>5</w:t>
      </w:r>
      <w:r>
        <w:rPr>
          <w:rFonts w:hint="eastAsia"/>
          <w:color w:val="000000" w:themeColor="text1"/>
          <w:sz w:val="24"/>
          <w:szCs w:val="24"/>
          <w14:textFill>
            <w14:solidFill>
              <w14:schemeClr w14:val="tx1"/>
            </w14:solidFill>
          </w14:textFill>
        </w:rPr>
        <w:t>）</w:t>
      </w:r>
    </w:p>
    <w:p w14:paraId="747C0F26">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黄铁矿化透闪石岩和黄铁矿化透闪石角岩，为磁铁矿层的底板，钻孔中控制厚度为3.80～21.60m，该层未见底。</w:t>
      </w:r>
    </w:p>
    <w:p w14:paraId="2EAA662F">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黄铁矿化透闪石岩，黄绿色，柱状、纤维状变晶结构，块状构造。岩石变质重结晶，主要由透闪石组成，出现黄铁矿化。主要矿物</w:t>
      </w:r>
      <w:r>
        <w:rPr>
          <w:rFonts w:hint="eastAsia"/>
          <w:color w:val="000000" w:themeColor="text1"/>
          <w:sz w:val="24"/>
          <w:szCs w:val="24"/>
          <w:lang w:eastAsia="zh-CN"/>
          <w14:textFill>
            <w14:solidFill>
              <w14:schemeClr w14:val="tx1"/>
            </w14:solidFill>
          </w14:textFill>
        </w:rPr>
        <w:t>成分</w:t>
      </w:r>
      <w:r>
        <w:rPr>
          <w:rFonts w:hint="eastAsia"/>
          <w:color w:val="000000" w:themeColor="text1"/>
          <w:sz w:val="24"/>
          <w:szCs w:val="24"/>
          <w14:textFill>
            <w14:solidFill>
              <w14:schemeClr w14:val="tx1"/>
            </w14:solidFill>
          </w14:textFill>
        </w:rPr>
        <w:t>：透闪石，干涉色鲜艳，细小纤维状为主，少数柱状，粒径大多&lt;0.36㎜，少数0.4～0.8×0.3mm，半定向密集分布，含量约95%；黄铁矿呈粒状，粒径0.1～0.8mm，浸染状平行分布，含量约5%。</w:t>
      </w:r>
    </w:p>
    <w:p w14:paraId="1EE3FDC6">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黄铁矿化透闪石角岩，灰绿色，变斑状基质鳞片粒状变晶结构，块状定向构造。岩石变质重结晶，主要由方解石、帘石组成。主要矿物</w:t>
      </w:r>
      <w:r>
        <w:rPr>
          <w:rFonts w:hint="eastAsia"/>
          <w:color w:val="000000" w:themeColor="text1"/>
          <w:sz w:val="24"/>
          <w:szCs w:val="24"/>
          <w:lang w:eastAsia="zh-CN"/>
          <w14:textFill>
            <w14:solidFill>
              <w14:schemeClr w14:val="tx1"/>
            </w14:solidFill>
          </w14:textFill>
        </w:rPr>
        <w:t>成分</w:t>
      </w:r>
      <w:r>
        <w:rPr>
          <w:rFonts w:hint="eastAsia"/>
          <w:color w:val="000000" w:themeColor="text1"/>
          <w:sz w:val="24"/>
          <w:szCs w:val="24"/>
          <w14:textFill>
            <w14:solidFill>
              <w14:schemeClr w14:val="tx1"/>
            </w14:solidFill>
          </w14:textFill>
        </w:rPr>
        <w:t>：方解石呈他形细粒，粒径0.35～0.02</w:t>
      </w:r>
      <w:r>
        <w:rPr>
          <w:rFonts w:hint="eastAsia"/>
          <w:color w:val="000000" w:themeColor="text1"/>
          <w:sz w:val="24"/>
          <w:szCs w:val="24"/>
          <w:lang w:val="en-US" w:eastAsia="zh-CN"/>
          <w14:textFill>
            <w14:solidFill>
              <w14:schemeClr w14:val="tx1"/>
            </w14:solidFill>
          </w14:textFill>
        </w:rPr>
        <w:t>mm</w:t>
      </w:r>
      <w:r>
        <w:rPr>
          <w:rFonts w:hint="eastAsia"/>
          <w:color w:val="000000" w:themeColor="text1"/>
          <w:sz w:val="24"/>
          <w:szCs w:val="24"/>
          <w14:textFill>
            <w14:solidFill>
              <w14:schemeClr w14:val="tx1"/>
            </w14:solidFill>
          </w14:textFill>
        </w:rPr>
        <w:t>，高级白干涉色，呈基质均匀定向分布，含量约60%；黄铁矿呈粒状，粒径0.9～0.06㎜，浸染状为主，局部微脉、透镜体分布，含量约25%；斜黝帘石呈柱状，粒径0.73～5×1.6</w:t>
      </w:r>
      <w:r>
        <w:rPr>
          <w:rFonts w:hint="eastAsia"/>
          <w:color w:val="000000" w:themeColor="text1"/>
          <w:sz w:val="24"/>
          <w:szCs w:val="24"/>
          <w:lang w:val="en-US" w:eastAsia="zh-CN"/>
          <w14:textFill>
            <w14:solidFill>
              <w14:schemeClr w14:val="tx1"/>
            </w14:solidFill>
          </w14:textFill>
        </w:rPr>
        <w:t>mm</w:t>
      </w:r>
      <w:r>
        <w:rPr>
          <w:rFonts w:hint="eastAsia"/>
          <w:color w:val="000000" w:themeColor="text1"/>
          <w:sz w:val="24"/>
          <w:szCs w:val="24"/>
          <w14:textFill>
            <w14:solidFill>
              <w14:schemeClr w14:val="tx1"/>
            </w14:solidFill>
          </w14:textFill>
        </w:rPr>
        <w:t>，呈变斑晶平行分布，含量约10%；白云母呈细小片状，片径&lt;0.28×0.1～0.05</w:t>
      </w:r>
      <w:r>
        <w:rPr>
          <w:rFonts w:hint="eastAsia"/>
          <w:color w:val="000000" w:themeColor="text1"/>
          <w:sz w:val="24"/>
          <w:szCs w:val="24"/>
          <w:lang w:val="en-US" w:eastAsia="zh-CN"/>
          <w14:textFill>
            <w14:solidFill>
              <w14:schemeClr w14:val="tx1"/>
            </w14:solidFill>
          </w14:textFill>
        </w:rPr>
        <w:t>mm</w:t>
      </w:r>
      <w:r>
        <w:rPr>
          <w:rFonts w:hint="eastAsia"/>
          <w:color w:val="000000" w:themeColor="text1"/>
          <w:sz w:val="24"/>
          <w:szCs w:val="24"/>
          <w14:textFill>
            <w14:solidFill>
              <w14:schemeClr w14:val="tx1"/>
            </w14:solidFill>
          </w14:textFill>
        </w:rPr>
        <w:t>，平行定向分布于方解石之间，含量约5%。</w:t>
      </w:r>
    </w:p>
    <w:p w14:paraId="38E96A5C">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第四系全新统冲洪积物（Q</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vertAlign w:val="superscript"/>
          <w14:textFill>
            <w14:solidFill>
              <w14:schemeClr w14:val="tx1"/>
            </w14:solidFill>
          </w14:textFill>
        </w:rPr>
        <w:t>apl</w:t>
      </w:r>
      <w:r>
        <w:rPr>
          <w:rFonts w:hint="eastAsia"/>
          <w:color w:val="000000" w:themeColor="text1"/>
          <w:sz w:val="24"/>
          <w:szCs w:val="24"/>
          <w14:textFill>
            <w14:solidFill>
              <w14:schemeClr w14:val="tx1"/>
            </w14:solidFill>
          </w14:textFill>
        </w:rPr>
        <w:t>）</w:t>
      </w:r>
    </w:p>
    <w:p w14:paraId="1ADE4C3D">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该地层在矿区及附近分布最广，由洪积和冲积而形成戈壁滩，岩性为砂砾石土，灰稍密，干燥，砾石粒径一般2～5</w:t>
      </w:r>
      <w:r>
        <w:rPr>
          <w:rFonts w:hint="eastAsia"/>
          <w:color w:val="000000" w:themeColor="text1"/>
          <w:sz w:val="24"/>
          <w:szCs w:val="24"/>
          <w:lang w:val="en-US" w:eastAsia="zh-CN"/>
          <w14:textFill>
            <w14:solidFill>
              <w14:schemeClr w14:val="tx1"/>
            </w14:solidFill>
          </w14:textFill>
        </w:rPr>
        <w:t>cm</w:t>
      </w:r>
      <w:r>
        <w:rPr>
          <w:rFonts w:hint="eastAsia"/>
          <w:color w:val="000000" w:themeColor="text1"/>
          <w:sz w:val="24"/>
          <w:szCs w:val="24"/>
          <w14:textFill>
            <w14:solidFill>
              <w14:schemeClr w14:val="tx1"/>
            </w14:solidFill>
          </w14:textFill>
        </w:rPr>
        <w:t>，含量在一般70%以上，以洪积成因为主，磨圆一般。</w:t>
      </w:r>
    </w:p>
    <w:p w14:paraId="08E21AD2">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4.1.3.2地质构造</w:t>
      </w:r>
    </w:p>
    <w:p w14:paraId="5C9278CF">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区域地质构造</w:t>
      </w:r>
    </w:p>
    <w:p w14:paraId="2D18267B">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矿区所处的大地构造位置为塔里木陆块（Ⅱ）-北山古生代裂谷系（Ⅱ</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）-星星峡隆起区（Ⅱ</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区域</w:t>
      </w:r>
      <w:r>
        <w:rPr>
          <w:rFonts w:hint="eastAsia"/>
          <w:color w:val="000000" w:themeColor="text1"/>
          <w:sz w:val="24"/>
          <w:szCs w:val="24"/>
          <w:lang w:eastAsia="zh-CN"/>
          <w14:textFill>
            <w14:solidFill>
              <w14:schemeClr w14:val="tx1"/>
            </w14:solidFill>
          </w14:textFill>
        </w:rPr>
        <w:t>地质</w:t>
      </w:r>
      <w:r>
        <w:rPr>
          <w:rFonts w:hint="eastAsia"/>
          <w:color w:val="000000" w:themeColor="text1"/>
          <w:sz w:val="24"/>
          <w:szCs w:val="24"/>
          <w14:textFill>
            <w14:solidFill>
              <w14:schemeClr w14:val="tx1"/>
            </w14:solidFill>
          </w14:textFill>
        </w:rPr>
        <w:t>构造位置见图</w:t>
      </w:r>
      <w:r>
        <w:rPr>
          <w:rFonts w:hint="eastAsia"/>
          <w:color w:val="000000" w:themeColor="text1"/>
          <w:sz w:val="24"/>
          <w:szCs w:val="24"/>
          <w:lang w:val="en-US" w:eastAsia="zh-CN"/>
          <w14:textFill>
            <w14:solidFill>
              <w14:schemeClr w14:val="tx1"/>
            </w14:solidFill>
          </w14:textFill>
        </w:rPr>
        <w:t>4.1-2</w:t>
      </w:r>
      <w:r>
        <w:rPr>
          <w:rFonts w:hint="eastAsia"/>
          <w:color w:val="000000" w:themeColor="text1"/>
          <w:sz w:val="24"/>
          <w:szCs w:val="24"/>
          <w14:textFill>
            <w14:solidFill>
              <w14:schemeClr w14:val="tx1"/>
            </w14:solidFill>
          </w14:textFill>
        </w:rPr>
        <w:t>。区内构造突出的特征表现在北东向构造迭置在东西向构造之上，它既改造了东西向构造又受东西向构造的牵制、影响，加之不甚发育的北东向构造的加入，它们复合、联合的结果构成了本区域构造的总貌。</w:t>
      </w:r>
    </w:p>
    <w:p w14:paraId="0D55C5EE">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矿区地质</w:t>
      </w:r>
    </w:p>
    <w:p w14:paraId="3C65EBE1">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（1）褶皱</w:t>
      </w:r>
    </w:p>
    <w:p w14:paraId="616063E0">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由于矿区地表大面积被第四系覆盖，深部钻孔中岩层产状均为单斜,未见有褶皱构造。</w:t>
      </w:r>
    </w:p>
    <w:p w14:paraId="7A75292F">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（2）断层</w:t>
      </w:r>
    </w:p>
    <w:p w14:paraId="70EBF12D">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于矿区地表被第四系覆盖，未见断层出露，深部钻孔中局部发育小裂隙，规模较小，宽度一般1.0～2.0cm，裂隙较单一，无多期次活动的痕迹，裂隙面较粗糙，蚀变较弱，蚀变主要有绿泥石化、绢云母化。深部小裂隙未对矿体和围岩有明显的破坏作用。</w:t>
      </w:r>
    </w:p>
    <w:p w14:paraId="237E0ECE">
      <w:pPr>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2174875</wp:posOffset>
                </wp:positionH>
                <wp:positionV relativeFrom="paragraph">
                  <wp:posOffset>2867660</wp:posOffset>
                </wp:positionV>
                <wp:extent cx="819150" cy="267335"/>
                <wp:effectExtent l="0" t="0" r="0" b="0"/>
                <wp:wrapNone/>
                <wp:docPr id="34" name="文本框 213"/>
                <wp:cNvGraphicFramePr/>
                <a:graphic xmlns:a="http://schemas.openxmlformats.org/drawingml/2006/main">
                  <a:graphicData uri="http://schemas.microsoft.com/office/word/2010/wordprocessingShape">
                    <wps:wsp>
                      <wps:cNvSpPr txBox="1"/>
                      <wps:spPr>
                        <a:xfrm>
                          <a:off x="0" y="0"/>
                          <a:ext cx="819150" cy="267335"/>
                        </a:xfrm>
                        <a:prstGeom prst="rect">
                          <a:avLst/>
                        </a:prstGeom>
                        <a:noFill/>
                        <a:ln>
                          <a:noFill/>
                        </a:ln>
                      </wps:spPr>
                      <wps:txbx>
                        <w:txbxContent>
                          <w:p w14:paraId="6B5D4262">
                            <w:pPr>
                              <w:rPr>
                                <w:rFonts w:hint="eastAsia"/>
                                <w:b/>
                                <w:bCs/>
                                <w:color w:val="1503FB"/>
                              </w:rPr>
                            </w:pPr>
                            <w:r>
                              <w:rPr>
                                <w:rFonts w:hint="eastAsia"/>
                                <w:b/>
                                <w:bCs/>
                                <w:color w:val="1503FB"/>
                              </w:rPr>
                              <w:t>矿区位置</w:t>
                            </w:r>
                          </w:p>
                        </w:txbxContent>
                      </wps:txbx>
                      <wps:bodyPr wrap="square" upright="1"/>
                    </wps:wsp>
                  </a:graphicData>
                </a:graphic>
              </wp:anchor>
            </w:drawing>
          </mc:Choice>
          <mc:Fallback>
            <w:pict>
              <v:shape id="文本框 213" o:spid="_x0000_s1026" o:spt="202" type="#_x0000_t202" style="position:absolute;left:0pt;margin-left:171.25pt;margin-top:225.8pt;height:21.05pt;width:64.5pt;z-index:251660288;mso-width-relative:page;mso-height-relative:page;" filled="f" stroked="f" coordsize="21600,21600" o:gfxdata="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xtErdgAAAALAQAADwAAAAAAAAABACAAAAAiAAAAZHJzL2Rvd25yZXYueG1sUEsBAhQA&#10;FAAAAAgAh07iQEnYm9q5AQAAXgMAAA4AAAAAAAAAAQAgAAAAJwEAAGRycy9lMm9Eb2MueG1sUEsF&#10;BgAAAAAGAAYAWQEAAFIFAAAAAA==&#10;">
                <v:fill on="f" focussize="0,0"/>
                <v:stroke on="f"/>
                <v:imagedata o:title=""/>
                <o:lock v:ext="edit" aspectratio="f"/>
                <v:textbox>
                  <w:txbxContent>
                    <w:p w14:paraId="6B5D4262">
                      <w:pPr>
                        <w:rPr>
                          <w:rFonts w:hint="eastAsia"/>
                          <w:b/>
                          <w:bCs/>
                          <w:color w:val="1503FB"/>
                        </w:rPr>
                      </w:pPr>
                      <w:r>
                        <w:rPr>
                          <w:rFonts w:hint="eastAsia"/>
                          <w:b/>
                          <w:bCs/>
                          <w:color w:val="1503FB"/>
                        </w:rPr>
                        <w:t>矿区位置</w:t>
                      </w:r>
                    </w:p>
                  </w:txbxContent>
                </v:textbox>
              </v:shape>
            </w:pict>
          </mc:Fallback>
        </mc:AlternateContent>
      </w:r>
    </w:p>
    <w:p w14:paraId="20F6D33A">
      <w:pPr>
        <w:jc w:val="center"/>
        <w:rPr>
          <w:color w:val="000000" w:themeColor="text1"/>
          <w14:textFill>
            <w14:solidFill>
              <w14:schemeClr w14:val="tx1"/>
            </w14:solidFill>
          </w14:textFill>
        </w:rPr>
      </w:pPr>
    </w:p>
    <w:p w14:paraId="70CE6A41">
      <w:pPr>
        <w:jc w:val="center"/>
        <w:rPr>
          <w:color w:val="000000" w:themeColor="text1"/>
          <w14:textFill>
            <w14:solidFill>
              <w14:schemeClr w14:val="tx1"/>
            </w14:solidFill>
          </w14:textFill>
        </w:rPr>
      </w:pPr>
    </w:p>
    <w:p w14:paraId="19E17954">
      <w:pPr>
        <w:jc w:val="center"/>
        <w:rPr>
          <w:color w:val="000000" w:themeColor="text1"/>
          <w14:textFill>
            <w14:solidFill>
              <w14:schemeClr w14:val="tx1"/>
            </w14:solidFill>
          </w14:textFill>
        </w:rPr>
      </w:pPr>
    </w:p>
    <w:p w14:paraId="640F2AEC">
      <w:pPr>
        <w:jc w:val="center"/>
        <w:rPr>
          <w:color w:val="000000" w:themeColor="text1"/>
          <w14:textFill>
            <w14:solidFill>
              <w14:schemeClr w14:val="tx1"/>
            </w14:solidFill>
          </w14:textFill>
        </w:rPr>
      </w:pPr>
    </w:p>
    <w:p w14:paraId="4B82ECB8">
      <w:pPr>
        <w:jc w:val="center"/>
        <w:rPr>
          <w:color w:val="000000" w:themeColor="text1"/>
          <w14:textFill>
            <w14:solidFill>
              <w14:schemeClr w14:val="tx1"/>
            </w14:solidFill>
          </w14:textFill>
        </w:rPr>
      </w:pPr>
    </w:p>
    <w:p w14:paraId="1D1750BB">
      <w:pPr>
        <w:jc w:val="center"/>
        <w:rPr>
          <w:color w:val="000000" w:themeColor="text1"/>
          <w14:textFill>
            <w14:solidFill>
              <w14:schemeClr w14:val="tx1"/>
            </w14:solidFill>
          </w14:textFill>
        </w:rPr>
      </w:pPr>
    </w:p>
    <w:p w14:paraId="4C3DB290">
      <w:pPr>
        <w:jc w:val="center"/>
        <w:rPr>
          <w:color w:val="000000" w:themeColor="text1"/>
          <w14:textFill>
            <w14:solidFill>
              <w14:schemeClr w14:val="tx1"/>
            </w14:solidFill>
          </w14:textFill>
        </w:rPr>
      </w:pPr>
    </w:p>
    <w:p w14:paraId="0A697912">
      <w:pPr>
        <w:jc w:val="center"/>
        <w:rPr>
          <w:color w:val="000000" w:themeColor="text1"/>
          <w14:textFill>
            <w14:solidFill>
              <w14:schemeClr w14:val="tx1"/>
            </w14:solidFill>
          </w14:textFill>
        </w:rPr>
      </w:pPr>
    </w:p>
    <w:p w14:paraId="3F452C87">
      <w:pPr>
        <w:jc w:val="center"/>
        <w:rPr>
          <w:color w:val="000000" w:themeColor="text1"/>
          <w14:textFill>
            <w14:solidFill>
              <w14:schemeClr w14:val="tx1"/>
            </w14:solidFill>
          </w14:textFill>
        </w:rPr>
      </w:pPr>
    </w:p>
    <w:p w14:paraId="36A9BC60">
      <w:pPr>
        <w:jc w:val="center"/>
        <w:rPr>
          <w:color w:val="000000" w:themeColor="text1"/>
          <w14:textFill>
            <w14:solidFill>
              <w14:schemeClr w14:val="tx1"/>
            </w14:solidFill>
          </w14:textFill>
        </w:rPr>
      </w:pPr>
    </w:p>
    <w:p w14:paraId="4242D8B0">
      <w:pPr>
        <w:jc w:val="center"/>
        <w:rPr>
          <w:color w:val="000000" w:themeColor="text1"/>
          <w14:textFill>
            <w14:solidFill>
              <w14:schemeClr w14:val="tx1"/>
            </w14:solidFill>
          </w14:textFill>
        </w:rPr>
      </w:pPr>
    </w:p>
    <w:p w14:paraId="39379914">
      <w:pPr>
        <w:jc w:val="center"/>
        <w:rPr>
          <w:color w:val="000000" w:themeColor="text1"/>
          <w14:textFill>
            <w14:solidFill>
              <w14:schemeClr w14:val="tx1"/>
            </w14:solidFill>
          </w14:textFill>
        </w:rPr>
      </w:pPr>
    </w:p>
    <w:p w14:paraId="4002BCBC">
      <w:pPr>
        <w:jc w:val="center"/>
        <w:rPr>
          <w:color w:val="000000" w:themeColor="text1"/>
          <w14:textFill>
            <w14:solidFill>
              <w14:schemeClr w14:val="tx1"/>
            </w14:solidFill>
          </w14:textFill>
        </w:rPr>
      </w:pPr>
    </w:p>
    <w:p w14:paraId="3C6FC316">
      <w:pPr>
        <w:jc w:val="center"/>
        <w:rPr>
          <w:color w:val="000000" w:themeColor="text1"/>
          <w14:textFill>
            <w14:solidFill>
              <w14:schemeClr w14:val="tx1"/>
            </w14:solidFill>
          </w14:textFill>
        </w:rPr>
      </w:pPr>
    </w:p>
    <w:p w14:paraId="381528E5">
      <w:pPr>
        <w:jc w:val="center"/>
        <w:rPr>
          <w:color w:val="000000" w:themeColor="text1"/>
          <w14:textFill>
            <w14:solidFill>
              <w14:schemeClr w14:val="tx1"/>
            </w14:solidFill>
          </w14:textFill>
        </w:rPr>
      </w:pPr>
    </w:p>
    <w:p w14:paraId="25992CBD">
      <w:pPr>
        <w:jc w:val="center"/>
        <w:rPr>
          <w:color w:val="000000" w:themeColor="text1"/>
          <w14:textFill>
            <w14:solidFill>
              <w14:schemeClr w14:val="tx1"/>
            </w14:solidFill>
          </w14:textFill>
        </w:rPr>
      </w:pPr>
    </w:p>
    <w:p w14:paraId="7DC51F20">
      <w:pPr>
        <w:jc w:val="center"/>
        <w:rPr>
          <w:color w:val="000000" w:themeColor="text1"/>
          <w14:textFill>
            <w14:solidFill>
              <w14:schemeClr w14:val="tx1"/>
            </w14:solidFill>
          </w14:textFill>
        </w:rPr>
      </w:pPr>
    </w:p>
    <w:p w14:paraId="1023B3D5">
      <w:pPr>
        <w:jc w:val="center"/>
        <w:rPr>
          <w:color w:val="000000" w:themeColor="text1"/>
          <w14:textFill>
            <w14:solidFill>
              <w14:schemeClr w14:val="tx1"/>
            </w14:solidFill>
          </w14:textFill>
        </w:rPr>
      </w:pPr>
    </w:p>
    <w:p w14:paraId="1059135E">
      <w:pPr>
        <w:jc w:val="center"/>
        <w:rPr>
          <w:color w:val="000000" w:themeColor="text1"/>
          <w14:textFill>
            <w14:solidFill>
              <w14:schemeClr w14:val="tx1"/>
            </w14:solidFill>
          </w14:textFill>
        </w:rPr>
      </w:pPr>
    </w:p>
    <w:p w14:paraId="09F6627B">
      <w:pPr>
        <w:jc w:val="center"/>
        <w:rPr>
          <w:color w:val="000000" w:themeColor="text1"/>
          <w14:textFill>
            <w14:solidFill>
              <w14:schemeClr w14:val="tx1"/>
            </w14:solidFill>
          </w14:textFill>
        </w:rPr>
      </w:pPr>
    </w:p>
    <w:p w14:paraId="3B874343">
      <w:pPr>
        <w:jc w:val="center"/>
        <w:rPr>
          <w:color w:val="000000" w:themeColor="text1"/>
          <w14:textFill>
            <w14:solidFill>
              <w14:schemeClr w14:val="tx1"/>
            </w14:solidFill>
          </w14:textFill>
        </w:rPr>
      </w:pPr>
    </w:p>
    <w:p w14:paraId="2D272F89">
      <w:pPr>
        <w:jc w:val="center"/>
        <w:rPr>
          <w:color w:val="000000" w:themeColor="text1"/>
          <w14:textFill>
            <w14:solidFill>
              <w14:schemeClr w14:val="tx1"/>
            </w14:solidFill>
          </w14:textFill>
        </w:rPr>
      </w:pPr>
    </w:p>
    <w:p w14:paraId="404C46A2">
      <w:pPr>
        <w:jc w:val="center"/>
        <w:rPr>
          <w:color w:val="000000" w:themeColor="text1"/>
          <w14:textFill>
            <w14:solidFill>
              <w14:schemeClr w14:val="tx1"/>
            </w14:solidFill>
          </w14:textFill>
        </w:rPr>
      </w:pPr>
    </w:p>
    <w:p w14:paraId="7A09F85F">
      <w:pPr>
        <w:spacing w:line="480" w:lineRule="exact"/>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图4</w:t>
      </w:r>
      <w:r>
        <w:rPr>
          <w:b/>
          <w:color w:val="000000" w:themeColor="text1"/>
          <w:sz w:val="24"/>
          <w:szCs w:val="24"/>
          <w14:textFill>
            <w14:solidFill>
              <w14:schemeClr w14:val="tx1"/>
            </w14:solidFill>
          </w14:textFill>
        </w:rPr>
        <w:t xml:space="preserve">.1-2    </w:t>
      </w:r>
      <w:r>
        <w:rPr>
          <w:rFonts w:hint="eastAsia"/>
          <w:b/>
          <w:color w:val="000000" w:themeColor="text1"/>
          <w:sz w:val="24"/>
          <w:szCs w:val="24"/>
          <w14:textFill>
            <w14:solidFill>
              <w14:schemeClr w14:val="tx1"/>
            </w14:solidFill>
          </w14:textFill>
        </w:rPr>
        <w:t>区域地质构造图</w:t>
      </w:r>
    </w:p>
    <w:p w14:paraId="1A8A88DE">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岩浆岩</w:t>
      </w:r>
    </w:p>
    <w:p w14:paraId="53DD9FA3">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矿区大面积被第四系覆盖，地表未见岩浆岩出露。深部钻孔中见有花岗闪长岩，呈细脉状。</w:t>
      </w:r>
    </w:p>
    <w:p w14:paraId="46675BDC">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花岗闪长岩：岩石呈灰白色，中细粒花岗结构，块状构造，主要矿物成分：斜长石呈灰白色，半自形板状，粒径0.2～5.0mm，含量约50%；钾长石，它形粒状，粒径0.2～5.0mm，含量约25%；石英呈烟灰色，它形粒状，粒径0.2～5.00mm，含量约25%；角闪石呈黑色，半自形粒状，粒径0.2～3.0mm，含量约5%；黑云母呈黑色片状，粒径0.2～3.0mm，含量约5%。</w:t>
      </w:r>
    </w:p>
    <w:p w14:paraId="65DAD7B3">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4.1.3.</w:t>
      </w:r>
      <w:r>
        <w:rPr>
          <w:rFonts w:ascii="Times New Roman" w:hAnsi="Times New Roman"/>
          <w:bCs w:val="0"/>
          <w:color w:val="000000" w:themeColor="text1"/>
          <w:kern w:val="2"/>
          <w:szCs w:val="24"/>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水文地质</w:t>
      </w:r>
    </w:p>
    <w:p w14:paraId="6B12DA58">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水文地质条件概况</w:t>
      </w:r>
    </w:p>
    <w:p w14:paraId="12AE4E29">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（1）地形地貌</w:t>
      </w:r>
    </w:p>
    <w:p w14:paraId="22E9F34C">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矿区属低山丘陵地貌，海拔在1234.57～1254.20m之间，相对高差2～5m，最大高差17m，总体地形北高南低，地势起伏不大，地形切割不强烈。矿区内植被不发育，大部分地带被第四系覆盖，基岩零星出露。</w:t>
      </w:r>
    </w:p>
    <w:p w14:paraId="46534CCA">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（2）气象条件</w:t>
      </w:r>
    </w:p>
    <w:p w14:paraId="440BF667">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属典型的大陆性荒漠干旱气候，气候干燥，多风，昼夜温差变化大，降雨量小。夏季酷热，冬季严寒，根据哈密气象资料，区域多年平均气温10.1℃，每年7月份至8月份最热，平均气温27.3℃，极端最高气温43.2℃；12月份至1月份最冷，平均气温-11.3℃，极端最低气温-28.9℃。每年7-8月为雨季，年均降水量为50mm，降雨量极小，均以暴雨形式出现，多汇集短暂洪流，水过即干涸；年蒸发2754.1mm，蒸发量大，空气十分干燥；经常刮风，而且具有周期性。风力一般4～5级，最大可达8～10级，年平均风速4.0～6.5m/s，最大风速25～34m/s。</w:t>
      </w:r>
    </w:p>
    <w:p w14:paraId="1A209129">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（3）水文条件</w:t>
      </w:r>
    </w:p>
    <w:p w14:paraId="66EFC12C">
      <w:pPr>
        <w:spacing w:line="480" w:lineRule="exact"/>
        <w:ind w:firstLine="480" w:firstLineChars="200"/>
        <w:rPr>
          <w:rFonts w:hint="eastAsia"/>
          <w:color w:val="000000" w:themeColor="text1"/>
          <w:sz w:val="24"/>
          <w14:textFill>
            <w14:solidFill>
              <w14:schemeClr w14:val="tx1"/>
            </w14:solidFill>
          </w14:textFill>
        </w:rPr>
      </w:pPr>
      <w:bookmarkStart w:id="354" w:name="_Hlk111833339"/>
      <w:r>
        <w:rPr>
          <w:rFonts w:hint="eastAsia"/>
          <w:color w:val="000000" w:themeColor="text1"/>
          <w:sz w:val="24"/>
          <w14:textFill>
            <w14:solidFill>
              <w14:schemeClr w14:val="tx1"/>
            </w14:solidFill>
          </w14:textFill>
        </w:rPr>
        <w:t>矿区及附近地区地表水体不发育，无常年性流水，仅在6～8月份雨季，暴雨时期在地表形成暂时性水流在低洼地汇集蒸发</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矿区内沟谷不发育。</w:t>
      </w:r>
    </w:p>
    <w:p w14:paraId="00E3D2B6">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（4）矿区最低侵蚀基准面</w:t>
      </w:r>
    </w:p>
    <w:p w14:paraId="177EF38E">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矿区附近最低点位于矿区西南部，标高1234m，为矿区最低排泄面标高。</w:t>
      </w:r>
    </w:p>
    <w:p w14:paraId="0A8DDC4E">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目前矿山已开采至1030m标高（四中段），地下水出露标高1222.32m，为矿区最低侵蚀基准面标高。矿区范围内矿体最低开采标高为900m（采矿证最低限采标高），位于地下水位标高以下，故矿山在开采过程中的水文地质问题以坑道采坑充水为主，补给来源主要为地下水的侧向补给，其次为少量大气降水缓慢渗入。</w:t>
      </w:r>
    </w:p>
    <w:bookmarkEnd w:id="354"/>
    <w:p w14:paraId="77D6AF72">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矿区含（隔）水层划分</w:t>
      </w:r>
    </w:p>
    <w:p w14:paraId="72A9463A">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矿区内大面积被第四系全新统冲洪积层（Q</w:t>
      </w:r>
      <w:r>
        <w:rPr>
          <w:rFonts w:hint="eastAsia"/>
          <w:color w:val="000000" w:themeColor="text1"/>
          <w:sz w:val="24"/>
          <w:vertAlign w:val="subscript"/>
          <w14:textFill>
            <w14:solidFill>
              <w14:schemeClr w14:val="tx1"/>
            </w14:solidFill>
          </w14:textFill>
        </w:rPr>
        <w:t>4</w:t>
      </w:r>
      <w:r>
        <w:rPr>
          <w:rFonts w:hint="eastAsia"/>
          <w:color w:val="000000" w:themeColor="text1"/>
          <w:sz w:val="24"/>
          <w:vertAlign w:val="superscript"/>
          <w14:textFill>
            <w14:solidFill>
              <w14:schemeClr w14:val="tx1"/>
            </w14:solidFill>
          </w14:textFill>
        </w:rPr>
        <w:t>aal</w:t>
      </w:r>
      <w:r>
        <w:rPr>
          <w:rFonts w:hint="eastAsia"/>
          <w:color w:val="000000" w:themeColor="text1"/>
          <w:sz w:val="24"/>
          <w14:textFill>
            <w14:solidFill>
              <w14:schemeClr w14:val="tx1"/>
            </w14:solidFill>
          </w14:textFill>
        </w:rPr>
        <w:t>）覆盖，出露的地层为下寒武统双鹰山组(∈</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S)。根据地下水赋存条件和水力特征，将矿区内地下水划分为两个含水层组：</w:t>
      </w:r>
    </w:p>
    <w:p w14:paraId="4E4EFB76">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第四系松散岩类透水不含水层（Ⅰ）：在矿区大面积分布，为第四系全新统冲洪积层（Q</w:t>
      </w:r>
      <w:r>
        <w:rPr>
          <w:rFonts w:hint="eastAsia"/>
          <w:color w:val="000000" w:themeColor="text1"/>
          <w:sz w:val="24"/>
          <w:vertAlign w:val="subscript"/>
          <w14:textFill>
            <w14:solidFill>
              <w14:schemeClr w14:val="tx1"/>
            </w14:solidFill>
          </w14:textFill>
        </w:rPr>
        <w:t>h</w:t>
      </w:r>
      <w:r>
        <w:rPr>
          <w:rFonts w:hint="eastAsia"/>
          <w:color w:val="000000" w:themeColor="text1"/>
          <w:sz w:val="24"/>
          <w:vertAlign w:val="superscript"/>
          <w14:textFill>
            <w14:solidFill>
              <w14:schemeClr w14:val="tx1"/>
            </w14:solidFill>
          </w14:textFill>
        </w:rPr>
        <w:t>apl</w:t>
      </w:r>
      <w:r>
        <w:rPr>
          <w:rFonts w:hint="eastAsia"/>
          <w:color w:val="000000" w:themeColor="text1"/>
          <w:sz w:val="24"/>
          <w14:textFill>
            <w14:solidFill>
              <w14:schemeClr w14:val="tx1"/>
            </w14:solidFill>
          </w14:textFill>
        </w:rPr>
        <w:t>），主要由砾石、砂、砂土为主，局部地带可见有淤泥沉积，砂砾分选性较好，磨圆度由次圆状到圆状，砾径大小悬殊，砾径1～50cm。钻孔控制厚度0.5～14.0m左右。据钻孔简易水文观测结果，该层基本在地下水位以上，说明该层不含水，但透水性较好，为透水不含水层。</w:t>
      </w:r>
    </w:p>
    <w:p w14:paraId="38896A8B">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变质岩类裂隙弱富水弱含水层（Ⅱ）：矿区内零星出露，出露地层为下寒武统双鹰山组第二岩性段</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S</w:t>
      </w:r>
      <w:r>
        <w:rPr>
          <w:rFonts w:hint="eastAsia"/>
          <w:color w:val="000000" w:themeColor="text1"/>
          <w:sz w:val="24"/>
          <w:vertAlign w:val="superscript"/>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地表出露岩性以含碳硅质板岩和大理岩为主，深部钻孔主要以黑云母长英质角岩、黑云母长英质片岩和绿泥石石英片岩为主，岩层呈层状、片状，受区域构造的影响，节理弱发育，分布不均匀，开启、连通程度中至一般，有利于大气降水的汇集下渗，易形成一定数量的基岩裂隙网状水和脉状水，通过下渗补给地下水，因矿床为沉积变质型，岩石节理、裂隙弱发育，所以层状、片状岩石透水性弱。根据本次实际统计四中段（1030m）坑内水平钻孔平均涌水量为0.22L/s，总体判断层状、片状岩层整体富水性较弱，为弱富水含水层。主要补给来源为地下水沿裂隙的侧向补给，其次为少量大气降水沿裂隙的下渗。</w:t>
      </w:r>
    </w:p>
    <w:p w14:paraId="460F2998">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地下水的补给、径流、排泄</w:t>
      </w:r>
    </w:p>
    <w:p w14:paraId="69F76FEA">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矿区位于塔里木盆地南缘的山前低山丘陵地带，向北为天山山系，属于中高山区，区域水文单元为补给区，向南为昆仑山山系，区域水文单元为补给区，地下径流由</w:t>
      </w:r>
      <w:r>
        <w:rPr>
          <w:rFonts w:hint="eastAsia"/>
          <w:color w:val="000000" w:themeColor="text1"/>
          <w:sz w:val="24"/>
          <w:lang w:eastAsia="zh-CN"/>
          <w14:textFill>
            <w14:solidFill>
              <w14:schemeClr w14:val="tx1"/>
            </w14:solidFill>
          </w14:textFill>
        </w:rPr>
        <w:t>东</w:t>
      </w:r>
      <w:r>
        <w:rPr>
          <w:rFonts w:hint="eastAsia"/>
          <w:color w:val="000000" w:themeColor="text1"/>
          <w:sz w:val="24"/>
          <w14:textFill>
            <w14:solidFill>
              <w14:schemeClr w14:val="tx1"/>
            </w14:solidFill>
          </w14:textFill>
        </w:rPr>
        <w:t>向</w:t>
      </w:r>
      <w:r>
        <w:rPr>
          <w:rFonts w:hint="eastAsia"/>
          <w:color w:val="000000" w:themeColor="text1"/>
          <w:sz w:val="24"/>
          <w:lang w:eastAsia="zh-CN"/>
          <w14:textFill>
            <w14:solidFill>
              <w14:schemeClr w14:val="tx1"/>
            </w14:solidFill>
          </w14:textFill>
        </w:rPr>
        <w:t>西</w:t>
      </w:r>
      <w:r>
        <w:rPr>
          <w:rFonts w:hint="eastAsia"/>
          <w:color w:val="000000" w:themeColor="text1"/>
          <w:sz w:val="24"/>
          <w14:textFill>
            <w14:solidFill>
              <w14:schemeClr w14:val="tx1"/>
            </w14:solidFill>
          </w14:textFill>
        </w:rPr>
        <w:t>，矿区所处区域为区域水文单元径流区。</w:t>
      </w:r>
    </w:p>
    <w:p w14:paraId="2CC55604">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（1）地下水的补给条件</w:t>
      </w:r>
    </w:p>
    <w:p w14:paraId="54AF1A5B">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内地下水主要接受含水岩层沿裂隙的侧向补给，也是区内最主要的矿床充水因素，次为大气降水和冰雪消融水。大气降水和冰雪融水通过基岩裂隙渗漏，或经松散岩层的渗漏直接或间接入渗补给基岩地下水，但补给量微弱，地下水的侧向补给主要是沿总体地下径流方向补给相邻含水层。因矿区内构造弱发育，构造所产生的破碎带及裂隙带能构成导水通道，含水岩层沿裂隙下渗补给地下水。因矿床为沉积变质型矿床，裂隙弱发育，矿山自开采以来也没有发生突发涌水事件，由此判断含水岩层对地下水有一定的补给，但总体补给较弱。</w:t>
      </w:r>
    </w:p>
    <w:p w14:paraId="3F779413">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综上所述，目前矿区地下水主要补给来源还是为地下水的侧向补给，大气降水、地表水沿裂隙下渗补给次之。</w:t>
      </w:r>
    </w:p>
    <w:p w14:paraId="394A9174">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（2）地下水的径流条件</w:t>
      </w:r>
    </w:p>
    <w:p w14:paraId="404ABC1F">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下水的径流是地下水沿含水层介质通道由高向低运移的过程，这个过程与地下水的水力坡度、岩石孔隙通道的连续性和规模密切相关；矿区为低山丘陵地带，地势北高南低，受构造影响矿区内裂隙弱发育，少量裂隙经切割穿插为地下水流通开拓了通道，但开通量有限，运移较为缓慢，地下水的径流方向为由</w:t>
      </w:r>
      <w:r>
        <w:rPr>
          <w:rFonts w:hint="eastAsia"/>
          <w:color w:val="000000" w:themeColor="text1"/>
          <w:sz w:val="24"/>
          <w:lang w:eastAsia="zh-CN"/>
          <w14:textFill>
            <w14:solidFill>
              <w14:schemeClr w14:val="tx1"/>
            </w14:solidFill>
          </w14:textFill>
        </w:rPr>
        <w:t>东</w:t>
      </w:r>
      <w:r>
        <w:rPr>
          <w:rFonts w:hint="eastAsia"/>
          <w:color w:val="000000" w:themeColor="text1"/>
          <w:sz w:val="24"/>
          <w14:textFill>
            <w14:solidFill>
              <w14:schemeClr w14:val="tx1"/>
            </w14:solidFill>
          </w14:textFill>
        </w:rPr>
        <w:t>向</w:t>
      </w:r>
      <w:r>
        <w:rPr>
          <w:rFonts w:hint="eastAsia"/>
          <w:color w:val="000000" w:themeColor="text1"/>
          <w:sz w:val="24"/>
          <w:lang w:eastAsia="zh-CN"/>
          <w14:textFill>
            <w14:solidFill>
              <w14:schemeClr w14:val="tx1"/>
            </w14:solidFill>
          </w14:textFill>
        </w:rPr>
        <w:t>西</w:t>
      </w:r>
      <w:r>
        <w:rPr>
          <w:rFonts w:hint="eastAsia"/>
          <w:color w:val="000000" w:themeColor="text1"/>
          <w:sz w:val="24"/>
          <w14:textFill>
            <w14:solidFill>
              <w14:schemeClr w14:val="tx1"/>
            </w14:solidFill>
          </w14:textFill>
        </w:rPr>
        <w:t>径流，具有径流时间长、缓慢、相对稳定的特点。</w:t>
      </w:r>
    </w:p>
    <w:p w14:paraId="3164BA5A">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（3）地下水的排泄</w:t>
      </w:r>
    </w:p>
    <w:p w14:paraId="6ECDCF65">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区域地下水径流方向是由东向西径流，矿区地下水总体运动方向与区域地下水运动方向一致，以侧向径流为主，接受由北向南补给，由东向西径流出区。</w:t>
      </w:r>
    </w:p>
    <w:p w14:paraId="4FBFB62A">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地下水的补给、径流、排泄条件与开采后相比未发生变化。后期开采过程中应注意观察节理裂隙的分布、松动、开裂及巷道出水情况，</w:t>
      </w:r>
      <w:r>
        <w:rPr>
          <w:rFonts w:hint="eastAsia"/>
          <w:color w:val="000000" w:themeColor="text1"/>
          <w:sz w:val="24"/>
          <w:lang w:val="en-US" w:eastAsia="zh-CN"/>
          <w14:textFill>
            <w14:solidFill>
              <w14:schemeClr w14:val="tx1"/>
            </w14:solidFill>
          </w14:textFill>
        </w:rPr>
        <w:t>防止</w:t>
      </w:r>
      <w:r>
        <w:rPr>
          <w:rFonts w:hint="eastAsia"/>
          <w:color w:val="000000" w:themeColor="text1"/>
          <w:sz w:val="24"/>
          <w14:textFill>
            <w14:solidFill>
              <w14:schemeClr w14:val="tx1"/>
            </w14:solidFill>
          </w14:textFill>
        </w:rPr>
        <w:t>巷道突发涌水事故。</w:t>
      </w:r>
    </w:p>
    <w:p w14:paraId="7CC3B233">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水力联系</w:t>
      </w:r>
    </w:p>
    <w:p w14:paraId="054DAE51">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（1）大气降水与地下水的水力联系</w:t>
      </w:r>
    </w:p>
    <w:p w14:paraId="59CFF31C">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内只是在雨季、暴雨形成的积水构成短暂性地表流水，水过即干涸。在顺地形坡度向低凹处汇集运移时，主要汇集于矿区西侧低洼处，由东向西径流，大气降水可通过地表风化、构造裂隙、岩石孔隙等缓慢渗透补给地下，但由于暂时性雨水降落地表水通过时，时间短、速度快，对地下水的补给主要表现在瞬间补给，不利于地下水的补给。因此，地下水与大气降水间存在一定的水力联系，但补给量微弱。</w:t>
      </w:r>
    </w:p>
    <w:p w14:paraId="0354A56C">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（2）地表水与地下水的水力联系</w:t>
      </w:r>
    </w:p>
    <w:p w14:paraId="43C5AD8D">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矿区范围内无常年性河流、水沟，亦无水库，仅分布季节性</w:t>
      </w:r>
      <w:r>
        <w:rPr>
          <w:rFonts w:hint="eastAsia"/>
          <w:color w:val="000000" w:themeColor="text1"/>
          <w:sz w:val="24"/>
          <w:lang w:val="en-US" w:eastAsia="zh-CN"/>
          <w14:textFill>
            <w14:solidFill>
              <w14:schemeClr w14:val="tx1"/>
            </w14:solidFill>
          </w14:textFill>
        </w:rPr>
        <w:t>冲沟</w:t>
      </w:r>
      <w:r>
        <w:rPr>
          <w:rFonts w:hint="eastAsia"/>
          <w:color w:val="000000" w:themeColor="text1"/>
          <w:sz w:val="24"/>
          <w14:textFill>
            <w14:solidFill>
              <w14:schemeClr w14:val="tx1"/>
            </w14:solidFill>
          </w14:textFill>
        </w:rPr>
        <w:t>，区内季节性水沟多为干沟，只是在积雪融水季节、雨季形成的间歇性地表流径流。在顺地形坡度向低凹处汇集运移时，可通过地表风化、构造裂隙、岩石孔隙等缓慢渗透补给地下，但由于暂时性地表水通过时，时间短，速度快，对地下水的补给主要表现在瞬间补给，不利于地下水的补给。因此，矿区内地下水与地表水间存在一定的水力联系，但补给量微弱。</w:t>
      </w:r>
    </w:p>
    <w:p w14:paraId="5A9FF39C">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（3）含水层之间的水力联系</w:t>
      </w:r>
    </w:p>
    <w:p w14:paraId="77FEBEEB">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含水层之间的联系主要以深部岩石节理、裂隙发育程度所影响。矿区含水层之间存在着节理、裂隙发育的地段且相互连通，从而引起地下水沿总体地下径流方向补给相邻含水层，基本能形成相互连通的统一的地下水系统，矿区内裂隙多被充填，含水层之间的主要是补给沿未被充填的裂隙按地下径流方向补给相邻含水层，补给速度慢，矿区内地下水系统相对稳定，含水层之间的水力联系较为密切。</w:t>
      </w:r>
    </w:p>
    <w:p w14:paraId="08842DA9">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矿床充水因素分析</w:t>
      </w:r>
    </w:p>
    <w:p w14:paraId="0C8A5D39">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（1）自然因素</w:t>
      </w:r>
    </w:p>
    <w:p w14:paraId="093CA1F2">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影响矿床充水的因素有构造裂隙发育程度、大气降水、地形、岩石吸水性质、基岩出露程度、岩石透水性等。矿区内大面积被第四系覆盖，基岩出露较少，岩石节理裂隙弱发育，大气降水量少，岩石富水性弱，透水性弱，沿大气降水下渗补给弱。矿区区域水文单元地处补给径流区，地下水的主要补给来源为相邻含水层的侧向补给，形成基岩裂隙水，地下基岩裂隙水为采矿充水的主要水源。</w:t>
      </w:r>
    </w:p>
    <w:p w14:paraId="35E411C8">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（2）人为因素</w:t>
      </w:r>
    </w:p>
    <w:p w14:paraId="64BADA61">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采矿活动将产生大量的采矿裂隙，这些人为裂隙也会沟通上覆含水层与含矿地层的水力联系，成为地下水活动的良好通道。也会造成上层坑道采坑涌水沿裂隙向深部补给下层坑道采坑。</w:t>
      </w:r>
    </w:p>
    <w:p w14:paraId="72E21FF2">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（3）充水方式</w:t>
      </w:r>
    </w:p>
    <w:p w14:paraId="59A27CE8">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内大面积被第四系覆盖，基岩出露较少，接受大气降水和地表水流水的补给弱，主要补给来源为地下弱含水层随着开采的释放，充水通道主要以岩石原生和采矿节理、裂隙为主，充水规模一般不大，由于矿区内裂隙为充填式裂隙，含水岩层富水性弱，推测矿坑涌水量较小，根据坑道内实际观测，目前矿坑内充水方式主要以滴水、淋水为主，随着开采深度的增加涌水量增大。由于人为采矿因素影响，裂隙易松动开裂，形成导水通道，不排除采坑局部有突发涌水的可能性。</w:t>
      </w:r>
    </w:p>
    <w:p w14:paraId="6F32D985">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地下水变化情况</w:t>
      </w:r>
    </w:p>
    <w:p w14:paraId="34A67239">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（1）地下水位标高的变化</w:t>
      </w:r>
    </w:p>
    <w:p w14:paraId="377B57B2">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根据观测数据得知，地下水水位标高在1213.71～1227.43m之间，水位埋深在10.08～24.80m，平均水位标高1222.32m。</w:t>
      </w:r>
    </w:p>
    <w:p w14:paraId="5790AEAF">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（2）地下水化学类型</w:t>
      </w:r>
    </w:p>
    <w:p w14:paraId="3ACB1AE0">
      <w:pPr>
        <w:spacing w:line="480" w:lineRule="exact"/>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原生产地质报告中矿区内地下水化学类型为HCO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·SO</w:t>
      </w:r>
      <w:r>
        <w:rPr>
          <w:rFonts w:hint="eastAsia"/>
          <w:color w:val="000000" w:themeColor="text1"/>
          <w:sz w:val="24"/>
          <w:vertAlign w:val="subscript"/>
          <w14:textFill>
            <w14:solidFill>
              <w14:schemeClr w14:val="tx1"/>
            </w14:solidFill>
          </w14:textFill>
        </w:rPr>
        <w:t>4</w:t>
      </w:r>
      <w:r>
        <w:rPr>
          <w:rFonts w:hint="eastAsia"/>
          <w:color w:val="000000" w:themeColor="text1"/>
          <w:sz w:val="24"/>
          <w14:textFill>
            <w14:solidFill>
              <w14:schemeClr w14:val="tx1"/>
            </w14:solidFill>
          </w14:textFill>
        </w:rPr>
        <w:t>-Ca·Na型水，随着矿山的开采，巷道中的地下水可能产生微弱的污染，本次核实期间未采集地下水，水化学类型沿用原生产地质报告地下水类型</w:t>
      </w:r>
      <w:r>
        <w:rPr>
          <w:rFonts w:hint="eastAsia"/>
          <w:color w:val="000000" w:themeColor="text1"/>
          <w:sz w:val="24"/>
          <w:lang w:eastAsia="zh-CN"/>
          <w14:textFill>
            <w14:solidFill>
              <w14:schemeClr w14:val="tx1"/>
            </w14:solidFill>
          </w14:textFill>
        </w:rPr>
        <w:t>。</w:t>
      </w:r>
    </w:p>
    <w:p w14:paraId="5339C438">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M1033铁矿水文地质图见图4.1-3，水文地质剖面图见图4.1-4</w:t>
      </w:r>
      <w:r>
        <w:rPr>
          <w:rFonts w:hint="eastAsia"/>
          <w:color w:val="000000" w:themeColor="text1"/>
          <w:sz w:val="24"/>
          <w14:textFill>
            <w14:solidFill>
              <w14:schemeClr w14:val="tx1"/>
            </w14:solidFill>
          </w14:textFill>
        </w:rPr>
        <w:t>。</w:t>
      </w:r>
    </w:p>
    <w:p w14:paraId="502C0604">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4.1.3.</w:t>
      </w:r>
      <w:r>
        <w:rPr>
          <w:rFonts w:ascii="Times New Roman" w:hAnsi="Times New Roman"/>
          <w:bCs w:val="0"/>
          <w:color w:val="000000" w:themeColor="text1"/>
          <w:kern w:val="2"/>
          <w:szCs w:val="24"/>
          <w14:textFill>
            <w14:solidFill>
              <w14:schemeClr w14:val="tx1"/>
            </w14:solidFill>
          </w14:textFill>
        </w:rPr>
        <w:t>4</w:t>
      </w:r>
      <w:r>
        <w:rPr>
          <w:rFonts w:hint="eastAsia" w:ascii="Times New Roman" w:hAnsi="Times New Roman"/>
          <w:bCs w:val="0"/>
          <w:color w:val="000000" w:themeColor="text1"/>
          <w:kern w:val="2"/>
          <w:szCs w:val="24"/>
          <w14:textFill>
            <w14:solidFill>
              <w14:schemeClr w14:val="tx1"/>
            </w14:solidFill>
          </w14:textFill>
        </w:rPr>
        <w:t>工程地质</w:t>
      </w:r>
    </w:p>
    <w:p w14:paraId="042DBC56">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体主要产于绿泥石石英片岩和绿泥石片岩中，矿体及围岩节理发育中等，地表风化节理多开裂，坑道内观测的节理多为原生填充式节理，填充物多为石英及碳酸盐矿物等，通过本次观测，巷道内节理发育中等，每米发育有3～6条，节理平均发育密度5条/</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，主要分布有近东西向节理，其次为北东向、北西向，部分发育较密，呈“X”状切割岩石及矿体，近东西向分布的节理基本与矿体走向一致，为区内的主节理。</w:t>
      </w:r>
    </w:p>
    <w:p w14:paraId="22C5B361">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山为开采矿山，目前为停产状态，1187m中段巷道坍塌严重已废弃，其他巷道内未见有坍塌、冒顶等工程地质现象，现状围岩稳定性较好，岩石质量中等，地下巷道主要的工程地质问题有冒顶、掉块等现象，主要分布在裂隙发育地带，目前主要防治措施为顶部挂网喷浆，两壁钢架支护。总体评价矿山现状工程地质条件一般。</w:t>
      </w:r>
    </w:p>
    <w:p w14:paraId="0E6C6FEF">
      <w:pPr>
        <w:spacing w:line="480" w:lineRule="exact"/>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根据《哈密市西成矿业有限责任公司M1033铁矿选矿厂改建工程岩土工程详细勘察》，各地层渗透系数经验值详见下表。</w:t>
      </w:r>
    </w:p>
    <w:p w14:paraId="331AAC37">
      <w:pPr>
        <w:spacing w:line="480" w:lineRule="exact"/>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表4.1-1    渗透系数统计表</w:t>
      </w:r>
    </w:p>
    <w:tbl>
      <w:tblPr>
        <w:tblStyle w:val="8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4DDC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00" w:type="pct"/>
            <w:tcBorders>
              <w:tl2br w:val="nil"/>
              <w:tr2bl w:val="nil"/>
            </w:tcBorders>
            <w:vAlign w:val="center"/>
          </w:tcPr>
          <w:p w14:paraId="28600C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层号及地层</w:t>
            </w:r>
          </w:p>
        </w:tc>
        <w:tc>
          <w:tcPr>
            <w:tcW w:w="2500" w:type="pct"/>
            <w:tcBorders>
              <w:tl2br w:val="nil"/>
              <w:tr2bl w:val="nil"/>
            </w:tcBorders>
            <w:vAlign w:val="center"/>
          </w:tcPr>
          <w:p w14:paraId="1C9F23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渗透系数K（cm/s）</w:t>
            </w:r>
          </w:p>
        </w:tc>
      </w:tr>
      <w:tr w14:paraId="1E9BA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7676AC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①层角砾</w:t>
            </w:r>
          </w:p>
        </w:tc>
        <w:tc>
          <w:tcPr>
            <w:tcW w:w="2500" w:type="pct"/>
            <w:tcBorders>
              <w:tl2br w:val="nil"/>
              <w:tr2bl w:val="nil"/>
            </w:tcBorders>
            <w:vAlign w:val="center"/>
          </w:tcPr>
          <w:p w14:paraId="570801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5.2×10</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vertAlign w:val="baseline"/>
                <w:lang w:val="en-US" w:eastAsia="zh-CN"/>
                <w14:textFill>
                  <w14:solidFill>
                    <w14:schemeClr w14:val="tx1"/>
                  </w14:solidFill>
                </w14:textFill>
              </w:rPr>
              <w:t>~5.78×10</w:t>
            </w:r>
            <w:r>
              <w:rPr>
                <w:rFonts w:hint="eastAsia"/>
                <w:color w:val="000000" w:themeColor="text1"/>
                <w:sz w:val="21"/>
                <w:szCs w:val="21"/>
                <w:vertAlign w:val="superscript"/>
                <w:lang w:val="en-US" w:eastAsia="zh-CN"/>
                <w14:textFill>
                  <w14:solidFill>
                    <w14:schemeClr w14:val="tx1"/>
                  </w14:solidFill>
                </w14:textFill>
              </w:rPr>
              <w:t>-2</w:t>
            </w:r>
          </w:p>
        </w:tc>
      </w:tr>
      <w:tr w14:paraId="664A0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2CB757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②层粉质黏土</w:t>
            </w:r>
          </w:p>
        </w:tc>
        <w:tc>
          <w:tcPr>
            <w:tcW w:w="2500" w:type="pct"/>
            <w:tcBorders>
              <w:tl2br w:val="nil"/>
              <w:tr2bl w:val="nil"/>
            </w:tcBorders>
            <w:vAlign w:val="center"/>
          </w:tcPr>
          <w:p w14:paraId="34DBB6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1.14×10</w:t>
            </w:r>
            <w:r>
              <w:rPr>
                <w:rFonts w:hint="eastAsia"/>
                <w:color w:val="000000" w:themeColor="text1"/>
                <w:sz w:val="21"/>
                <w:szCs w:val="21"/>
                <w:vertAlign w:val="superscript"/>
                <w:lang w:val="en-US" w:eastAsia="zh-CN"/>
                <w14:textFill>
                  <w14:solidFill>
                    <w14:schemeClr w14:val="tx1"/>
                  </w14:solidFill>
                </w14:textFill>
              </w:rPr>
              <w:t>-6</w:t>
            </w:r>
            <w:r>
              <w:rPr>
                <w:rFonts w:hint="eastAsia"/>
                <w:color w:val="000000" w:themeColor="text1"/>
                <w:sz w:val="21"/>
                <w:szCs w:val="21"/>
                <w:vertAlign w:val="baseline"/>
                <w:lang w:val="en-US" w:eastAsia="zh-CN"/>
                <w14:textFill>
                  <w14:solidFill>
                    <w14:schemeClr w14:val="tx1"/>
                  </w14:solidFill>
                </w14:textFill>
              </w:rPr>
              <w:t>~2.25×10</w:t>
            </w:r>
            <w:r>
              <w:rPr>
                <w:rFonts w:hint="eastAsia"/>
                <w:color w:val="000000" w:themeColor="text1"/>
                <w:sz w:val="21"/>
                <w:szCs w:val="21"/>
                <w:vertAlign w:val="superscript"/>
                <w:lang w:val="en-US" w:eastAsia="zh-CN"/>
                <w14:textFill>
                  <w14:solidFill>
                    <w14:schemeClr w14:val="tx1"/>
                  </w14:solidFill>
                </w14:textFill>
              </w:rPr>
              <w:t>-5</w:t>
            </w:r>
          </w:p>
        </w:tc>
      </w:tr>
      <w:tr w14:paraId="46771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42669D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③层残积土</w:t>
            </w:r>
          </w:p>
        </w:tc>
        <w:tc>
          <w:tcPr>
            <w:tcW w:w="2500" w:type="pct"/>
            <w:tcBorders>
              <w:tl2br w:val="nil"/>
              <w:tr2bl w:val="nil"/>
            </w:tcBorders>
            <w:vAlign w:val="center"/>
          </w:tcPr>
          <w:p w14:paraId="0F4EE6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~5×10</w:t>
            </w:r>
            <w:r>
              <w:rPr>
                <w:rFonts w:hint="eastAsia"/>
                <w:color w:val="000000" w:themeColor="text1"/>
                <w:sz w:val="21"/>
                <w:szCs w:val="21"/>
                <w:vertAlign w:val="superscript"/>
                <w:lang w:val="en-US" w:eastAsia="zh-CN"/>
                <w14:textFill>
                  <w14:solidFill>
                    <w14:schemeClr w14:val="tx1"/>
                  </w14:solidFill>
                </w14:textFill>
              </w:rPr>
              <w:t>-3</w:t>
            </w:r>
          </w:p>
        </w:tc>
      </w:tr>
      <w:tr w14:paraId="1A0B5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0058D6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④层大理岩</w:t>
            </w:r>
          </w:p>
        </w:tc>
        <w:tc>
          <w:tcPr>
            <w:tcW w:w="2500" w:type="pct"/>
            <w:tcBorders>
              <w:tl2br w:val="nil"/>
              <w:tr2bl w:val="nil"/>
            </w:tcBorders>
            <w:vAlign w:val="center"/>
          </w:tcPr>
          <w:p w14:paraId="4AEDB7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r>
              <w:rPr>
                <w:rFonts w:hint="eastAsia"/>
                <w:color w:val="000000" w:themeColor="text1"/>
                <w:sz w:val="21"/>
                <w:szCs w:val="21"/>
                <w:vertAlign w:val="superscript"/>
                <w:lang w:val="en-US" w:eastAsia="zh-CN"/>
                <w14:textFill>
                  <w14:solidFill>
                    <w14:schemeClr w14:val="tx1"/>
                  </w14:solidFill>
                </w14:textFill>
              </w:rPr>
              <w:t>-4</w:t>
            </w:r>
            <w:r>
              <w:rPr>
                <w:rFonts w:hint="eastAsia"/>
                <w:color w:val="000000" w:themeColor="text1"/>
                <w:sz w:val="21"/>
                <w:szCs w:val="21"/>
                <w:vertAlign w:val="baseline"/>
                <w:lang w:val="en-US" w:eastAsia="zh-CN"/>
                <w14:textFill>
                  <w14:solidFill>
                    <w14:schemeClr w14:val="tx1"/>
                  </w14:solidFill>
                </w14:textFill>
              </w:rPr>
              <w:t>~5×10</w:t>
            </w:r>
            <w:r>
              <w:rPr>
                <w:rFonts w:hint="eastAsia"/>
                <w:color w:val="000000" w:themeColor="text1"/>
                <w:sz w:val="21"/>
                <w:szCs w:val="21"/>
                <w:vertAlign w:val="superscript"/>
                <w:lang w:val="en-US" w:eastAsia="zh-CN"/>
                <w14:textFill>
                  <w14:solidFill>
                    <w14:schemeClr w14:val="tx1"/>
                  </w14:solidFill>
                </w14:textFill>
              </w:rPr>
              <w:t>-3</w:t>
            </w:r>
          </w:p>
        </w:tc>
      </w:tr>
      <w:tr w14:paraId="006E7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65A24A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⑤层大理岩</w:t>
            </w:r>
          </w:p>
        </w:tc>
        <w:tc>
          <w:tcPr>
            <w:tcW w:w="2500" w:type="pct"/>
            <w:tcBorders>
              <w:tl2br w:val="nil"/>
              <w:tr2bl w:val="nil"/>
            </w:tcBorders>
            <w:vAlign w:val="center"/>
          </w:tcPr>
          <w:p w14:paraId="4CA128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r>
              <w:rPr>
                <w:rFonts w:hint="eastAsia"/>
                <w:color w:val="000000" w:themeColor="text1"/>
                <w:sz w:val="21"/>
                <w:szCs w:val="21"/>
                <w:vertAlign w:val="superscript"/>
                <w:lang w:val="en-US" w:eastAsia="zh-CN"/>
                <w14:textFill>
                  <w14:solidFill>
                    <w14:schemeClr w14:val="tx1"/>
                  </w14:solidFill>
                </w14:textFill>
              </w:rPr>
              <w:t>-4</w:t>
            </w:r>
            <w:r>
              <w:rPr>
                <w:rFonts w:hint="eastAsia"/>
                <w:color w:val="000000" w:themeColor="text1"/>
                <w:sz w:val="21"/>
                <w:szCs w:val="21"/>
                <w:vertAlign w:val="baseline"/>
                <w:lang w:val="en-US" w:eastAsia="zh-CN"/>
                <w14:textFill>
                  <w14:solidFill>
                    <w14:schemeClr w14:val="tx1"/>
                  </w14:solidFill>
                </w14:textFill>
              </w:rPr>
              <w:t>~5×10</w:t>
            </w:r>
            <w:r>
              <w:rPr>
                <w:rFonts w:hint="eastAsia"/>
                <w:color w:val="000000" w:themeColor="text1"/>
                <w:sz w:val="21"/>
                <w:szCs w:val="21"/>
                <w:vertAlign w:val="superscript"/>
                <w:lang w:val="en-US" w:eastAsia="zh-CN"/>
                <w14:textFill>
                  <w14:solidFill>
                    <w14:schemeClr w14:val="tx1"/>
                  </w14:solidFill>
                </w14:textFill>
              </w:rPr>
              <w:t>-4</w:t>
            </w:r>
          </w:p>
        </w:tc>
      </w:tr>
      <w:tr w14:paraId="7069B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16C74D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⑥层大理岩</w:t>
            </w:r>
          </w:p>
        </w:tc>
        <w:tc>
          <w:tcPr>
            <w:tcW w:w="2500" w:type="pct"/>
            <w:tcBorders>
              <w:tl2br w:val="nil"/>
              <w:tr2bl w:val="nil"/>
            </w:tcBorders>
            <w:vAlign w:val="center"/>
          </w:tcPr>
          <w:p w14:paraId="3A3F02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r>
              <w:rPr>
                <w:rFonts w:hint="eastAsia"/>
                <w:color w:val="000000" w:themeColor="text1"/>
                <w:sz w:val="21"/>
                <w:szCs w:val="21"/>
                <w:vertAlign w:val="superscript"/>
                <w:lang w:val="en-US" w:eastAsia="zh-CN"/>
                <w14:textFill>
                  <w14:solidFill>
                    <w14:schemeClr w14:val="tx1"/>
                  </w14:solidFill>
                </w14:textFill>
              </w:rPr>
              <w:t>-5</w:t>
            </w:r>
            <w:r>
              <w:rPr>
                <w:rFonts w:hint="eastAsia"/>
                <w:color w:val="000000" w:themeColor="text1"/>
                <w:sz w:val="21"/>
                <w:szCs w:val="21"/>
                <w:vertAlign w:val="baseline"/>
                <w:lang w:val="en-US" w:eastAsia="zh-CN"/>
                <w14:textFill>
                  <w14:solidFill>
                    <w14:schemeClr w14:val="tx1"/>
                  </w14:solidFill>
                </w14:textFill>
              </w:rPr>
              <w:t>~5×10</w:t>
            </w:r>
            <w:r>
              <w:rPr>
                <w:rFonts w:hint="eastAsia"/>
                <w:color w:val="000000" w:themeColor="text1"/>
                <w:sz w:val="21"/>
                <w:szCs w:val="21"/>
                <w:vertAlign w:val="superscript"/>
                <w:lang w:val="en-US" w:eastAsia="zh-CN"/>
                <w14:textFill>
                  <w14:solidFill>
                    <w14:schemeClr w14:val="tx1"/>
                  </w14:solidFill>
                </w14:textFill>
              </w:rPr>
              <w:t>-4</w:t>
            </w:r>
          </w:p>
        </w:tc>
      </w:tr>
    </w:tbl>
    <w:p w14:paraId="4231DAC2">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4.1.3.</w:t>
      </w:r>
      <w:r>
        <w:rPr>
          <w:rFonts w:ascii="Times New Roman" w:hAnsi="Times New Roman"/>
          <w:bCs w:val="0"/>
          <w:color w:val="000000" w:themeColor="text1"/>
          <w:kern w:val="2"/>
          <w:szCs w:val="24"/>
          <w14:textFill>
            <w14:solidFill>
              <w14:schemeClr w14:val="tx1"/>
            </w14:solidFill>
          </w14:textFill>
        </w:rPr>
        <w:t>5</w:t>
      </w:r>
      <w:r>
        <w:rPr>
          <w:rFonts w:hint="eastAsia" w:ascii="Times New Roman" w:hAnsi="Times New Roman"/>
          <w:bCs w:val="0"/>
          <w:color w:val="000000" w:themeColor="text1"/>
          <w:kern w:val="2"/>
          <w:szCs w:val="24"/>
          <w14:textFill>
            <w14:solidFill>
              <w14:schemeClr w14:val="tx1"/>
            </w14:solidFill>
          </w14:textFill>
        </w:rPr>
        <w:t>环境地质</w:t>
      </w:r>
    </w:p>
    <w:p w14:paraId="3EF5BE82">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区域稳定性评价</w:t>
      </w:r>
    </w:p>
    <w:p w14:paraId="1394FADC">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中国地震动峰值加速度区划图》（GB18306-2015）矿区地震动峰值加速度为0.05g，对应地震基本烈度为Ⅵ度。区内地壳呈层状构造，断裂构造强度较低，地壳完整性较好。因此根据地壳稳定性等级综合评价，矿区所在区域地壳稳定性等级属稳定区，工程建设条件良好。</w:t>
      </w:r>
    </w:p>
    <w:p w14:paraId="79F9C4F6">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0C6AD9BD">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79E1F77E">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4FE042CD">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2C1FE42D">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46AE8855">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33FB6F53">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7438F39E">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1113891E">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456EC37E">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7038C762">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6F9DAF92">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762A940E">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0EDE924B">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11BBF84C">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390D3833">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63556DF9">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6D2497EE">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2F0059B4">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65D59D4D">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291ACE3F">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p>
    <w:p w14:paraId="6BEE7A8A">
      <w:pPr>
        <w:spacing w:line="480" w:lineRule="exact"/>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图4</w:t>
      </w:r>
      <w:r>
        <w:rPr>
          <w:b/>
          <w:color w:val="000000" w:themeColor="text1"/>
          <w:sz w:val="24"/>
          <w14:textFill>
            <w14:solidFill>
              <w14:schemeClr w14:val="tx1"/>
            </w14:solidFill>
          </w14:textFill>
        </w:rPr>
        <w:t>.1-</w:t>
      </w:r>
      <w:r>
        <w:rPr>
          <w:rFonts w:hint="eastAsia"/>
          <w:b/>
          <w:color w:val="000000" w:themeColor="text1"/>
          <w:sz w:val="24"/>
          <w:lang w:val="en-US" w:eastAsia="zh-CN"/>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地震动峰值加速度区划图</w:t>
      </w:r>
    </w:p>
    <w:p w14:paraId="073E3AFF">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地震</w:t>
      </w:r>
    </w:p>
    <w:p w14:paraId="2E62BE3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区内新构造运动，主要表现为对老构造的继承性，亦有本期构造变动的新生性，时间上具有阶段性、间歇性及振荡性，活动方式以差异性垂直升降运动为主，在中新世后也曾有过相当普遍的活动。新构造运动塑造了区内近期地史发展的最新面貌。矿区内近几十年未发生过大的地震及其他地质灾害。</w:t>
      </w:r>
    </w:p>
    <w:p w14:paraId="0C1F8554">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矿山环境地质现状</w:t>
      </w:r>
    </w:p>
    <w:p w14:paraId="33F3BA3D">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（1）地表现状调查</w:t>
      </w:r>
    </w:p>
    <w:p w14:paraId="2A3884B5">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矿区为低山丘陵地貌。海拔1237.57～1254.20m之间，相对高差2～5m，最大高差17m，总体为北高南低，区内地势起伏不大，无陡崖，自然排水条件较好，现场调查未发现泥石流、滑坡、崩塌地质灾害发生的痕迹。因此，现状评估矿区发生泥石流、滑坡、崩塌、塌陷地质灾害的可能性小。</w:t>
      </w:r>
    </w:p>
    <w:p w14:paraId="4292E520">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（2）地面塌陷</w:t>
      </w:r>
    </w:p>
    <w:p w14:paraId="1678822B">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本矿为地下开采，随着采矿活动的进行，将会在地下形成一定的采空区，引起地面塌陷及沉降。现采用《矿区水文地质工程地质勘查规范》（GB/T 12719-2021）中导水裂隙带最大高度计算公式对矿体进行导水裂隙带高度计算。</w:t>
      </w:r>
    </w:p>
    <w:p w14:paraId="10682C8A">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矿体顶底板围岩为黑云母长英质角岩和绿泥石英片岩，矿体倾角平均在82°之间，平均饱和抗压强度在51.00MPa。</w:t>
      </w:r>
    </w:p>
    <w:p w14:paraId="5AB6040D">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矿区内共圈定有3个矿体，各矿体最大厚度约14.64m左右，目前矿山工作面小台阶高度为50m。代入上式中得出矿区导水裂隙带最大高度Hf=225m。矿区最低限采标高900m，目前已开采至1030m标高，最大导水裂隙带高度值大于采空区最小埋深，小于采空区最大埋深，即开采导水裂隙带高度以上矿体时，在采矿爆破震动影响下，顶板崩落的垂向影响范围可达到地表，导致地表岩土坍落和移动，在地面上易形成地面塌陷灾害。</w:t>
      </w:r>
    </w:p>
    <w:p w14:paraId="5F003E9C">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（3）地应力、冲击地压（岩爆）</w:t>
      </w:r>
    </w:p>
    <w:p w14:paraId="5B5F17C6">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目前矿区内施工的巷道中未见有位移、巷道底邦鼓包、岩块从巷道弹射崩落等现象。</w:t>
      </w:r>
    </w:p>
    <w:p w14:paraId="3EFB8A90">
      <w:pPr>
        <w:pStyle w:val="4"/>
        <w:spacing w:before="60" w:after="60" w:line="480" w:lineRule="exact"/>
        <w:rPr>
          <w:color w:val="000000" w:themeColor="text1"/>
          <w:kern w:val="2"/>
          <w14:textFill>
            <w14:solidFill>
              <w14:schemeClr w14:val="tx1"/>
            </w14:solidFill>
          </w14:textFill>
        </w:rPr>
      </w:pPr>
      <w:bookmarkStart w:id="355" w:name="_Toc5863"/>
      <w:r>
        <w:rPr>
          <w:rFonts w:hint="eastAsia"/>
          <w:color w:val="000000" w:themeColor="text1"/>
          <w:kern w:val="2"/>
          <w14:textFill>
            <w14:solidFill>
              <w14:schemeClr w14:val="tx1"/>
            </w14:solidFill>
          </w14:textFill>
        </w:rPr>
        <w:t>4.1.4地表水</w:t>
      </w:r>
      <w:bookmarkEnd w:id="355"/>
    </w:p>
    <w:p w14:paraId="61753917">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矿区及附近地区地表水体不发育，无常年性流水，仅在6～8月份雨季，暴雨时期在地表形成暂时性水流在低洼地汇集蒸发，矿区内沟谷不发育。</w:t>
      </w:r>
    </w:p>
    <w:p w14:paraId="38204B57">
      <w:pPr>
        <w:pStyle w:val="4"/>
        <w:spacing w:before="60" w:after="60" w:line="480" w:lineRule="exact"/>
        <w:rPr>
          <w:color w:val="000000" w:themeColor="text1"/>
          <w:kern w:val="2"/>
          <w14:textFill>
            <w14:solidFill>
              <w14:schemeClr w14:val="tx1"/>
            </w14:solidFill>
          </w14:textFill>
        </w:rPr>
      </w:pPr>
      <w:bookmarkStart w:id="356" w:name="_Toc928"/>
      <w:bookmarkStart w:id="357" w:name="_Toc17447"/>
      <w:bookmarkStart w:id="358" w:name="_Toc3326"/>
      <w:bookmarkStart w:id="359" w:name="_Toc8454"/>
      <w:bookmarkStart w:id="360" w:name="_Toc591722979"/>
      <w:bookmarkStart w:id="361" w:name="_Toc15082"/>
      <w:bookmarkStart w:id="362" w:name="_Toc31407"/>
      <w:r>
        <w:rPr>
          <w:color w:val="000000" w:themeColor="text1"/>
          <w:kern w:val="2"/>
          <w14:textFill>
            <w14:solidFill>
              <w14:schemeClr w14:val="tx1"/>
            </w14:solidFill>
          </w14:textFill>
        </w:rPr>
        <w:t>4.1.</w:t>
      </w:r>
      <w:bookmarkEnd w:id="356"/>
      <w:bookmarkEnd w:id="357"/>
      <w:bookmarkEnd w:id="358"/>
      <w:r>
        <w:rPr>
          <w:color w:val="000000" w:themeColor="text1"/>
          <w:kern w:val="2"/>
          <w14:textFill>
            <w14:solidFill>
              <w14:schemeClr w14:val="tx1"/>
            </w14:solidFill>
          </w14:textFill>
        </w:rPr>
        <w:t>5气象气候</w:t>
      </w:r>
      <w:bookmarkEnd w:id="359"/>
      <w:bookmarkEnd w:id="360"/>
      <w:bookmarkEnd w:id="361"/>
      <w:bookmarkEnd w:id="362"/>
    </w:p>
    <w:p w14:paraId="0BA41B4A">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哈密市属典型的温带大陆性气候，冬季寒冷干燥，春季多风且冷暖多变，夏季高温少雨，光热资源丰富。天山南部的哈密盆地干燥少雨，昼夜温差大，光照时间长，年平均气温10.0℃，年均日照3285小时，无霜期184天。</w:t>
      </w:r>
    </w:p>
    <w:p w14:paraId="5428965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区属典型的大陆性荒漠干旱气候，气候干燥，多风，昼夜温差变化大，降雨量小。夏季酷热，冬季严寒，区域多年平均气温10.1℃，每年7月份至8月份最热，平均气温27.3℃，极端最高气温43.2℃；12月份至1月份最冷，平均气温-11.3℃，极端最低气温-28.9℃。每年7～8月为雨季，年均降水量为50mm，降雨量极小，均以暴雨形式出现，多汇集短暂洪流，水过即干涸；年蒸发2754.1mm，蒸发量大，空气十分干燥；经常刮风，而且具有周期性。风力一般4～5级，最大可达8～10级，年平均风速4.0～6.5m/s，最大风速25～34m/s。</w:t>
      </w:r>
    </w:p>
    <w:p w14:paraId="4F9A94E6">
      <w:pPr>
        <w:pStyle w:val="4"/>
        <w:spacing w:before="60" w:after="60" w:line="480" w:lineRule="exact"/>
        <w:rPr>
          <w:color w:val="000000" w:themeColor="text1"/>
          <w:kern w:val="2"/>
          <w14:textFill>
            <w14:solidFill>
              <w14:schemeClr w14:val="tx1"/>
            </w14:solidFill>
          </w14:textFill>
        </w:rPr>
      </w:pPr>
      <w:bookmarkStart w:id="363" w:name="_Toc21558"/>
      <w:r>
        <w:rPr>
          <w:color w:val="000000" w:themeColor="text1"/>
          <w:kern w:val="2"/>
          <w14:textFill>
            <w14:solidFill>
              <w14:schemeClr w14:val="tx1"/>
            </w14:solidFill>
          </w14:textFill>
        </w:rPr>
        <w:t>4.1.6</w:t>
      </w:r>
      <w:r>
        <w:rPr>
          <w:rFonts w:hint="eastAsia"/>
          <w:color w:val="000000" w:themeColor="text1"/>
          <w:kern w:val="2"/>
          <w14:textFill>
            <w14:solidFill>
              <w14:schemeClr w14:val="tx1"/>
            </w14:solidFill>
          </w14:textFill>
        </w:rPr>
        <w:t>地震等级</w:t>
      </w:r>
      <w:bookmarkEnd w:id="363"/>
    </w:p>
    <w:p w14:paraId="5E41177F">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w:t>根据《中国地震动参数区划图》</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GB18306-20</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区内地震烈度为Ⅵ度区，地震动峰值加速度为0.05g。</w:t>
      </w:r>
    </w:p>
    <w:p w14:paraId="67931F86">
      <w:pPr>
        <w:pStyle w:val="3"/>
        <w:jc w:val="left"/>
        <w:rPr>
          <w:bCs/>
          <w:color w:val="000000" w:themeColor="text1"/>
          <w:kern w:val="2"/>
          <w:szCs w:val="32"/>
          <w14:textFill>
            <w14:solidFill>
              <w14:schemeClr w14:val="tx1"/>
            </w14:solidFill>
          </w14:textFill>
        </w:rPr>
      </w:pPr>
      <w:bookmarkStart w:id="364" w:name="_Toc5939"/>
      <w:bookmarkStart w:id="365" w:name="_Toc8767"/>
      <w:bookmarkStart w:id="366" w:name="_Toc29484"/>
      <w:bookmarkStart w:id="367" w:name="_Toc284"/>
      <w:bookmarkStart w:id="368" w:name="_Toc20538"/>
      <w:bookmarkStart w:id="369" w:name="_Toc160"/>
      <w:bookmarkStart w:id="370" w:name="_Toc91338796"/>
      <w:bookmarkStart w:id="371" w:name="_Toc111767557"/>
      <w:bookmarkStart w:id="372" w:name="_Toc7619"/>
      <w:bookmarkStart w:id="373" w:name="_Toc13887"/>
      <w:r>
        <w:rPr>
          <w:bCs/>
          <w:color w:val="000000" w:themeColor="text1"/>
          <w:kern w:val="2"/>
          <w:szCs w:val="32"/>
          <w14:textFill>
            <w14:solidFill>
              <w14:schemeClr w14:val="tx1"/>
            </w14:solidFill>
          </w14:textFill>
        </w:rPr>
        <w:t>4.2环境质量现状调查与评价</w:t>
      </w:r>
      <w:bookmarkEnd w:id="364"/>
      <w:bookmarkEnd w:id="365"/>
      <w:bookmarkEnd w:id="366"/>
      <w:bookmarkEnd w:id="367"/>
      <w:bookmarkEnd w:id="368"/>
      <w:bookmarkEnd w:id="369"/>
      <w:bookmarkEnd w:id="370"/>
      <w:bookmarkEnd w:id="371"/>
      <w:bookmarkEnd w:id="372"/>
      <w:bookmarkEnd w:id="373"/>
    </w:p>
    <w:p w14:paraId="5FD8D07B">
      <w:pPr>
        <w:pStyle w:val="4"/>
        <w:spacing w:before="60" w:after="60" w:line="480" w:lineRule="exact"/>
        <w:rPr>
          <w:color w:val="000000" w:themeColor="text1"/>
          <w:kern w:val="2"/>
          <w14:textFill>
            <w14:solidFill>
              <w14:schemeClr w14:val="tx1"/>
            </w14:solidFill>
          </w14:textFill>
        </w:rPr>
      </w:pPr>
      <w:bookmarkStart w:id="374" w:name="_Toc24775"/>
      <w:r>
        <w:rPr>
          <w:color w:val="000000" w:themeColor="text1"/>
          <w:kern w:val="2"/>
          <w14:textFill>
            <w14:solidFill>
              <w14:schemeClr w14:val="tx1"/>
            </w14:solidFill>
          </w14:textFill>
        </w:rPr>
        <w:t>4.2.1大气环境质量现状监测及评价</w:t>
      </w:r>
      <w:bookmarkEnd w:id="374"/>
    </w:p>
    <w:p w14:paraId="3AEDFBF7">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（1）空气质量达标区的判定</w:t>
      </w:r>
    </w:p>
    <w:p w14:paraId="0E867906">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本次大气环境影响评价等级为二级。根据《环境影响评价技术导则 大气环境》（HJ2.2-2018）》“6.1.2-二级评价项目-调查项目所在区域环境质量达标情况及调查评价范围内有环境质量标准的评价因子的环境质量监测数据或进行补充监测，用于评价项目所在区域污染物环境质量现状。”</w:t>
      </w:r>
    </w:p>
    <w:p w14:paraId="7CDFDA3E">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所在区域达标判定，优先采用国家或地方生态环境主管部门公开发布的评价基准年环境质量公告或环境质量报告中的数据或结论；采用评价范围内国家或地方环境空气质量监测网中评价基准年连续1年的监测数据，或采用生态环境主管部门公开发布的环境空气质量现状数据；评价范围内没有环境空气质量监测网数据或公开发布的环境空气质量现状数据的，可选择符合HJ664规定，并且与评价范围地理位置临近，地形、气候条件相近的环境空气质量城市点或区域点的监测数据。</w:t>
      </w:r>
      <w:r>
        <w:rPr>
          <w:rFonts w:hint="default" w:ascii="Times New Roman" w:hAnsi="Times New Roman" w:eastAsia="宋体" w:cs="Times New Roman"/>
          <w:color w:val="000000" w:themeColor="text1"/>
          <w:spacing w:val="0"/>
          <w:sz w:val="24"/>
          <w14:textFill>
            <w14:solidFill>
              <w14:schemeClr w14:val="tx1"/>
            </w14:solidFill>
          </w14:textFill>
        </w:rPr>
        <w:t>本次评价收集了中国环境影响评价网环境空气质量模型技术支持服务系统中与项目所在地最近的哈密市国控点202</w:t>
      </w:r>
      <w:r>
        <w:rPr>
          <w:rFonts w:hint="eastAsia" w:cs="Times New Roman"/>
          <w:color w:val="000000" w:themeColor="text1"/>
          <w:spacing w:val="0"/>
          <w:sz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14:textFill>
            <w14:solidFill>
              <w14:schemeClr w14:val="tx1"/>
            </w14:solidFill>
          </w14:textFill>
        </w:rPr>
        <w:t>年的环境空气质量监测数据，可作为区域大气达标判定的依据。</w:t>
      </w:r>
    </w:p>
    <w:p w14:paraId="0F6984D1">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环境空气质量现状</w:t>
      </w:r>
      <w:r>
        <w:rPr>
          <w:rFonts w:hint="eastAsia"/>
          <w:color w:val="000000" w:themeColor="text1"/>
          <w:sz w:val="24"/>
          <w:szCs w:val="24"/>
          <w:lang w:eastAsia="zh-CN"/>
          <w14:textFill>
            <w14:solidFill>
              <w14:schemeClr w14:val="tx1"/>
            </w14:solidFill>
          </w14:textFill>
        </w:rPr>
        <w:t>评价</w:t>
      </w:r>
      <w:r>
        <w:rPr>
          <w:rFonts w:hint="eastAsia"/>
          <w:color w:val="000000" w:themeColor="text1"/>
          <w:sz w:val="24"/>
          <w:szCs w:val="24"/>
          <w14:textFill>
            <w14:solidFill>
              <w14:schemeClr w14:val="tx1"/>
            </w14:solidFill>
          </w14:textFill>
        </w:rPr>
        <w:t>见表4.</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-1。</w:t>
      </w:r>
    </w:p>
    <w:p w14:paraId="19722644">
      <w:pPr>
        <w:spacing w:line="480" w:lineRule="exact"/>
        <w:jc w:val="center"/>
        <w:rPr>
          <w:rFonts w:hint="eastAsia"/>
          <w:b/>
          <w:bCs/>
          <w:color w:val="000000" w:themeColor="text1"/>
          <w:kern w:val="10"/>
          <w:sz w:val="24"/>
          <w:szCs w:val="24"/>
          <w14:textFill>
            <w14:solidFill>
              <w14:schemeClr w14:val="tx1"/>
            </w14:solidFill>
          </w14:textFill>
        </w:rPr>
      </w:pPr>
      <w:r>
        <w:rPr>
          <w:rFonts w:hint="eastAsia"/>
          <w:b/>
          <w:bCs/>
          <w:color w:val="000000" w:themeColor="text1"/>
          <w:kern w:val="10"/>
          <w:sz w:val="24"/>
          <w:szCs w:val="24"/>
          <w14:textFill>
            <w14:solidFill>
              <w14:schemeClr w14:val="tx1"/>
            </w14:solidFill>
          </w14:textFill>
        </w:rPr>
        <w:t>表4.2-1     哈密市空气质量现状评价表</w:t>
      </w:r>
    </w:p>
    <w:tbl>
      <w:tblPr>
        <w:tblStyle w:val="79"/>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14"/>
        <w:gridCol w:w="755"/>
        <w:gridCol w:w="2703"/>
        <w:gridCol w:w="1106"/>
        <w:gridCol w:w="1126"/>
        <w:gridCol w:w="910"/>
        <w:gridCol w:w="903"/>
      </w:tblGrid>
      <w:tr w14:paraId="66125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595" w:type="pct"/>
            <w:tcBorders>
              <w:tl2br w:val="nil"/>
              <w:tr2bl w:val="nil"/>
            </w:tcBorders>
            <w:noWrap w:val="0"/>
            <w:vAlign w:val="center"/>
          </w:tcPr>
          <w:p w14:paraId="1BC5F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地区</w:t>
            </w:r>
          </w:p>
        </w:tc>
        <w:tc>
          <w:tcPr>
            <w:tcW w:w="443" w:type="pct"/>
            <w:tcBorders>
              <w:tl2br w:val="nil"/>
              <w:tr2bl w:val="nil"/>
            </w:tcBorders>
            <w:noWrap w:val="0"/>
            <w:vAlign w:val="center"/>
          </w:tcPr>
          <w:p w14:paraId="6026E1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评价因子</w:t>
            </w:r>
          </w:p>
        </w:tc>
        <w:tc>
          <w:tcPr>
            <w:tcW w:w="1586" w:type="pct"/>
            <w:tcBorders>
              <w:tl2br w:val="nil"/>
              <w:tr2bl w:val="nil"/>
            </w:tcBorders>
            <w:noWrap w:val="0"/>
            <w:vAlign w:val="center"/>
          </w:tcPr>
          <w:p w14:paraId="4EB6B9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年评价指标</w:t>
            </w:r>
          </w:p>
        </w:tc>
        <w:tc>
          <w:tcPr>
            <w:tcW w:w="649" w:type="pct"/>
            <w:tcBorders>
              <w:tl2br w:val="nil"/>
              <w:tr2bl w:val="nil"/>
            </w:tcBorders>
            <w:noWrap w:val="0"/>
            <w:vAlign w:val="center"/>
          </w:tcPr>
          <w:p w14:paraId="747B4B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现状浓度</w:t>
            </w:r>
          </w:p>
          <w:p w14:paraId="342499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b/>
                <w:bCs/>
                <w:i w:val="0"/>
                <w:iCs w:val="0"/>
                <w:color w:val="000000" w:themeColor="text1"/>
                <w:sz w:val="21"/>
                <w:szCs w:val="28"/>
                <w:u w:val="none"/>
                <w:lang w:val="en-US"/>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μg/</w:t>
            </w:r>
            <w:r>
              <w:rPr>
                <w:rFonts w:hint="eastAsia"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m</w:t>
            </w:r>
            <w:r>
              <w:rPr>
                <w:rFonts w:hint="eastAsia" w:ascii="Times New Roman" w:hAnsi="Times New Roman" w:eastAsia="宋体" w:cs="宋体"/>
                <w:b/>
                <w:bCs/>
                <w:i w:val="0"/>
                <w:iCs w:val="0"/>
                <w:color w:val="000000" w:themeColor="text1"/>
                <w:kern w:val="0"/>
                <w:sz w:val="21"/>
                <w:szCs w:val="28"/>
                <w:u w:val="none"/>
                <w:vertAlign w:val="superscript"/>
                <w:lang w:val="en-US" w:eastAsia="zh-CN" w:bidi="ar"/>
                <w14:textFill>
                  <w14:solidFill>
                    <w14:schemeClr w14:val="tx1"/>
                  </w14:solidFill>
                </w14:textFill>
              </w:rPr>
              <w:t>3</w:t>
            </w:r>
          </w:p>
        </w:tc>
        <w:tc>
          <w:tcPr>
            <w:tcW w:w="661" w:type="pct"/>
            <w:tcBorders>
              <w:tl2br w:val="nil"/>
              <w:tr2bl w:val="nil"/>
            </w:tcBorders>
            <w:noWrap w:val="0"/>
            <w:vAlign w:val="center"/>
          </w:tcPr>
          <w:p w14:paraId="72E514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标准限值</w:t>
            </w:r>
          </w:p>
          <w:p w14:paraId="25DCB2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μg/</w:t>
            </w:r>
            <w:r>
              <w:rPr>
                <w:rFonts w:hint="eastAsia"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m</w:t>
            </w:r>
            <w:r>
              <w:rPr>
                <w:rFonts w:hint="eastAsia" w:ascii="Times New Roman" w:hAnsi="Times New Roman" w:eastAsia="宋体" w:cs="宋体"/>
                <w:b/>
                <w:bCs/>
                <w:i w:val="0"/>
                <w:iCs w:val="0"/>
                <w:color w:val="000000" w:themeColor="text1"/>
                <w:kern w:val="0"/>
                <w:sz w:val="21"/>
                <w:szCs w:val="28"/>
                <w:u w:val="none"/>
                <w:vertAlign w:val="superscript"/>
                <w:lang w:val="en-US" w:eastAsia="zh-CN" w:bidi="ar"/>
                <w14:textFill>
                  <w14:solidFill>
                    <w14:schemeClr w14:val="tx1"/>
                  </w14:solidFill>
                </w14:textFill>
              </w:rPr>
              <w:t>3</w:t>
            </w:r>
          </w:p>
        </w:tc>
        <w:tc>
          <w:tcPr>
            <w:tcW w:w="534" w:type="pct"/>
            <w:tcBorders>
              <w:tl2br w:val="nil"/>
              <w:tr2bl w:val="nil"/>
            </w:tcBorders>
            <w:noWrap w:val="0"/>
            <w:vAlign w:val="center"/>
          </w:tcPr>
          <w:p w14:paraId="3FA88E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cente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占标率</w:t>
            </w:r>
          </w:p>
          <w:p w14:paraId="498D07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w:t>
            </w:r>
          </w:p>
        </w:tc>
        <w:tc>
          <w:tcPr>
            <w:tcW w:w="530" w:type="pct"/>
            <w:tcBorders>
              <w:tl2br w:val="nil"/>
              <w:tr2bl w:val="nil"/>
            </w:tcBorders>
            <w:noWrap w:val="0"/>
            <w:vAlign w:val="center"/>
          </w:tcPr>
          <w:p w14:paraId="27D58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达标情况</w:t>
            </w:r>
          </w:p>
        </w:tc>
      </w:tr>
      <w:tr w14:paraId="6251A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2A09B0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241CC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Calibri"/>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SO</w:t>
            </w:r>
            <w:r>
              <w:rPr>
                <w:rFonts w:hint="default" w:ascii="Times New Roman" w:hAnsi="Times New Roman" w:eastAsia="宋体" w:cs="Calibri"/>
                <w:color w:val="000000" w:themeColor="text1"/>
                <w:sz w:val="21"/>
                <w:szCs w:val="28"/>
                <w:u w:val="none"/>
                <w:lang w:val="en-US" w:eastAsia="zh-CN" w:bidi="ar"/>
                <w14:textFill>
                  <w14:solidFill>
                    <w14:schemeClr w14:val="tx1"/>
                  </w14:solidFill>
                </w14:textFill>
              </w:rPr>
              <w:t>₂</w:t>
            </w:r>
          </w:p>
        </w:tc>
        <w:tc>
          <w:tcPr>
            <w:tcW w:w="1586" w:type="pct"/>
            <w:tcBorders>
              <w:tl2br w:val="nil"/>
              <w:tr2bl w:val="nil"/>
            </w:tcBorders>
            <w:noWrap w:val="0"/>
            <w:vAlign w:val="center"/>
          </w:tcPr>
          <w:p w14:paraId="39B52B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年平均</w:t>
            </w:r>
          </w:p>
        </w:tc>
        <w:tc>
          <w:tcPr>
            <w:tcW w:w="649" w:type="pct"/>
            <w:tcBorders>
              <w:tl2br w:val="nil"/>
              <w:tr2bl w:val="nil"/>
            </w:tcBorders>
            <w:noWrap w:val="0"/>
            <w:vAlign w:val="center"/>
          </w:tcPr>
          <w:p w14:paraId="2A9C7C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6</w:t>
            </w:r>
          </w:p>
        </w:tc>
        <w:tc>
          <w:tcPr>
            <w:tcW w:w="661" w:type="pct"/>
            <w:tcBorders>
              <w:tl2br w:val="nil"/>
              <w:tr2bl w:val="nil"/>
            </w:tcBorders>
            <w:noWrap w:val="0"/>
            <w:vAlign w:val="center"/>
          </w:tcPr>
          <w:p w14:paraId="57D6ED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60</w:t>
            </w:r>
          </w:p>
        </w:tc>
        <w:tc>
          <w:tcPr>
            <w:tcW w:w="534" w:type="pct"/>
            <w:tcBorders>
              <w:tl2br w:val="nil"/>
              <w:tr2bl w:val="nil"/>
            </w:tcBorders>
            <w:noWrap w:val="0"/>
            <w:vAlign w:val="center"/>
          </w:tcPr>
          <w:p w14:paraId="43D1F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ascii="Times New Roman" w:hAnsi="Times New Roman" w:eastAsia="宋体" w:cs="宋体"/>
                <w:i w:val="0"/>
                <w:iCs w:val="0"/>
                <w:color w:val="000000" w:themeColor="text1"/>
                <w:sz w:val="21"/>
                <w:szCs w:val="28"/>
                <w:u w:val="none"/>
                <w:lang w:val="en-US" w:eastAsia="zh-CN"/>
                <w14:textFill>
                  <w14:solidFill>
                    <w14:schemeClr w14:val="tx1"/>
                  </w14:solidFill>
                </w14:textFill>
              </w:rPr>
              <w:t>10.0</w:t>
            </w:r>
          </w:p>
        </w:tc>
        <w:tc>
          <w:tcPr>
            <w:tcW w:w="530" w:type="pct"/>
            <w:tcBorders>
              <w:tl2br w:val="nil"/>
              <w:tr2bl w:val="nil"/>
            </w:tcBorders>
            <w:noWrap w:val="0"/>
            <w:vAlign w:val="center"/>
          </w:tcPr>
          <w:p w14:paraId="348370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4E50FF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643044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263EEF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Calibri"/>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NO</w:t>
            </w:r>
            <w:r>
              <w:rPr>
                <w:rFonts w:hint="default" w:ascii="Times New Roman" w:hAnsi="Times New Roman" w:eastAsia="宋体" w:cs="Calibri"/>
                <w:color w:val="000000" w:themeColor="text1"/>
                <w:sz w:val="21"/>
                <w:szCs w:val="28"/>
                <w:u w:val="none"/>
                <w:lang w:val="en-US" w:eastAsia="zh-CN" w:bidi="ar"/>
                <w14:textFill>
                  <w14:solidFill>
                    <w14:schemeClr w14:val="tx1"/>
                  </w14:solidFill>
                </w14:textFill>
              </w:rPr>
              <w:t>₂</w:t>
            </w:r>
          </w:p>
        </w:tc>
        <w:tc>
          <w:tcPr>
            <w:tcW w:w="1586" w:type="pct"/>
            <w:tcBorders>
              <w:tl2br w:val="nil"/>
              <w:tr2bl w:val="nil"/>
            </w:tcBorders>
            <w:noWrap w:val="0"/>
            <w:vAlign w:val="center"/>
          </w:tcPr>
          <w:p w14:paraId="0B02A4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年平均</w:t>
            </w:r>
          </w:p>
        </w:tc>
        <w:tc>
          <w:tcPr>
            <w:tcW w:w="649" w:type="pct"/>
            <w:tcBorders>
              <w:tl2br w:val="nil"/>
              <w:tr2bl w:val="nil"/>
            </w:tcBorders>
            <w:noWrap w:val="0"/>
            <w:vAlign w:val="center"/>
          </w:tcPr>
          <w:p w14:paraId="1AE1F2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26</w:t>
            </w:r>
          </w:p>
        </w:tc>
        <w:tc>
          <w:tcPr>
            <w:tcW w:w="661" w:type="pct"/>
            <w:tcBorders>
              <w:tl2br w:val="nil"/>
              <w:tr2bl w:val="nil"/>
            </w:tcBorders>
            <w:noWrap w:val="0"/>
            <w:vAlign w:val="center"/>
          </w:tcPr>
          <w:p w14:paraId="079D5E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40</w:t>
            </w:r>
          </w:p>
        </w:tc>
        <w:tc>
          <w:tcPr>
            <w:tcW w:w="534" w:type="pct"/>
            <w:tcBorders>
              <w:tl2br w:val="nil"/>
              <w:tr2bl w:val="nil"/>
            </w:tcBorders>
            <w:noWrap w:val="0"/>
            <w:vAlign w:val="center"/>
          </w:tcPr>
          <w:p w14:paraId="7D0E68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ascii="Times New Roman" w:hAnsi="Times New Roman" w:eastAsia="宋体" w:cs="宋体"/>
                <w:i w:val="0"/>
                <w:iCs w:val="0"/>
                <w:color w:val="000000" w:themeColor="text1"/>
                <w:sz w:val="21"/>
                <w:szCs w:val="28"/>
                <w:u w:val="none"/>
                <w:lang w:val="en-US" w:eastAsia="zh-CN"/>
                <w14:textFill>
                  <w14:solidFill>
                    <w14:schemeClr w14:val="tx1"/>
                  </w14:solidFill>
                </w14:textFill>
              </w:rPr>
              <w:t>65.0</w:t>
            </w:r>
          </w:p>
        </w:tc>
        <w:tc>
          <w:tcPr>
            <w:tcW w:w="530" w:type="pct"/>
            <w:tcBorders>
              <w:tl2br w:val="nil"/>
              <w:tr2bl w:val="nil"/>
            </w:tcBorders>
            <w:noWrap w:val="0"/>
            <w:vAlign w:val="center"/>
          </w:tcPr>
          <w:p w14:paraId="5DD5DC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0B297B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70B686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3145E4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PM</w:t>
            </w:r>
            <w:r>
              <w:rPr>
                <w:rFonts w:hint="default" w:ascii="Times New Roman" w:hAnsi="Times New Roman" w:eastAsia="宋体" w:cs="宋体"/>
                <w:i w:val="0"/>
                <w:iCs w:val="0"/>
                <w:color w:val="000000" w:themeColor="text1"/>
                <w:kern w:val="0"/>
                <w:sz w:val="21"/>
                <w:szCs w:val="28"/>
                <w:u w:val="none"/>
                <w:vertAlign w:val="subscript"/>
                <w:lang w:val="en-US" w:eastAsia="zh-CN" w:bidi="ar"/>
                <w14:textFill>
                  <w14:solidFill>
                    <w14:schemeClr w14:val="tx1"/>
                  </w14:solidFill>
                </w14:textFill>
              </w:rPr>
              <w:t>10</w:t>
            </w:r>
          </w:p>
        </w:tc>
        <w:tc>
          <w:tcPr>
            <w:tcW w:w="1586" w:type="pct"/>
            <w:tcBorders>
              <w:tl2br w:val="nil"/>
              <w:tr2bl w:val="nil"/>
            </w:tcBorders>
            <w:noWrap w:val="0"/>
            <w:vAlign w:val="center"/>
          </w:tcPr>
          <w:p w14:paraId="2CEE68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年平均</w:t>
            </w:r>
          </w:p>
        </w:tc>
        <w:tc>
          <w:tcPr>
            <w:tcW w:w="649" w:type="pct"/>
            <w:tcBorders>
              <w:tl2br w:val="nil"/>
              <w:tr2bl w:val="nil"/>
            </w:tcBorders>
            <w:noWrap w:val="0"/>
            <w:vAlign w:val="center"/>
          </w:tcPr>
          <w:p w14:paraId="1C2369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6</w:t>
            </w: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2</w:t>
            </w:r>
          </w:p>
        </w:tc>
        <w:tc>
          <w:tcPr>
            <w:tcW w:w="661" w:type="pct"/>
            <w:tcBorders>
              <w:tl2br w:val="nil"/>
              <w:tr2bl w:val="nil"/>
            </w:tcBorders>
            <w:noWrap w:val="0"/>
            <w:vAlign w:val="center"/>
          </w:tcPr>
          <w:p w14:paraId="20D4ED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eastAsia" w:cs="宋体"/>
                <w:i w:val="0"/>
                <w:iCs w:val="0"/>
                <w:color w:val="000000" w:themeColor="text1"/>
                <w:kern w:val="0"/>
                <w:sz w:val="21"/>
                <w:szCs w:val="28"/>
                <w:u w:val="none"/>
                <w:lang w:val="en-US" w:eastAsia="zh-CN" w:bidi="ar"/>
                <w14:textFill>
                  <w14:solidFill>
                    <w14:schemeClr w14:val="tx1"/>
                  </w14:solidFill>
                </w14:textFill>
              </w:rPr>
              <w:t>60</w:t>
            </w:r>
          </w:p>
        </w:tc>
        <w:tc>
          <w:tcPr>
            <w:tcW w:w="534" w:type="pct"/>
            <w:tcBorders>
              <w:tl2br w:val="nil"/>
              <w:tr2bl w:val="nil"/>
            </w:tcBorders>
            <w:noWrap w:val="0"/>
            <w:vAlign w:val="center"/>
          </w:tcPr>
          <w:p w14:paraId="531C56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cs="宋体"/>
                <w:i w:val="0"/>
                <w:iCs w:val="0"/>
                <w:color w:val="000000" w:themeColor="text1"/>
                <w:sz w:val="21"/>
                <w:szCs w:val="28"/>
                <w:u w:val="none"/>
                <w:lang w:val="en-US" w:eastAsia="zh-CN"/>
                <w14:textFill>
                  <w14:solidFill>
                    <w14:schemeClr w14:val="tx1"/>
                  </w14:solidFill>
                </w14:textFill>
              </w:rPr>
              <w:t>103.3</w:t>
            </w:r>
          </w:p>
        </w:tc>
        <w:tc>
          <w:tcPr>
            <w:tcW w:w="530" w:type="pct"/>
            <w:tcBorders>
              <w:tl2br w:val="nil"/>
              <w:tr2bl w:val="nil"/>
            </w:tcBorders>
            <w:noWrap w:val="0"/>
            <w:vAlign w:val="center"/>
          </w:tcPr>
          <w:p w14:paraId="3B573B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eastAsia" w:cs="宋体"/>
                <w:i w:val="0"/>
                <w:iCs w:val="0"/>
                <w:color w:val="000000" w:themeColor="text1"/>
                <w:kern w:val="0"/>
                <w:sz w:val="21"/>
                <w:szCs w:val="28"/>
                <w:u w:val="none"/>
                <w:lang w:val="en-US" w:eastAsia="zh-CN" w:bidi="ar"/>
                <w14:textFill>
                  <w14:solidFill>
                    <w14:schemeClr w14:val="tx1"/>
                  </w14:solidFill>
                </w14:textFill>
              </w:rPr>
              <w:t>不</w:t>
            </w: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42CF65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6D0498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50B39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PM</w:t>
            </w:r>
            <w:r>
              <w:rPr>
                <w:rFonts w:hint="default" w:ascii="Times New Roman" w:hAnsi="Times New Roman" w:eastAsia="宋体" w:cs="宋体"/>
                <w:i w:val="0"/>
                <w:iCs w:val="0"/>
                <w:color w:val="000000" w:themeColor="text1"/>
                <w:kern w:val="0"/>
                <w:sz w:val="21"/>
                <w:szCs w:val="28"/>
                <w:u w:val="none"/>
                <w:vertAlign w:val="subscript"/>
                <w:lang w:val="en-US" w:eastAsia="zh-CN" w:bidi="ar"/>
                <w14:textFill>
                  <w14:solidFill>
                    <w14:schemeClr w14:val="tx1"/>
                  </w14:solidFill>
                </w14:textFill>
              </w:rPr>
              <w:t>2.5</w:t>
            </w:r>
          </w:p>
        </w:tc>
        <w:tc>
          <w:tcPr>
            <w:tcW w:w="1586" w:type="pct"/>
            <w:tcBorders>
              <w:tl2br w:val="nil"/>
              <w:tr2bl w:val="nil"/>
            </w:tcBorders>
            <w:noWrap w:val="0"/>
            <w:vAlign w:val="center"/>
          </w:tcPr>
          <w:p w14:paraId="001F22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年平均</w:t>
            </w:r>
          </w:p>
        </w:tc>
        <w:tc>
          <w:tcPr>
            <w:tcW w:w="649" w:type="pct"/>
            <w:tcBorders>
              <w:tl2br w:val="nil"/>
              <w:tr2bl w:val="nil"/>
            </w:tcBorders>
            <w:noWrap w:val="0"/>
            <w:vAlign w:val="center"/>
          </w:tcPr>
          <w:p w14:paraId="2B0179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2</w:t>
            </w: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5</w:t>
            </w:r>
          </w:p>
        </w:tc>
        <w:tc>
          <w:tcPr>
            <w:tcW w:w="661" w:type="pct"/>
            <w:tcBorders>
              <w:tl2br w:val="nil"/>
              <w:tr2bl w:val="nil"/>
            </w:tcBorders>
            <w:noWrap w:val="0"/>
            <w:vAlign w:val="center"/>
          </w:tcPr>
          <w:p w14:paraId="4F5DD2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eastAsia" w:cs="宋体"/>
                <w:i w:val="0"/>
                <w:iCs w:val="0"/>
                <w:color w:val="000000" w:themeColor="text1"/>
                <w:kern w:val="0"/>
                <w:sz w:val="21"/>
                <w:szCs w:val="28"/>
                <w:u w:val="none"/>
                <w:lang w:val="en-US" w:eastAsia="zh-CN" w:bidi="ar"/>
                <w14:textFill>
                  <w14:solidFill>
                    <w14:schemeClr w14:val="tx1"/>
                  </w14:solidFill>
                </w14:textFill>
              </w:rPr>
              <w:t>30</w:t>
            </w:r>
          </w:p>
        </w:tc>
        <w:tc>
          <w:tcPr>
            <w:tcW w:w="534" w:type="pct"/>
            <w:tcBorders>
              <w:tl2br w:val="nil"/>
              <w:tr2bl w:val="nil"/>
            </w:tcBorders>
            <w:noWrap w:val="0"/>
            <w:vAlign w:val="center"/>
          </w:tcPr>
          <w:p w14:paraId="4AD82D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cs="宋体"/>
                <w:i w:val="0"/>
                <w:iCs w:val="0"/>
                <w:color w:val="000000" w:themeColor="text1"/>
                <w:sz w:val="21"/>
                <w:szCs w:val="28"/>
                <w:u w:val="none"/>
                <w:lang w:val="en-US" w:eastAsia="zh-CN"/>
                <w14:textFill>
                  <w14:solidFill>
                    <w14:schemeClr w14:val="tx1"/>
                  </w14:solidFill>
                </w14:textFill>
              </w:rPr>
              <w:t>83.3</w:t>
            </w:r>
          </w:p>
        </w:tc>
        <w:tc>
          <w:tcPr>
            <w:tcW w:w="530" w:type="pct"/>
            <w:tcBorders>
              <w:tl2br w:val="nil"/>
              <w:tr2bl w:val="nil"/>
            </w:tcBorders>
            <w:noWrap w:val="0"/>
            <w:vAlign w:val="center"/>
          </w:tcPr>
          <w:p w14:paraId="43351D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463ED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0A0B1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0A042A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CO</w:t>
            </w:r>
          </w:p>
        </w:tc>
        <w:tc>
          <w:tcPr>
            <w:tcW w:w="1586" w:type="pct"/>
            <w:tcBorders>
              <w:tl2br w:val="nil"/>
              <w:tr2bl w:val="nil"/>
            </w:tcBorders>
            <w:noWrap w:val="0"/>
            <w:vAlign w:val="center"/>
          </w:tcPr>
          <w:p w14:paraId="6CA2F3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24小时平均第95百分位数</w:t>
            </w:r>
          </w:p>
        </w:tc>
        <w:tc>
          <w:tcPr>
            <w:tcW w:w="649" w:type="pct"/>
            <w:tcBorders>
              <w:tl2br w:val="nil"/>
              <w:tr2bl w:val="nil"/>
            </w:tcBorders>
            <w:noWrap w:val="0"/>
            <w:vAlign w:val="center"/>
          </w:tcPr>
          <w:p w14:paraId="0502B1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1000</w:t>
            </w:r>
          </w:p>
        </w:tc>
        <w:tc>
          <w:tcPr>
            <w:tcW w:w="661" w:type="pct"/>
            <w:tcBorders>
              <w:tl2br w:val="nil"/>
              <w:tr2bl w:val="nil"/>
            </w:tcBorders>
            <w:noWrap w:val="0"/>
            <w:vAlign w:val="center"/>
          </w:tcPr>
          <w:p w14:paraId="171670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4000</w:t>
            </w:r>
          </w:p>
        </w:tc>
        <w:tc>
          <w:tcPr>
            <w:tcW w:w="534" w:type="pct"/>
            <w:tcBorders>
              <w:tl2br w:val="nil"/>
              <w:tr2bl w:val="nil"/>
            </w:tcBorders>
            <w:noWrap w:val="0"/>
            <w:vAlign w:val="center"/>
          </w:tcPr>
          <w:p w14:paraId="3107DC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ascii="Times New Roman" w:hAnsi="Times New Roman" w:eastAsia="宋体" w:cs="宋体"/>
                <w:i w:val="0"/>
                <w:iCs w:val="0"/>
                <w:color w:val="000000" w:themeColor="text1"/>
                <w:sz w:val="21"/>
                <w:szCs w:val="28"/>
                <w:u w:val="none"/>
                <w:lang w:val="en-US" w:eastAsia="zh-CN"/>
                <w14:textFill>
                  <w14:solidFill>
                    <w14:schemeClr w14:val="tx1"/>
                  </w14:solidFill>
                </w14:textFill>
              </w:rPr>
              <w:t>25.0</w:t>
            </w:r>
          </w:p>
        </w:tc>
        <w:tc>
          <w:tcPr>
            <w:tcW w:w="530" w:type="pct"/>
            <w:tcBorders>
              <w:tl2br w:val="nil"/>
              <w:tr2bl w:val="nil"/>
            </w:tcBorders>
            <w:noWrap w:val="0"/>
            <w:vAlign w:val="center"/>
          </w:tcPr>
          <w:p w14:paraId="2AEB06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53F22D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5F694D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7FB564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Calibri"/>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O</w:t>
            </w:r>
            <w:r>
              <w:rPr>
                <w:rFonts w:hint="eastAsia" w:ascii="Times New Roman" w:hAnsi="Times New Roman" w:eastAsia="宋体" w:cs="Calibri"/>
                <w:color w:val="000000" w:themeColor="text1"/>
                <w:sz w:val="21"/>
                <w:szCs w:val="28"/>
                <w:u w:val="none"/>
                <w:vertAlign w:val="subscript"/>
                <w:lang w:val="en-US" w:eastAsia="zh-CN" w:bidi="ar"/>
                <w14:textFill>
                  <w14:solidFill>
                    <w14:schemeClr w14:val="tx1"/>
                  </w14:solidFill>
                </w14:textFill>
              </w:rPr>
              <w:t>3</w:t>
            </w:r>
          </w:p>
        </w:tc>
        <w:tc>
          <w:tcPr>
            <w:tcW w:w="1586" w:type="pct"/>
            <w:tcBorders>
              <w:tl2br w:val="nil"/>
              <w:tr2bl w:val="nil"/>
            </w:tcBorders>
            <w:noWrap w:val="0"/>
            <w:vAlign w:val="center"/>
          </w:tcPr>
          <w:p w14:paraId="7A722E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日最大8小时平均第90百分位数</w:t>
            </w:r>
          </w:p>
        </w:tc>
        <w:tc>
          <w:tcPr>
            <w:tcW w:w="649" w:type="pct"/>
            <w:tcBorders>
              <w:tl2br w:val="nil"/>
              <w:tr2bl w:val="nil"/>
            </w:tcBorders>
            <w:noWrap w:val="0"/>
            <w:vAlign w:val="center"/>
          </w:tcPr>
          <w:p w14:paraId="0E1492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1</w:t>
            </w: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40</w:t>
            </w:r>
          </w:p>
        </w:tc>
        <w:tc>
          <w:tcPr>
            <w:tcW w:w="661" w:type="pct"/>
            <w:tcBorders>
              <w:tl2br w:val="nil"/>
              <w:tr2bl w:val="nil"/>
            </w:tcBorders>
            <w:noWrap w:val="0"/>
            <w:vAlign w:val="center"/>
          </w:tcPr>
          <w:p w14:paraId="23426F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160</w:t>
            </w:r>
          </w:p>
        </w:tc>
        <w:tc>
          <w:tcPr>
            <w:tcW w:w="534" w:type="pct"/>
            <w:tcBorders>
              <w:tl2br w:val="nil"/>
              <w:tr2bl w:val="nil"/>
            </w:tcBorders>
            <w:noWrap w:val="0"/>
            <w:vAlign w:val="center"/>
          </w:tcPr>
          <w:p w14:paraId="520DAC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ascii="Times New Roman" w:hAnsi="Times New Roman" w:eastAsia="宋体" w:cs="宋体"/>
                <w:i w:val="0"/>
                <w:iCs w:val="0"/>
                <w:color w:val="000000" w:themeColor="text1"/>
                <w:sz w:val="21"/>
                <w:szCs w:val="28"/>
                <w:u w:val="none"/>
                <w:lang w:val="en-US" w:eastAsia="zh-CN"/>
                <w14:textFill>
                  <w14:solidFill>
                    <w14:schemeClr w14:val="tx1"/>
                  </w14:solidFill>
                </w14:textFill>
              </w:rPr>
              <w:t>87.5</w:t>
            </w:r>
          </w:p>
        </w:tc>
        <w:tc>
          <w:tcPr>
            <w:tcW w:w="530" w:type="pct"/>
            <w:tcBorders>
              <w:tl2br w:val="nil"/>
              <w:tr2bl w:val="nil"/>
            </w:tcBorders>
            <w:noWrap w:val="0"/>
            <w:vAlign w:val="center"/>
          </w:tcPr>
          <w:p w14:paraId="08995C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bl>
    <w:p w14:paraId="5516FC9C">
      <w:pPr>
        <w:spacing w:line="480" w:lineRule="exact"/>
        <w:ind w:firstLine="480" w:firstLineChars="200"/>
        <w:rPr>
          <w:rFonts w:hint="eastAsia"/>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2024年哈密市SO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年均浓度分别为6</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；CO 24小时第95百分位数为1000</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日最大8小时平均第90百分位数为140</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其中，PM</w:t>
      </w:r>
      <w:r>
        <w:rPr>
          <w:rFonts w:hint="eastAsia" w:cs="Times New Roman"/>
          <w:color w:val="000000" w:themeColor="text1"/>
          <w:sz w:val="24"/>
          <w:szCs w:val="22"/>
          <w:vertAlign w:val="subscript"/>
          <w:lang w:val="en-US" w:eastAsia="zh-CN"/>
          <w14:textFill>
            <w14:solidFill>
              <w14:schemeClr w14:val="tx1"/>
            </w14:solidFill>
          </w14:textFill>
        </w:rPr>
        <w:t>10</w:t>
      </w:r>
      <w:r>
        <w:rPr>
          <w:rFonts w:hint="eastAsia" w:cs="Times New Roman"/>
          <w:color w:val="000000" w:themeColor="text1"/>
          <w:sz w:val="24"/>
          <w:szCs w:val="22"/>
          <w:lang w:val="en-US" w:eastAsia="zh-CN"/>
          <w14:textFill>
            <w14:solidFill>
              <w14:schemeClr w14:val="tx1"/>
            </w14:solidFill>
          </w14:textFill>
        </w:rPr>
        <w:t>占标率为103.3%＞100%，超过</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《环境空气质量标准》（GB3095-20</w:t>
      </w:r>
      <w:r>
        <w:rPr>
          <w:rFonts w:hint="eastAsia" w:cs="Times New Roman"/>
          <w:color w:val="000000" w:themeColor="text1"/>
          <w:sz w:val="24"/>
          <w:szCs w:val="22"/>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过渡阶段</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二级</w:t>
      </w:r>
      <w:r>
        <w:rPr>
          <w:rFonts w:hint="eastAsia" w:cs="Times New Roman"/>
          <w:color w:val="000000" w:themeColor="text1"/>
          <w:sz w:val="24"/>
          <w:szCs w:val="22"/>
          <w:lang w:val="en-US" w:eastAsia="zh-CN"/>
          <w14:textFill>
            <w14:solidFill>
              <w14:schemeClr w14:val="tx1"/>
            </w14:solidFill>
          </w14:textFill>
        </w:rPr>
        <w:t>浓度</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限值</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要求</w:t>
      </w:r>
      <w:r>
        <w:rPr>
          <w:rFonts w:hint="eastAsia"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w:t>
      </w:r>
      <w:r>
        <w:rPr>
          <w:rFonts w:hint="eastAsia"/>
          <w:color w:val="000000" w:themeColor="text1"/>
          <w:sz w:val="24"/>
          <w:szCs w:val="24"/>
          <w14:textFill>
            <w14:solidFill>
              <w14:schemeClr w14:val="tx1"/>
            </w14:solidFill>
          </w14:textFill>
        </w:rPr>
        <w:t>由此判定，</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项目所在区域为</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w:t>
      </w:r>
      <w:r>
        <w:rPr>
          <w:rFonts w:hint="eastAsia" w:cs="Times New Roman"/>
          <w:color w:val="000000" w:themeColor="text1"/>
          <w:spacing w:val="-4"/>
          <w:kern w:val="2"/>
          <w:sz w:val="24"/>
          <w:szCs w:val="24"/>
          <w:lang w:val="en-US" w:eastAsia="zh-CN" w:bidi="ar-SA"/>
          <w14:textFill>
            <w14:solidFill>
              <w14:schemeClr w14:val="tx1"/>
            </w14:solidFill>
          </w14:textFill>
        </w:rPr>
        <w:t>不达标区</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w:t>
      </w:r>
    </w:p>
    <w:p w14:paraId="3ED95239">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（2）其他污染物监测结果及评价</w:t>
      </w:r>
    </w:p>
    <w:p w14:paraId="48267073">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lang w:bidi="ar"/>
          <w14:textFill>
            <w14:solidFill>
              <w14:schemeClr w14:val="tx1"/>
            </w14:solidFill>
          </w14:textFill>
        </w:rPr>
        <w:t>根据《环境影响评价技术导则 大气环境》（HJ2.2-2018），本次环评委托</w:t>
      </w:r>
      <w:r>
        <w:rPr>
          <w:rFonts w:hint="eastAsia"/>
          <w:color w:val="000000" w:themeColor="text1"/>
          <w:spacing w:val="-6"/>
          <w:sz w:val="24"/>
          <w:szCs w:val="24"/>
          <w14:textFill>
            <w14:solidFill>
              <w14:schemeClr w14:val="tx1"/>
            </w14:solidFill>
          </w14:textFill>
        </w:rPr>
        <w:t>新疆齐新环境服务有限公司</w:t>
      </w:r>
      <w:r>
        <w:rPr>
          <w:rFonts w:hint="eastAsia"/>
          <w:color w:val="000000" w:themeColor="text1"/>
          <w:sz w:val="24"/>
          <w:szCs w:val="24"/>
          <w:lang w:bidi="ar"/>
          <w14:textFill>
            <w14:solidFill>
              <w14:schemeClr w14:val="tx1"/>
            </w14:solidFill>
          </w14:textFill>
        </w:rPr>
        <w:t>对本项目区特征污染物TSP的背景值进行监测，</w:t>
      </w:r>
      <w:r>
        <w:rPr>
          <w:color w:val="000000" w:themeColor="text1"/>
          <w:sz w:val="24"/>
          <w:szCs w:val="20"/>
          <w14:textFill>
            <w14:solidFill>
              <w14:schemeClr w14:val="tx1"/>
            </w14:solidFill>
          </w14:textFill>
        </w:rPr>
        <w:t>监测时间为</w:t>
      </w:r>
      <w:r>
        <w:rPr>
          <w:rFonts w:hint="eastAsia"/>
          <w:color w:val="000000" w:themeColor="text1"/>
          <w:sz w:val="24"/>
          <w:szCs w:val="20"/>
          <w14:textFill>
            <w14:solidFill>
              <w14:schemeClr w14:val="tx1"/>
            </w14:solidFill>
          </w14:textFill>
        </w:rPr>
        <w:t>202</w:t>
      </w:r>
      <w:r>
        <w:rPr>
          <w:rFonts w:hint="eastAsia"/>
          <w:color w:val="000000" w:themeColor="text1"/>
          <w:sz w:val="24"/>
          <w:szCs w:val="20"/>
          <w:lang w:val="en-US" w:eastAsia="zh-CN"/>
          <w14:textFill>
            <w14:solidFill>
              <w14:schemeClr w14:val="tx1"/>
            </w14:solidFill>
          </w14:textFill>
        </w:rPr>
        <w:t>6</w:t>
      </w:r>
      <w:r>
        <w:rPr>
          <w:rFonts w:hint="eastAsia"/>
          <w:color w:val="000000" w:themeColor="text1"/>
          <w:sz w:val="24"/>
          <w:szCs w:val="20"/>
          <w14:textFill>
            <w14:solidFill>
              <w14:schemeClr w14:val="tx1"/>
            </w14:solidFill>
          </w14:textFill>
        </w:rPr>
        <w:t>年</w:t>
      </w:r>
      <w:r>
        <w:rPr>
          <w:rFonts w:hint="eastAsia"/>
          <w:color w:val="000000" w:themeColor="text1"/>
          <w:sz w:val="24"/>
          <w:szCs w:val="20"/>
          <w:lang w:val="en-US" w:eastAsia="zh-CN"/>
          <w14:textFill>
            <w14:solidFill>
              <w14:schemeClr w14:val="tx1"/>
            </w14:solidFill>
          </w14:textFill>
        </w:rPr>
        <w:t>2</w:t>
      </w:r>
      <w:r>
        <w:rPr>
          <w:rFonts w:hint="eastAsia"/>
          <w:color w:val="000000" w:themeColor="text1"/>
          <w:sz w:val="24"/>
          <w:szCs w:val="20"/>
          <w14:textFill>
            <w14:solidFill>
              <w14:schemeClr w14:val="tx1"/>
            </w14:solidFill>
          </w14:textFill>
        </w:rPr>
        <w:t>月</w:t>
      </w:r>
      <w:r>
        <w:rPr>
          <w:rFonts w:hint="eastAsia"/>
          <w:color w:val="000000" w:themeColor="text1"/>
          <w:sz w:val="24"/>
          <w:szCs w:val="20"/>
          <w:lang w:val="en-US" w:eastAsia="zh-CN"/>
          <w14:textFill>
            <w14:solidFill>
              <w14:schemeClr w14:val="tx1"/>
            </w14:solidFill>
          </w14:textFill>
        </w:rPr>
        <w:t>28</w:t>
      </w:r>
      <w:r>
        <w:rPr>
          <w:rFonts w:hint="eastAsia"/>
          <w:color w:val="000000" w:themeColor="text1"/>
          <w:sz w:val="24"/>
          <w:szCs w:val="20"/>
          <w14:textFill>
            <w14:solidFill>
              <w14:schemeClr w14:val="tx1"/>
            </w14:solidFill>
          </w14:textFill>
        </w:rPr>
        <w:t>日</w:t>
      </w:r>
      <w:r>
        <w:rPr>
          <w:rFonts w:hint="eastAsia"/>
          <w:color w:val="000000" w:themeColor="text1"/>
          <w:sz w:val="24"/>
          <w:szCs w:val="20"/>
          <w:lang w:eastAsia="zh-CN"/>
          <w14:textFill>
            <w14:solidFill>
              <w14:schemeClr w14:val="tx1"/>
            </w14:solidFill>
          </w14:textFill>
        </w:rPr>
        <w:t>至</w:t>
      </w:r>
      <w:r>
        <w:rPr>
          <w:rFonts w:hint="eastAsia"/>
          <w:color w:val="000000" w:themeColor="text1"/>
          <w:sz w:val="24"/>
          <w:szCs w:val="20"/>
          <w:lang w:val="en-US" w:eastAsia="zh-CN"/>
          <w14:textFill>
            <w14:solidFill>
              <w14:schemeClr w14:val="tx1"/>
            </w14:solidFill>
          </w14:textFill>
        </w:rPr>
        <w:t>3月7</w:t>
      </w:r>
      <w:r>
        <w:rPr>
          <w:rFonts w:hint="eastAsia"/>
          <w:color w:val="000000" w:themeColor="text1"/>
          <w:sz w:val="24"/>
          <w:szCs w:val="20"/>
          <w14:textFill>
            <w14:solidFill>
              <w14:schemeClr w14:val="tx1"/>
            </w14:solidFill>
          </w14:textFill>
        </w:rPr>
        <w:t>日，监测及评价结果见表4.2-2。</w:t>
      </w:r>
    </w:p>
    <w:p w14:paraId="744A5396">
      <w:pPr>
        <w:spacing w:line="480" w:lineRule="exact"/>
        <w:jc w:val="center"/>
        <w:rPr>
          <w:b/>
          <w:color w:val="000000" w:themeColor="text1"/>
          <w:kern w:val="0"/>
          <w:sz w:val="24"/>
          <w:szCs w:val="24"/>
          <w:lang w:bidi="ar"/>
          <w14:textFill>
            <w14:solidFill>
              <w14:schemeClr w14:val="tx1"/>
            </w14:solidFill>
          </w14:textFill>
        </w:rPr>
      </w:pPr>
      <w:r>
        <w:rPr>
          <w:rFonts w:hint="eastAsia"/>
          <w:b/>
          <w:color w:val="000000" w:themeColor="text1"/>
          <w:kern w:val="0"/>
          <w:sz w:val="24"/>
          <w:szCs w:val="24"/>
          <w:lang w:bidi="ar"/>
          <w14:textFill>
            <w14:solidFill>
              <w14:schemeClr w14:val="tx1"/>
            </w14:solidFill>
          </w14:textFill>
        </w:rPr>
        <w:t>表4.2-2    污染物TSP监测及评价结果</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44"/>
        <w:gridCol w:w="2279"/>
        <w:gridCol w:w="2158"/>
        <w:gridCol w:w="1841"/>
      </w:tblGrid>
      <w:tr w14:paraId="45A01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6" w:type="pct"/>
            <w:vMerge w:val="restart"/>
            <w:noWrap w:val="0"/>
            <w:vAlign w:val="center"/>
          </w:tcPr>
          <w:p w14:paraId="65BA0B87">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监测点位</w:t>
            </w:r>
          </w:p>
        </w:tc>
        <w:tc>
          <w:tcPr>
            <w:tcW w:w="3683" w:type="pct"/>
            <w:gridSpan w:val="3"/>
            <w:noWrap w:val="0"/>
            <w:vAlign w:val="center"/>
          </w:tcPr>
          <w:p w14:paraId="3471A19A">
            <w:pPr>
              <w:pStyle w:val="428"/>
              <w:keepNext w:val="0"/>
              <w:keepLines w:val="0"/>
              <w:suppressLineNumbers w:val="0"/>
              <w:spacing w:before="0" w:beforeAutospacing="0" w:after="0" w:afterAutospacing="0" w:line="360" w:lineRule="exact"/>
              <w:ind w:left="0" w:right="0" w:firstLine="0"/>
              <w:rPr>
                <w:rFonts w:hint="default"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eastAsia="zh-CN"/>
                <w14:textFill>
                  <w14:solidFill>
                    <w14:schemeClr w14:val="tx1"/>
                  </w14:solidFill>
                </w14:textFill>
              </w:rPr>
              <w:t>日</w:t>
            </w:r>
            <w:r>
              <w:rPr>
                <w:rFonts w:hint="eastAsia" w:ascii="Times New Roman" w:hAnsi="Times New Roman" w:eastAsia="宋体" w:cs="Times New Roman"/>
                <w:color w:val="000000" w:themeColor="text1"/>
                <w:sz w:val="21"/>
                <w14:textFill>
                  <w14:solidFill>
                    <w14:schemeClr w14:val="tx1"/>
                  </w14:solidFill>
                </w14:textFill>
              </w:rPr>
              <w:t>平均</w:t>
            </w:r>
          </w:p>
        </w:tc>
      </w:tr>
      <w:tr w14:paraId="0DBD2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6" w:type="pct"/>
            <w:vMerge w:val="continue"/>
            <w:noWrap w:val="0"/>
            <w:vAlign w:val="center"/>
          </w:tcPr>
          <w:p w14:paraId="4DDB1217">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cs="Times New Roman"/>
                <w:b/>
                <w:color w:val="000000" w:themeColor="text1"/>
                <w:kern w:val="0"/>
                <w:szCs w:val="21"/>
                <w:lang w:bidi="ar"/>
                <w14:textFill>
                  <w14:solidFill>
                    <w14:schemeClr w14:val="tx1"/>
                  </w14:solidFill>
                </w14:textFill>
              </w:rPr>
            </w:pPr>
          </w:p>
        </w:tc>
        <w:tc>
          <w:tcPr>
            <w:tcW w:w="1337" w:type="pct"/>
            <w:noWrap w:val="0"/>
            <w:vAlign w:val="center"/>
          </w:tcPr>
          <w:p w14:paraId="51D8BEF9">
            <w:pPr>
              <w:pStyle w:val="428"/>
              <w:keepNext w:val="0"/>
              <w:keepLines w:val="0"/>
              <w:suppressLineNumbers w:val="0"/>
              <w:spacing w:before="0" w:beforeAutospacing="0" w:after="0" w:afterAutospacing="0" w:line="360" w:lineRule="exact"/>
              <w:ind w:left="0" w:right="0" w:firstLine="0"/>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浓度范围</w:t>
            </w:r>
            <w:r>
              <w:rPr>
                <w:rFonts w:hint="default" w:ascii="Times New Roman" w:hAnsi="Times New Roman" w:eastAsia="宋体" w:cs="Times New Roman"/>
                <w:color w:val="000000" w:themeColor="text1"/>
                <w:sz w:val="21"/>
                <w14:textFill>
                  <w14:solidFill>
                    <w14:schemeClr w14:val="tx1"/>
                  </w14:solidFill>
                </w14:textFill>
              </w:rPr>
              <w:t>（mg/m</w:t>
            </w:r>
            <w:r>
              <w:rPr>
                <w:rFonts w:hint="default" w:ascii="Times New Roman" w:hAnsi="Times New Roman" w:eastAsia="宋体" w:cs="Times New Roman"/>
                <w:color w:val="000000" w:themeColor="text1"/>
                <w:sz w:val="21"/>
                <w:vertAlign w:val="super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w:t>
            </w:r>
          </w:p>
        </w:tc>
        <w:tc>
          <w:tcPr>
            <w:tcW w:w="1266" w:type="pct"/>
            <w:noWrap w:val="0"/>
            <w:vAlign w:val="center"/>
          </w:tcPr>
          <w:p w14:paraId="2A2B42BA">
            <w:pPr>
              <w:pStyle w:val="428"/>
              <w:keepNext w:val="0"/>
              <w:keepLines w:val="0"/>
              <w:suppressLineNumbers w:val="0"/>
              <w:spacing w:before="0" w:beforeAutospacing="0" w:after="0" w:afterAutospacing="0" w:line="360" w:lineRule="exact"/>
              <w:ind w:left="0" w:right="0" w:firstLine="0"/>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最大占标率（%）</w:t>
            </w:r>
          </w:p>
        </w:tc>
        <w:tc>
          <w:tcPr>
            <w:tcW w:w="1080" w:type="pct"/>
            <w:noWrap w:val="0"/>
            <w:vAlign w:val="center"/>
          </w:tcPr>
          <w:p w14:paraId="3A893D04">
            <w:pPr>
              <w:pStyle w:val="428"/>
              <w:keepNext w:val="0"/>
              <w:keepLines w:val="0"/>
              <w:suppressLineNumbers w:val="0"/>
              <w:spacing w:before="0" w:beforeAutospacing="0" w:after="0" w:afterAutospacing="0" w:line="360" w:lineRule="exact"/>
              <w:ind w:left="0" w:right="0" w:firstLine="0"/>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超标率（%）</w:t>
            </w:r>
          </w:p>
        </w:tc>
      </w:tr>
      <w:tr w14:paraId="65612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6" w:type="pct"/>
            <w:noWrap w:val="0"/>
            <w:vAlign w:val="center"/>
          </w:tcPr>
          <w:p w14:paraId="71AB3D7B">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eastAsia" w:ascii="Times New Roman" w:hAnsi="Times New Roman" w:cs="Times New Roman"/>
                <w:bCs/>
                <w:color w:val="000000" w:themeColor="text1"/>
                <w:kern w:val="0"/>
                <w:szCs w:val="21"/>
                <w:lang w:bidi="ar"/>
                <w14:textFill>
                  <w14:solidFill>
                    <w14:schemeClr w14:val="tx1"/>
                  </w14:solidFill>
                </w14:textFill>
              </w:rPr>
              <w:t>项目区下风向</w:t>
            </w:r>
          </w:p>
        </w:tc>
        <w:tc>
          <w:tcPr>
            <w:tcW w:w="1337" w:type="pct"/>
            <w:noWrap w:val="0"/>
            <w:vAlign w:val="center"/>
          </w:tcPr>
          <w:p w14:paraId="024C1647">
            <w:pPr>
              <w:pStyle w:val="428"/>
              <w:keepNext w:val="0"/>
              <w:keepLines w:val="0"/>
              <w:suppressLineNumbers w:val="0"/>
              <w:spacing w:before="0" w:beforeAutospacing="0" w:after="0" w:afterAutospacing="0" w:line="360" w:lineRule="exact"/>
              <w:ind w:left="0" w:right="0" w:firstLine="0"/>
              <w:rPr>
                <w:rFonts w:hint="default" w:ascii="Times New Roman" w:hAnsi="Times New Roman" w:eastAsia="宋体" w:cs="Times New Roman"/>
                <w:b w:val="0"/>
                <w:bCs/>
                <w:color w:val="000000" w:themeColor="text1"/>
                <w:sz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lang w:val="en-US" w:eastAsia="zh-CN"/>
                <w14:textFill>
                  <w14:solidFill>
                    <w14:schemeClr w14:val="tx1"/>
                  </w14:solidFill>
                </w14:textFill>
              </w:rPr>
              <w:t>0.176~0.184</w:t>
            </w:r>
          </w:p>
        </w:tc>
        <w:tc>
          <w:tcPr>
            <w:tcW w:w="1266" w:type="pct"/>
            <w:noWrap w:val="0"/>
            <w:vAlign w:val="center"/>
          </w:tcPr>
          <w:p w14:paraId="6C2303EA">
            <w:pPr>
              <w:pStyle w:val="428"/>
              <w:keepNext w:val="0"/>
              <w:keepLines w:val="0"/>
              <w:suppressLineNumbers w:val="0"/>
              <w:spacing w:before="0" w:beforeAutospacing="0" w:after="0" w:afterAutospacing="0" w:line="360" w:lineRule="exact"/>
              <w:ind w:left="0" w:right="0" w:firstLine="0"/>
              <w:rPr>
                <w:rFonts w:hint="eastAsia" w:ascii="Times New Roman" w:hAnsi="Times New Roman" w:eastAsia="宋体" w:cs="Times New Roman"/>
                <w:b w:val="0"/>
                <w:bCs/>
                <w:color w:val="000000" w:themeColor="text1"/>
                <w:sz w:val="21"/>
                <w14:textFill>
                  <w14:solidFill>
                    <w14:schemeClr w14:val="tx1"/>
                  </w14:solidFill>
                </w14:textFill>
              </w:rPr>
            </w:pPr>
            <w:r>
              <w:rPr>
                <w:rFonts w:hint="eastAsia" w:ascii="Times New Roman" w:hAnsi="Times New Roman" w:eastAsia="宋体" w:cs="Times New Roman"/>
                <w:b w:val="0"/>
                <w:bCs/>
                <w:color w:val="000000" w:themeColor="text1"/>
                <w:sz w:val="21"/>
                <w:lang w:val="en-US" w:eastAsia="zh-CN"/>
                <w14:textFill>
                  <w14:solidFill>
                    <w14:schemeClr w14:val="tx1"/>
                  </w14:solidFill>
                </w14:textFill>
              </w:rPr>
              <w:t>61.3</w:t>
            </w:r>
            <w:r>
              <w:rPr>
                <w:rFonts w:hint="eastAsia" w:ascii="Times New Roman" w:hAnsi="Times New Roman" w:eastAsia="宋体" w:cs="Times New Roman"/>
                <w:b w:val="0"/>
                <w:bCs/>
                <w:color w:val="000000" w:themeColor="text1"/>
                <w:sz w:val="21"/>
                <w14:textFill>
                  <w14:solidFill>
                    <w14:schemeClr w14:val="tx1"/>
                  </w14:solidFill>
                </w14:textFill>
              </w:rPr>
              <w:t>%</w:t>
            </w:r>
          </w:p>
        </w:tc>
        <w:tc>
          <w:tcPr>
            <w:tcW w:w="1080" w:type="pct"/>
            <w:noWrap w:val="0"/>
            <w:vAlign w:val="center"/>
          </w:tcPr>
          <w:p w14:paraId="198E9FED">
            <w:pPr>
              <w:pStyle w:val="428"/>
              <w:keepNext w:val="0"/>
              <w:keepLines w:val="0"/>
              <w:suppressLineNumbers w:val="0"/>
              <w:spacing w:before="0" w:beforeAutospacing="0" w:after="0" w:afterAutospacing="0" w:line="360" w:lineRule="exact"/>
              <w:ind w:left="0" w:right="0" w:firstLine="0"/>
              <w:rPr>
                <w:rFonts w:hint="eastAsia" w:ascii="Times New Roman" w:hAnsi="Times New Roman" w:eastAsia="宋体" w:cs="Times New Roman"/>
                <w:b w:val="0"/>
                <w:bCs/>
                <w:color w:val="000000" w:themeColor="text1"/>
                <w:sz w:val="21"/>
                <w14:textFill>
                  <w14:solidFill>
                    <w14:schemeClr w14:val="tx1"/>
                  </w14:solidFill>
                </w14:textFill>
              </w:rPr>
            </w:pPr>
            <w:r>
              <w:rPr>
                <w:rFonts w:hint="eastAsia" w:ascii="Times New Roman" w:hAnsi="Times New Roman" w:eastAsia="宋体" w:cs="Times New Roman"/>
                <w:b w:val="0"/>
                <w:bCs/>
                <w:color w:val="000000" w:themeColor="text1"/>
                <w:sz w:val="21"/>
                <w14:textFill>
                  <w14:solidFill>
                    <w14:schemeClr w14:val="tx1"/>
                  </w14:solidFill>
                </w14:textFill>
              </w:rPr>
              <w:t>0</w:t>
            </w:r>
          </w:p>
        </w:tc>
      </w:tr>
      <w:tr w14:paraId="1A37B6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6" w:type="pct"/>
            <w:noWrap w:val="0"/>
            <w:vAlign w:val="center"/>
          </w:tcPr>
          <w:p w14:paraId="54CE8412">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cs="Times New Roman"/>
                <w:bCs/>
                <w:color w:val="000000" w:themeColor="text1"/>
                <w:kern w:val="0"/>
                <w:szCs w:val="21"/>
                <w:lang w:bidi="ar"/>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备注</w:t>
            </w:r>
          </w:p>
        </w:tc>
        <w:tc>
          <w:tcPr>
            <w:tcW w:w="3683" w:type="pct"/>
            <w:gridSpan w:val="3"/>
            <w:noWrap w:val="0"/>
            <w:vAlign w:val="center"/>
          </w:tcPr>
          <w:p w14:paraId="38D6C9C0">
            <w:pPr>
              <w:pStyle w:val="428"/>
              <w:keepNext w:val="0"/>
              <w:keepLines w:val="0"/>
              <w:suppressLineNumbers w:val="0"/>
              <w:spacing w:before="0" w:beforeAutospacing="0" w:after="0" w:afterAutospacing="0" w:line="360" w:lineRule="exact"/>
              <w:ind w:left="0" w:right="0" w:firstLine="0"/>
              <w:rPr>
                <w:rFonts w:hint="eastAsia" w:ascii="Times New Roman" w:hAnsi="Times New Roman" w:eastAsia="宋体" w:cs="Times New Roman"/>
                <w:b w:val="0"/>
                <w:bCs/>
                <w:color w:val="000000" w:themeColor="text1"/>
                <w:sz w:val="21"/>
                <w:lang w:eastAsia="zh-CN"/>
                <w14:textFill>
                  <w14:solidFill>
                    <w14:schemeClr w14:val="tx1"/>
                  </w14:solidFill>
                </w14:textFill>
              </w:rPr>
            </w:pPr>
            <w:r>
              <w:rPr>
                <w:rFonts w:hint="eastAsia" w:ascii="Times New Roman" w:hAnsi="Times New Roman" w:eastAsia="宋体" w:cs="Times New Roman"/>
                <w:b w:val="0"/>
                <w:bCs/>
                <w:color w:val="000000" w:themeColor="text1"/>
                <w:sz w:val="21"/>
                <w:lang w:eastAsia="zh-CN"/>
                <w14:textFill>
                  <w14:solidFill>
                    <w14:schemeClr w14:val="tx1"/>
                  </w14:solidFill>
                </w14:textFill>
              </w:rPr>
              <w:t>监测点位坐标：</w:t>
            </w:r>
            <w:r>
              <w:rPr>
                <w:rFonts w:hint="default" w:ascii="Times New Roman" w:hAnsi="Times New Roman" w:eastAsia="宋体" w:cs="Times New Roman"/>
                <w:b w:val="0"/>
                <w:bCs/>
                <w:color w:val="000000" w:themeColor="text1"/>
                <w:sz w:val="21"/>
                <w:lang w:eastAsia="zh-CN"/>
                <w14:textFill>
                  <w14:solidFill>
                    <w14:schemeClr w14:val="tx1"/>
                  </w14:solidFill>
                </w14:textFill>
              </w:rPr>
              <w:t>E********</w:t>
            </w:r>
            <w:r>
              <w:rPr>
                <w:rFonts w:hint="eastAsia" w:ascii="Times New Roman" w:hAnsi="Times New Roman" w:eastAsia="宋体" w:cs="Times New Roman"/>
                <w:b w:val="0"/>
                <w:bCs/>
                <w:color w:val="000000" w:themeColor="text1"/>
                <w:sz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lang w:eastAsia="zh-CN"/>
                <w14:textFill>
                  <w14:solidFill>
                    <w14:schemeClr w14:val="tx1"/>
                  </w14:solidFill>
                </w14:textFill>
              </w:rPr>
              <w:t>N********</w:t>
            </w:r>
          </w:p>
        </w:tc>
      </w:tr>
    </w:tbl>
    <w:p w14:paraId="5157FC47">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lang w:bidi="ar"/>
          <w14:textFill>
            <w14:solidFill>
              <w14:schemeClr w14:val="tx1"/>
            </w14:solidFill>
          </w14:textFill>
        </w:rPr>
        <w:t>监测结果表明，评价区域环境空气中污染物TSP浓度满足</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《环境空气质量标准》（GB3095-20</w:t>
      </w:r>
      <w:r>
        <w:rPr>
          <w:rFonts w:hint="eastAsia" w:cs="Times New Roman"/>
          <w:color w:val="000000" w:themeColor="text1"/>
          <w:sz w:val="24"/>
          <w:szCs w:val="22"/>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olor w:val="000000" w:themeColor="text1"/>
          <w:sz w:val="24"/>
          <w:szCs w:val="24"/>
          <w:lang w:bidi="ar"/>
          <w14:textFill>
            <w14:solidFill>
              <w14:schemeClr w14:val="tx1"/>
            </w14:solidFill>
          </w14:textFill>
        </w:rPr>
        <w:t>二级标准浓度限值（0.30mg/m</w:t>
      </w:r>
      <w:r>
        <w:rPr>
          <w:rFonts w:hint="eastAsia"/>
          <w:color w:val="000000" w:themeColor="text1"/>
          <w:sz w:val="24"/>
          <w:szCs w:val="24"/>
          <w:vertAlign w:val="superscript"/>
          <w:lang w:bidi="ar"/>
          <w14:textFill>
            <w14:solidFill>
              <w14:schemeClr w14:val="tx1"/>
            </w14:solidFill>
          </w14:textFill>
        </w:rPr>
        <w:t>3</w:t>
      </w:r>
      <w:r>
        <w:rPr>
          <w:rFonts w:hint="eastAsia"/>
          <w:color w:val="000000" w:themeColor="text1"/>
          <w:sz w:val="24"/>
          <w:szCs w:val="24"/>
          <w:lang w:bidi="ar"/>
          <w14:textFill>
            <w14:solidFill>
              <w14:schemeClr w14:val="tx1"/>
            </w14:solidFill>
          </w14:textFill>
        </w:rPr>
        <w:t>）要求。</w:t>
      </w:r>
    </w:p>
    <w:p w14:paraId="343ECEC5">
      <w:pPr>
        <w:pStyle w:val="4"/>
        <w:spacing w:before="60" w:after="60" w:line="480" w:lineRule="exact"/>
        <w:rPr>
          <w:color w:val="000000" w:themeColor="text1"/>
          <w:kern w:val="2"/>
          <w14:textFill>
            <w14:solidFill>
              <w14:schemeClr w14:val="tx1"/>
            </w14:solidFill>
          </w14:textFill>
        </w:rPr>
      </w:pPr>
      <w:bookmarkStart w:id="375" w:name="_Toc25849"/>
      <w:r>
        <w:rPr>
          <w:color w:val="000000" w:themeColor="text1"/>
          <w:kern w:val="2"/>
          <w14:textFill>
            <w14:solidFill>
              <w14:schemeClr w14:val="tx1"/>
            </w14:solidFill>
          </w14:textFill>
        </w:rPr>
        <w:t>4.2.</w:t>
      </w:r>
      <w:r>
        <w:rPr>
          <w:rFonts w:hint="eastAsia"/>
          <w:color w:val="000000" w:themeColor="text1"/>
          <w:kern w:val="2"/>
          <w14:textFill>
            <w14:solidFill>
              <w14:schemeClr w14:val="tx1"/>
            </w14:solidFill>
          </w14:textFill>
        </w:rPr>
        <w:t>2地表水环境质量现状调查与评价</w:t>
      </w:r>
      <w:bookmarkEnd w:id="375"/>
    </w:p>
    <w:p w14:paraId="4EFCEB44">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矿区及附近地区地表水体不发育，无常年性流水，仅在6～8月份雨季暴雨时期在地表形成暂时性水流在低洼地汇集蒸发，矿区内沟谷不发育。距项目区最近的地表水体库如克郭勒河约153.8km，区域水系图见图2.4-1。</w:t>
      </w:r>
    </w:p>
    <w:p w14:paraId="5B78AAE2">
      <w:pPr>
        <w:pStyle w:val="4"/>
        <w:spacing w:before="60" w:after="60" w:line="480" w:lineRule="exact"/>
        <w:rPr>
          <w:rFonts w:hint="eastAsia"/>
          <w:color w:val="000000" w:themeColor="text1"/>
          <w:kern w:val="2"/>
          <w14:textFill>
            <w14:solidFill>
              <w14:schemeClr w14:val="tx1"/>
            </w14:solidFill>
          </w14:textFill>
        </w:rPr>
      </w:pPr>
      <w:bookmarkStart w:id="376" w:name="_Toc817088348"/>
      <w:bookmarkStart w:id="377" w:name="_Toc8329"/>
      <w:bookmarkStart w:id="378" w:name="_Toc11249"/>
      <w:bookmarkStart w:id="379" w:name="_Toc31442"/>
      <w:r>
        <w:rPr>
          <w:rFonts w:hint="eastAsia"/>
          <w:color w:val="000000" w:themeColor="text1"/>
          <w:kern w:val="2"/>
          <w14:textFill>
            <w14:solidFill>
              <w14:schemeClr w14:val="tx1"/>
            </w14:solidFill>
          </w14:textFill>
        </w:rPr>
        <w:t>4.2.3地下水环境质量现状调查与评价</w:t>
      </w:r>
      <w:bookmarkEnd w:id="376"/>
      <w:bookmarkEnd w:id="377"/>
      <w:bookmarkEnd w:id="378"/>
      <w:bookmarkEnd w:id="379"/>
    </w:p>
    <w:p w14:paraId="3F8BE8A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4.2.3.1监测点位</w:t>
      </w:r>
    </w:p>
    <w:p w14:paraId="5BE2AB78">
      <w:pPr>
        <w:spacing w:line="480" w:lineRule="exact"/>
        <w:ind w:firstLine="456" w:firstLineChars="200"/>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建设单位在</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项目区周边</w:t>
      </w:r>
      <w:r>
        <w:rPr>
          <w:rFonts w:hint="eastAsia" w:ascii="Times New Roman" w:hAnsi="Times New Roman" w:eastAsia="宋体" w:cs="Times New Roman"/>
          <w:color w:val="000000" w:themeColor="text1"/>
          <w:spacing w:val="-6"/>
          <w:sz w:val="24"/>
          <w:szCs w:val="24"/>
          <w14:textFill>
            <w14:solidFill>
              <w14:schemeClr w14:val="tx1"/>
            </w14:solidFill>
          </w14:textFill>
        </w:rPr>
        <w:t>地下水监测点位布置详见表4.2-3、图4.2-1。</w:t>
      </w:r>
    </w:p>
    <w:p w14:paraId="62E6B316">
      <w:pPr>
        <w:pStyle w:val="475"/>
        <w:spacing w:beforeLines="0" w:afterLines="0" w:line="480" w:lineRule="exact"/>
        <w:ind w:firstLine="0" w:firstLineChars="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表4.2-</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zh-CN"/>
          <w14:textFill>
            <w14:solidFill>
              <w14:schemeClr w14:val="tx1"/>
            </w14:solidFill>
          </w14:textFill>
        </w:rPr>
        <w:t xml:space="preserve">    地下水监测点位情况表</w:t>
      </w:r>
    </w:p>
    <w:tbl>
      <w:tblPr>
        <w:tblStyle w:val="8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489"/>
        <w:gridCol w:w="1448"/>
        <w:gridCol w:w="1786"/>
        <w:gridCol w:w="1719"/>
        <w:gridCol w:w="904"/>
      </w:tblGrid>
      <w:tr w14:paraId="44631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67775696">
            <w:pPr>
              <w:keepNext w:val="0"/>
              <w:keepLines w:val="0"/>
              <w:suppressLineNumbers w:val="0"/>
              <w:tabs>
                <w:tab w:val="left" w:pos="1080"/>
                <w:tab w:val="left" w:pos="6090"/>
              </w:tabs>
              <w:overflowPunct w:val="0"/>
              <w:topLinePunct/>
              <w:snapToGrid w:val="0"/>
              <w:spacing w:before="0" w:beforeAutospacing="0" w:after="0" w:afterAutospacing="0" w:line="360" w:lineRule="exact"/>
              <w:ind w:left="0" w:leftChars="0" w:right="-105" w:rightChars="-50" w:firstLine="0" w:firstLineChars="0"/>
              <w:jc w:val="center"/>
              <w:rPr>
                <w:rFonts w:hint="default" w:ascii="Times New Roman" w:hAnsi="Times New Roman" w:eastAsia="宋体" w:cs="Times New Roman"/>
                <w:b/>
                <w:color w:val="auto"/>
                <w:sz w:val="21"/>
                <w:highlight w:val="none"/>
                <w:lang w:eastAsia="zh-CN"/>
              </w:rPr>
            </w:pPr>
            <w:r>
              <w:rPr>
                <w:rFonts w:hint="default" w:ascii="Times New Roman" w:hAnsi="Times New Roman" w:cs="Times New Roman"/>
                <w:b/>
                <w:color w:val="auto"/>
                <w:sz w:val="21"/>
                <w:highlight w:val="none"/>
              </w:rPr>
              <w:t>点位</w:t>
            </w:r>
            <w:r>
              <w:rPr>
                <w:rFonts w:hint="default" w:ascii="Times New Roman" w:hAnsi="Times New Roman" w:cs="Times New Roman"/>
                <w:b/>
                <w:color w:val="auto"/>
                <w:sz w:val="21"/>
                <w:highlight w:val="none"/>
                <w:lang w:eastAsia="zh-CN"/>
              </w:rPr>
              <w:t>序号</w:t>
            </w:r>
          </w:p>
        </w:tc>
        <w:tc>
          <w:tcPr>
            <w:tcW w:w="873" w:type="pct"/>
            <w:tcBorders>
              <w:tl2br w:val="nil"/>
              <w:tr2bl w:val="nil"/>
            </w:tcBorders>
            <w:vAlign w:val="center"/>
          </w:tcPr>
          <w:p w14:paraId="1A5C365A">
            <w:pPr>
              <w:keepNext w:val="0"/>
              <w:keepLines w:val="0"/>
              <w:suppressLineNumbers w:val="0"/>
              <w:tabs>
                <w:tab w:val="left" w:pos="1080"/>
                <w:tab w:val="left" w:pos="6090"/>
              </w:tabs>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经度</w:t>
            </w:r>
          </w:p>
        </w:tc>
        <w:tc>
          <w:tcPr>
            <w:tcW w:w="849" w:type="pct"/>
            <w:tcBorders>
              <w:tl2br w:val="nil"/>
              <w:tr2bl w:val="nil"/>
            </w:tcBorders>
            <w:vAlign w:val="center"/>
          </w:tcPr>
          <w:p w14:paraId="5B7C5333">
            <w:pPr>
              <w:keepNext w:val="0"/>
              <w:keepLines w:val="0"/>
              <w:suppressLineNumbers w:val="0"/>
              <w:tabs>
                <w:tab w:val="left" w:pos="1080"/>
                <w:tab w:val="left" w:pos="6090"/>
              </w:tabs>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纬度</w:t>
            </w:r>
          </w:p>
        </w:tc>
        <w:tc>
          <w:tcPr>
            <w:tcW w:w="1047" w:type="pct"/>
            <w:tcBorders>
              <w:tl2br w:val="nil"/>
              <w:tr2bl w:val="nil"/>
            </w:tcBorders>
            <w:vAlign w:val="center"/>
          </w:tcPr>
          <w:p w14:paraId="15D15448">
            <w:pPr>
              <w:keepNext w:val="0"/>
              <w:keepLines w:val="0"/>
              <w:suppressLineNumbers w:val="0"/>
              <w:tabs>
                <w:tab w:val="left" w:pos="1080"/>
                <w:tab w:val="left" w:pos="6090"/>
              </w:tabs>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highlight w:val="none"/>
              </w:rPr>
            </w:pPr>
            <w:r>
              <w:rPr>
                <w:rFonts w:hint="eastAsia" w:ascii="Times New Roman" w:hAnsi="Times New Roman" w:cs="Times New Roman"/>
                <w:b/>
                <w:color w:val="auto"/>
                <w:sz w:val="21"/>
                <w:highlight w:val="none"/>
                <w:lang w:val="en-US" w:eastAsia="zh-CN"/>
              </w:rPr>
              <w:t>井深</w:t>
            </w:r>
            <w:r>
              <w:rPr>
                <w:rFonts w:hint="default" w:ascii="Times New Roman" w:hAnsi="Times New Roman" w:cs="Times New Roman"/>
                <w:b/>
                <w:color w:val="auto"/>
                <w:sz w:val="21"/>
                <w:highlight w:val="none"/>
              </w:rPr>
              <w:t>（m）</w:t>
            </w:r>
          </w:p>
        </w:tc>
        <w:tc>
          <w:tcPr>
            <w:tcW w:w="1008" w:type="pct"/>
            <w:tcBorders>
              <w:tl2br w:val="nil"/>
              <w:tr2bl w:val="nil"/>
            </w:tcBorders>
            <w:vAlign w:val="center"/>
          </w:tcPr>
          <w:p w14:paraId="124EDEB4">
            <w:pPr>
              <w:keepNext w:val="0"/>
              <w:keepLines w:val="0"/>
              <w:suppressLineNumbers w:val="0"/>
              <w:tabs>
                <w:tab w:val="left" w:pos="1080"/>
                <w:tab w:val="left" w:pos="6090"/>
              </w:tabs>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b/>
                <w:color w:val="auto"/>
                <w:sz w:val="21"/>
                <w:highlight w:val="none"/>
                <w:lang w:eastAsia="zh-CN"/>
              </w:rPr>
            </w:pPr>
            <w:r>
              <w:rPr>
                <w:rFonts w:hint="default" w:ascii="Times New Roman" w:hAnsi="Times New Roman" w:cs="Times New Roman"/>
                <w:b/>
                <w:color w:val="auto"/>
                <w:sz w:val="21"/>
                <w:highlight w:val="none"/>
                <w:lang w:eastAsia="zh-CN"/>
              </w:rPr>
              <w:t>水位埋深（</w:t>
            </w:r>
            <w:r>
              <w:rPr>
                <w:rFonts w:hint="default" w:ascii="Times New Roman" w:hAnsi="Times New Roman" w:cs="Times New Roman"/>
                <w:b/>
                <w:color w:val="auto"/>
                <w:sz w:val="21"/>
                <w:highlight w:val="none"/>
                <w:lang w:val="en-US" w:eastAsia="zh-CN"/>
              </w:rPr>
              <w:t>m</w:t>
            </w:r>
            <w:r>
              <w:rPr>
                <w:rFonts w:hint="default" w:ascii="Times New Roman" w:hAnsi="Times New Roman" w:cs="Times New Roman"/>
                <w:b/>
                <w:color w:val="auto"/>
                <w:sz w:val="21"/>
                <w:highlight w:val="none"/>
                <w:lang w:eastAsia="zh-CN"/>
              </w:rPr>
              <w:t>）</w:t>
            </w:r>
          </w:p>
        </w:tc>
        <w:tc>
          <w:tcPr>
            <w:tcW w:w="530" w:type="pct"/>
            <w:tcBorders>
              <w:tl2br w:val="nil"/>
              <w:tr2bl w:val="nil"/>
            </w:tcBorders>
            <w:vAlign w:val="center"/>
          </w:tcPr>
          <w:p w14:paraId="45CB729A">
            <w:pPr>
              <w:keepNext w:val="0"/>
              <w:keepLines w:val="0"/>
              <w:suppressLineNumbers w:val="0"/>
              <w:tabs>
                <w:tab w:val="left" w:pos="1080"/>
                <w:tab w:val="left" w:pos="6090"/>
              </w:tabs>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井结构</w:t>
            </w:r>
          </w:p>
        </w:tc>
      </w:tr>
      <w:tr w14:paraId="0D851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1C2E41EE">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73" w:type="pct"/>
            <w:tcBorders>
              <w:tl2br w:val="nil"/>
              <w:tr2bl w:val="nil"/>
            </w:tcBorders>
            <w:vAlign w:val="center"/>
          </w:tcPr>
          <w:p w14:paraId="7852CF70">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93°55′45.39″</w:t>
            </w:r>
          </w:p>
        </w:tc>
        <w:tc>
          <w:tcPr>
            <w:tcW w:w="849" w:type="pct"/>
            <w:tcBorders>
              <w:tl2br w:val="nil"/>
              <w:tr2bl w:val="nil"/>
            </w:tcBorders>
            <w:vAlign w:val="center"/>
          </w:tcPr>
          <w:p w14:paraId="02090289">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41°12′54.34″</w:t>
            </w:r>
          </w:p>
        </w:tc>
        <w:tc>
          <w:tcPr>
            <w:tcW w:w="1047" w:type="pct"/>
            <w:tcBorders>
              <w:tl2br w:val="nil"/>
              <w:tr2bl w:val="nil"/>
            </w:tcBorders>
            <w:vAlign w:val="center"/>
          </w:tcPr>
          <w:p w14:paraId="26F4FE16">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1008" w:type="pct"/>
            <w:tcBorders>
              <w:tl2br w:val="nil"/>
              <w:tr2bl w:val="nil"/>
            </w:tcBorders>
            <w:vAlign w:val="center"/>
          </w:tcPr>
          <w:p w14:paraId="442BECF2">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30" w:type="pct"/>
            <w:tcBorders>
              <w:tl2br w:val="nil"/>
              <w:tr2bl w:val="nil"/>
            </w:tcBorders>
            <w:vAlign w:val="center"/>
          </w:tcPr>
          <w:p w14:paraId="178C6A2C">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直井</w:t>
            </w:r>
          </w:p>
        </w:tc>
      </w:tr>
      <w:tr w14:paraId="5F46A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0F211F48">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73" w:type="pct"/>
            <w:tcBorders>
              <w:tl2br w:val="nil"/>
              <w:tr2bl w:val="nil"/>
            </w:tcBorders>
            <w:vAlign w:val="center"/>
          </w:tcPr>
          <w:p w14:paraId="4C7AC32F">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93°55′29.42″</w:t>
            </w:r>
          </w:p>
        </w:tc>
        <w:tc>
          <w:tcPr>
            <w:tcW w:w="849" w:type="pct"/>
            <w:tcBorders>
              <w:tl2br w:val="nil"/>
              <w:tr2bl w:val="nil"/>
            </w:tcBorders>
            <w:vAlign w:val="center"/>
          </w:tcPr>
          <w:p w14:paraId="5F45E7E5">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41°12′45.23″</w:t>
            </w:r>
          </w:p>
        </w:tc>
        <w:tc>
          <w:tcPr>
            <w:tcW w:w="1047" w:type="pct"/>
            <w:tcBorders>
              <w:tl2br w:val="nil"/>
              <w:tr2bl w:val="nil"/>
            </w:tcBorders>
            <w:vAlign w:val="center"/>
          </w:tcPr>
          <w:p w14:paraId="0269261C">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130</w:t>
            </w:r>
          </w:p>
        </w:tc>
        <w:tc>
          <w:tcPr>
            <w:tcW w:w="1008" w:type="pct"/>
            <w:tcBorders>
              <w:tl2br w:val="nil"/>
              <w:tr2bl w:val="nil"/>
            </w:tcBorders>
            <w:vAlign w:val="center"/>
          </w:tcPr>
          <w:p w14:paraId="336366D7">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w:t>
            </w:r>
          </w:p>
        </w:tc>
        <w:tc>
          <w:tcPr>
            <w:tcW w:w="530" w:type="pct"/>
            <w:tcBorders>
              <w:tl2br w:val="nil"/>
              <w:tr2bl w:val="nil"/>
            </w:tcBorders>
            <w:vAlign w:val="center"/>
          </w:tcPr>
          <w:p w14:paraId="2E7F985A">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直井</w:t>
            </w:r>
          </w:p>
        </w:tc>
      </w:tr>
      <w:tr w14:paraId="0E999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1CD2AE03">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w:t>
            </w:r>
          </w:p>
        </w:tc>
        <w:tc>
          <w:tcPr>
            <w:tcW w:w="873" w:type="pct"/>
            <w:tcBorders>
              <w:tl2br w:val="nil"/>
              <w:tr2bl w:val="nil"/>
            </w:tcBorders>
            <w:vAlign w:val="center"/>
          </w:tcPr>
          <w:p w14:paraId="56554AE5">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93°56′11.76″</w:t>
            </w:r>
          </w:p>
        </w:tc>
        <w:tc>
          <w:tcPr>
            <w:tcW w:w="849" w:type="pct"/>
            <w:tcBorders>
              <w:tl2br w:val="nil"/>
              <w:tr2bl w:val="nil"/>
            </w:tcBorders>
            <w:vAlign w:val="center"/>
          </w:tcPr>
          <w:p w14:paraId="4564DA6E">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41°14′41.06″</w:t>
            </w:r>
          </w:p>
        </w:tc>
        <w:tc>
          <w:tcPr>
            <w:tcW w:w="1047" w:type="pct"/>
            <w:tcBorders>
              <w:tl2br w:val="nil"/>
              <w:tr2bl w:val="nil"/>
            </w:tcBorders>
            <w:vAlign w:val="center"/>
          </w:tcPr>
          <w:p w14:paraId="4ECDC538">
            <w:pPr>
              <w:keepNext w:val="0"/>
              <w:keepLines w:val="0"/>
              <w:suppressLineNumbers w:val="0"/>
              <w:overflowPunct w:val="0"/>
              <w:topLinePunct/>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w:t>
            </w:r>
          </w:p>
        </w:tc>
        <w:tc>
          <w:tcPr>
            <w:tcW w:w="1008" w:type="pct"/>
            <w:tcBorders>
              <w:tl2br w:val="nil"/>
              <w:tr2bl w:val="nil"/>
            </w:tcBorders>
            <w:vAlign w:val="center"/>
          </w:tcPr>
          <w:p w14:paraId="2E0A6CB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530" w:type="pct"/>
            <w:tcBorders>
              <w:tl2br w:val="nil"/>
              <w:tr2bl w:val="nil"/>
            </w:tcBorders>
            <w:vAlign w:val="center"/>
          </w:tcPr>
          <w:p w14:paraId="3BED3590">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直井</w:t>
            </w:r>
          </w:p>
        </w:tc>
      </w:tr>
    </w:tbl>
    <w:p w14:paraId="173F843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4.2.3.</w:t>
      </w:r>
      <w:r>
        <w:rPr>
          <w:rFonts w:hint="eastAsia" w:ascii="Times New Roman" w:hAnsi="Times New Roman"/>
          <w:bCs w:val="0"/>
          <w:color w:val="000000" w:themeColor="text1"/>
          <w:kern w:val="2"/>
          <w:szCs w:val="24"/>
          <w:lang w:val="en-US" w:eastAsia="zh-CN"/>
          <w14:textFill>
            <w14:solidFill>
              <w14:schemeClr w14:val="tx1"/>
            </w14:solidFill>
          </w14:textFill>
        </w:rPr>
        <w:t>2</w:t>
      </w:r>
      <w:r>
        <w:rPr>
          <w:rFonts w:hint="default" w:ascii="Times New Roman" w:hAnsi="Times New Roman" w:cs="Times New Roman"/>
          <w:color w:val="auto"/>
          <w:highlight w:val="none"/>
        </w:rPr>
        <w:t>监测时间与监测单位</w:t>
      </w:r>
    </w:p>
    <w:p w14:paraId="6D1E57A9">
      <w:pPr>
        <w:spacing w:line="480" w:lineRule="exact"/>
        <w:ind w:firstLine="456" w:firstLineChars="200"/>
        <w:rPr>
          <w:rFonts w:hint="eastAsia"/>
          <w:color w:val="000000" w:themeColor="text1"/>
          <w:spacing w:val="-6"/>
          <w:sz w:val="24"/>
          <w:szCs w:val="24"/>
          <w14:textFill>
            <w14:solidFill>
              <w14:schemeClr w14:val="tx1"/>
            </w14:solidFill>
          </w14:textFill>
        </w:rPr>
      </w:pPr>
      <w:r>
        <w:rPr>
          <w:rFonts w:hint="eastAsia"/>
          <w:color w:val="000000" w:themeColor="text1"/>
          <w:spacing w:val="-6"/>
          <w:sz w:val="24"/>
          <w:szCs w:val="24"/>
          <w14:textFill>
            <w14:solidFill>
              <w14:schemeClr w14:val="tx1"/>
            </w14:solidFill>
          </w14:textFill>
        </w:rPr>
        <w:t>监测时间：2025年</w:t>
      </w:r>
      <w:r>
        <w:rPr>
          <w:rFonts w:hint="eastAsia"/>
          <w:color w:val="000000" w:themeColor="text1"/>
          <w:spacing w:val="-6"/>
          <w:sz w:val="24"/>
          <w:szCs w:val="24"/>
          <w:lang w:val="en-US" w:eastAsia="zh-CN"/>
          <w14:textFill>
            <w14:solidFill>
              <w14:schemeClr w14:val="tx1"/>
            </w14:solidFill>
          </w14:textFill>
        </w:rPr>
        <w:t>12</w:t>
      </w:r>
      <w:r>
        <w:rPr>
          <w:rFonts w:hint="eastAsia"/>
          <w:color w:val="000000" w:themeColor="text1"/>
          <w:spacing w:val="-6"/>
          <w:sz w:val="24"/>
          <w:szCs w:val="24"/>
          <w14:textFill>
            <w14:solidFill>
              <w14:schemeClr w14:val="tx1"/>
            </w14:solidFill>
          </w14:textFill>
        </w:rPr>
        <w:t>月30日。</w:t>
      </w:r>
    </w:p>
    <w:p w14:paraId="77AE94BC">
      <w:pPr>
        <w:spacing w:line="480" w:lineRule="exact"/>
        <w:ind w:firstLine="456" w:firstLineChars="200"/>
        <w:rPr>
          <w:rFonts w:hint="eastAsia"/>
          <w:color w:val="000000" w:themeColor="text1"/>
          <w:spacing w:val="-6"/>
          <w:sz w:val="24"/>
          <w:szCs w:val="24"/>
          <w14:textFill>
            <w14:solidFill>
              <w14:schemeClr w14:val="tx1"/>
            </w14:solidFill>
          </w14:textFill>
        </w:rPr>
      </w:pPr>
      <w:r>
        <w:rPr>
          <w:rFonts w:hint="eastAsia"/>
          <w:color w:val="000000" w:themeColor="text1"/>
          <w:spacing w:val="-6"/>
          <w:sz w:val="24"/>
          <w:szCs w:val="24"/>
          <w14:textFill>
            <w14:solidFill>
              <w14:schemeClr w14:val="tx1"/>
            </w14:solidFill>
          </w14:textFill>
        </w:rPr>
        <w:t>监测单位：新疆齐新环境服务有限公司。</w:t>
      </w:r>
    </w:p>
    <w:p w14:paraId="3CF200FE">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4.2.3.</w:t>
      </w:r>
      <w:r>
        <w:rPr>
          <w:rFonts w:hint="eastAsia" w:ascii="Times New Roman" w:hAnsi="Times New Roman"/>
          <w:bCs w:val="0"/>
          <w:color w:val="000000" w:themeColor="text1"/>
          <w:kern w:val="2"/>
          <w:szCs w:val="24"/>
          <w:lang w:val="en-US" w:eastAsia="zh-CN"/>
          <w14:textFill>
            <w14:solidFill>
              <w14:schemeClr w14:val="tx1"/>
            </w14:solidFill>
          </w14:textFill>
        </w:rPr>
        <w:t>3</w:t>
      </w:r>
      <w:r>
        <w:rPr>
          <w:rFonts w:hint="eastAsia" w:ascii="Times New Roman" w:hAnsi="Times New Roman"/>
          <w:bCs w:val="0"/>
          <w:color w:val="000000" w:themeColor="text1"/>
          <w:kern w:val="2"/>
          <w:szCs w:val="24"/>
          <w14:textFill>
            <w14:solidFill>
              <w14:schemeClr w14:val="tx1"/>
            </w14:solidFill>
          </w14:textFill>
        </w:rPr>
        <w:t>监测因子</w:t>
      </w:r>
    </w:p>
    <w:p w14:paraId="2B468840">
      <w:pPr>
        <w:spacing w:line="480" w:lineRule="exact"/>
        <w:ind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钾、钠、钙、镁、碳酸盐、重碳酸盐、氯化物、硫酸盐以及pH值、总硬度、溶解性总固体、铁、锰、铜、锌、挥发性酚类、氨氮、总大肠菌群、亚硝酸盐、硝酸盐、氰化物、氟化物、汞、砷、镉、铬（六价）、铅、镍。</w:t>
      </w:r>
    </w:p>
    <w:p w14:paraId="7A194E27">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4.2.3.</w:t>
      </w:r>
      <w:r>
        <w:rPr>
          <w:rFonts w:hint="eastAsia" w:ascii="Times New Roman" w:hAnsi="Times New Roman"/>
          <w:bCs w:val="0"/>
          <w:color w:val="000000" w:themeColor="text1"/>
          <w:kern w:val="2"/>
          <w:szCs w:val="24"/>
          <w:lang w:val="en-US" w:eastAsia="zh-CN"/>
          <w14:textFill>
            <w14:solidFill>
              <w14:schemeClr w14:val="tx1"/>
            </w14:solidFill>
          </w14:textFill>
        </w:rPr>
        <w:t>4</w:t>
      </w:r>
      <w:r>
        <w:rPr>
          <w:rFonts w:hint="eastAsia" w:ascii="Times New Roman" w:hAnsi="Times New Roman"/>
          <w:bCs w:val="0"/>
          <w:color w:val="000000" w:themeColor="text1"/>
          <w:kern w:val="2"/>
          <w:szCs w:val="24"/>
          <w14:textFill>
            <w14:solidFill>
              <w14:schemeClr w14:val="tx1"/>
            </w14:solidFill>
          </w14:textFill>
        </w:rPr>
        <w:t>评价标准</w:t>
      </w:r>
    </w:p>
    <w:p w14:paraId="727DFDB1">
      <w:pPr>
        <w:pStyle w:val="29"/>
        <w:spacing w:after="0" w:line="480" w:lineRule="exact"/>
        <w:ind w:firstLine="480" w:firstLineChars="200"/>
        <w:jc w:val="both"/>
        <w:rPr>
          <w:color w:val="000000" w:themeColor="text1"/>
          <w:sz w:val="24"/>
          <w:szCs w:val="24"/>
          <w:lang w:eastAsia="zh-CN"/>
          <w14:textFill>
            <w14:solidFill>
              <w14:schemeClr w14:val="tx1"/>
            </w14:solidFill>
          </w14:textFill>
        </w:rPr>
      </w:pPr>
      <w:r>
        <w:rPr>
          <w:color w:val="000000" w:themeColor="text1"/>
          <w:sz w:val="24"/>
          <w:szCs w:val="24"/>
          <w:lang w:eastAsia="zh-CN"/>
          <w14:textFill>
            <w14:solidFill>
              <w14:schemeClr w14:val="tx1"/>
            </w14:solidFill>
          </w14:textFill>
        </w:rPr>
        <w:t>执行《地下水质量标准》（GB/T14848-2017）</w:t>
      </w:r>
      <w:r>
        <w:rPr>
          <w:rFonts w:hint="eastAsia"/>
          <w:snapToGrid w:val="0"/>
          <w:color w:val="000000" w:themeColor="text1"/>
          <w:sz w:val="24"/>
          <w:szCs w:val="24"/>
          <w:lang w:eastAsia="zh-CN"/>
          <w14:textFill>
            <w14:solidFill>
              <w14:schemeClr w14:val="tx1"/>
            </w14:solidFill>
          </w14:textFill>
        </w:rPr>
        <w:t>Ⅲ</w:t>
      </w:r>
      <w:r>
        <w:rPr>
          <w:color w:val="000000" w:themeColor="text1"/>
          <w:sz w:val="24"/>
          <w:szCs w:val="24"/>
          <w:lang w:eastAsia="zh-CN"/>
          <w14:textFill>
            <w14:solidFill>
              <w14:schemeClr w14:val="tx1"/>
            </w14:solidFill>
          </w14:textFill>
        </w:rPr>
        <w:t>类标准。</w:t>
      </w:r>
    </w:p>
    <w:p w14:paraId="02ECF871">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4.2.3.</w:t>
      </w:r>
      <w:r>
        <w:rPr>
          <w:rFonts w:hint="eastAsia" w:ascii="Times New Roman" w:hAnsi="Times New Roman"/>
          <w:bCs w:val="0"/>
          <w:color w:val="000000" w:themeColor="text1"/>
          <w:kern w:val="2"/>
          <w:szCs w:val="24"/>
          <w:lang w:val="en-US" w:eastAsia="zh-CN"/>
          <w14:textFill>
            <w14:solidFill>
              <w14:schemeClr w14:val="tx1"/>
            </w14:solidFill>
          </w14:textFill>
        </w:rPr>
        <w:t>5</w:t>
      </w:r>
      <w:r>
        <w:rPr>
          <w:rFonts w:hint="eastAsia" w:ascii="Times New Roman" w:hAnsi="Times New Roman"/>
          <w:bCs w:val="0"/>
          <w:color w:val="000000" w:themeColor="text1"/>
          <w:kern w:val="2"/>
          <w:szCs w:val="24"/>
          <w14:textFill>
            <w14:solidFill>
              <w14:schemeClr w14:val="tx1"/>
            </w14:solidFill>
          </w14:textFill>
        </w:rPr>
        <w:t>评价方法</w:t>
      </w:r>
    </w:p>
    <w:p w14:paraId="62D76800">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本次地下水环境质量评价采用单因子标准指数法对各污染物进行评价，评价公式如下：</w:t>
      </w:r>
    </w:p>
    <w:p w14:paraId="275C8621">
      <w:pPr>
        <w:pStyle w:val="29"/>
        <w:spacing w:after="0"/>
        <w:ind w:firstLine="200"/>
        <w:rPr>
          <w:snapToGrid w:val="0"/>
          <w:color w:val="000000" w:themeColor="text1"/>
          <w:sz w:val="24"/>
          <w:szCs w:val="24"/>
          <w14:textFill>
            <w14:solidFill>
              <w14:schemeClr w14:val="tx1"/>
            </w14:solidFill>
          </w14:textFill>
        </w:rPr>
      </w:pPr>
      <w:r>
        <w:rPr>
          <w:snapToGrid w:val="0"/>
          <w:color w:val="000000" w:themeColor="text1"/>
          <w:sz w:val="24"/>
          <w:szCs w:val="24"/>
          <w14:textFill>
            <w14:solidFill>
              <w14:schemeClr w14:val="tx1"/>
            </w14:solidFill>
          </w14:textFill>
        </w:rPr>
        <w:t>P</w:t>
      </w:r>
      <w:r>
        <w:rPr>
          <w:snapToGrid w:val="0"/>
          <w:color w:val="000000" w:themeColor="text1"/>
          <w:sz w:val="24"/>
          <w:szCs w:val="24"/>
          <w:vertAlign w:val="subscript"/>
          <w14:textFill>
            <w14:solidFill>
              <w14:schemeClr w14:val="tx1"/>
            </w14:solidFill>
          </w14:textFill>
        </w:rPr>
        <w:t>i</w:t>
      </w:r>
      <w:r>
        <w:rPr>
          <w:snapToGrid w:val="0"/>
          <w:color w:val="000000" w:themeColor="text1"/>
          <w:sz w:val="24"/>
          <w:szCs w:val="24"/>
          <w14:textFill>
            <w14:solidFill>
              <w14:schemeClr w14:val="tx1"/>
            </w14:solidFill>
          </w14:textFill>
        </w:rPr>
        <w:t>=C</w:t>
      </w:r>
      <w:r>
        <w:rPr>
          <w:snapToGrid w:val="0"/>
          <w:color w:val="000000" w:themeColor="text1"/>
          <w:sz w:val="24"/>
          <w:szCs w:val="24"/>
          <w:vertAlign w:val="subscript"/>
          <w14:textFill>
            <w14:solidFill>
              <w14:schemeClr w14:val="tx1"/>
            </w14:solidFill>
          </w14:textFill>
        </w:rPr>
        <w:t>i</w:t>
      </w:r>
      <w:r>
        <w:rPr>
          <w:snapToGrid w:val="0"/>
          <w:color w:val="000000" w:themeColor="text1"/>
          <w:sz w:val="24"/>
          <w:szCs w:val="24"/>
          <w14:textFill>
            <w14:solidFill>
              <w14:schemeClr w14:val="tx1"/>
            </w14:solidFill>
          </w14:textFill>
        </w:rPr>
        <w:t>/S</w:t>
      </w:r>
      <w:r>
        <w:rPr>
          <w:snapToGrid w:val="0"/>
          <w:color w:val="000000" w:themeColor="text1"/>
          <w:sz w:val="24"/>
          <w:szCs w:val="24"/>
          <w:vertAlign w:val="subscript"/>
          <w14:textFill>
            <w14:solidFill>
              <w14:schemeClr w14:val="tx1"/>
            </w14:solidFill>
          </w14:textFill>
        </w:rPr>
        <w:t>i</w:t>
      </w:r>
    </w:p>
    <w:p w14:paraId="73A51BFB">
      <w:pPr>
        <w:pStyle w:val="29"/>
        <w:spacing w:after="0" w:line="480" w:lineRule="exact"/>
        <w:ind w:firstLine="480" w:firstLineChars="200"/>
        <w:jc w:val="both"/>
        <w:rPr>
          <w:snapToGrid w:val="0"/>
          <w:color w:val="000000" w:themeColor="text1"/>
          <w:sz w:val="24"/>
          <w:szCs w:val="24"/>
          <w14:textFill>
            <w14:solidFill>
              <w14:schemeClr w14:val="tx1"/>
            </w14:solidFill>
          </w14:textFill>
        </w:rPr>
      </w:pPr>
      <w:r>
        <w:rPr>
          <w:snapToGrid w:val="0"/>
          <w:color w:val="000000" w:themeColor="text1"/>
          <w:sz w:val="24"/>
          <w:szCs w:val="24"/>
          <w14:textFill>
            <w14:solidFill>
              <w14:schemeClr w14:val="tx1"/>
            </w14:solidFill>
          </w14:textFill>
        </w:rPr>
        <w:t>式中：P</w:t>
      </w:r>
      <w:r>
        <w:rPr>
          <w:snapToGrid w:val="0"/>
          <w:color w:val="000000" w:themeColor="text1"/>
          <w:sz w:val="24"/>
          <w:szCs w:val="24"/>
          <w:vertAlign w:val="subscript"/>
          <w14:textFill>
            <w14:solidFill>
              <w14:schemeClr w14:val="tx1"/>
            </w14:solidFill>
          </w14:textFill>
        </w:rPr>
        <w:t>i</w:t>
      </w:r>
      <w:r>
        <w:rPr>
          <w:snapToGrid w:val="0"/>
          <w:color w:val="000000" w:themeColor="text1"/>
          <w:sz w:val="24"/>
          <w:szCs w:val="24"/>
          <w14:textFill>
            <w14:solidFill>
              <w14:schemeClr w14:val="tx1"/>
            </w14:solidFill>
          </w14:textFill>
        </w:rPr>
        <w:t>——第i种污染物的标准指数；</w:t>
      </w:r>
    </w:p>
    <w:p w14:paraId="707B270A">
      <w:pPr>
        <w:pStyle w:val="29"/>
        <w:spacing w:after="0" w:line="480" w:lineRule="exact"/>
        <w:ind w:firstLine="480" w:firstLineChars="200"/>
        <w:jc w:val="both"/>
        <w:rPr>
          <w:snapToGrid w:val="0"/>
          <w:color w:val="000000" w:themeColor="text1"/>
          <w:sz w:val="24"/>
          <w:szCs w:val="24"/>
          <w14:textFill>
            <w14:solidFill>
              <w14:schemeClr w14:val="tx1"/>
            </w14:solidFill>
          </w14:textFill>
        </w:rPr>
      </w:pPr>
      <w:r>
        <w:rPr>
          <w:snapToGrid w:val="0"/>
          <w:color w:val="000000" w:themeColor="text1"/>
          <w:sz w:val="24"/>
          <w:szCs w:val="24"/>
          <w14:textFill>
            <w14:solidFill>
              <w14:schemeClr w14:val="tx1"/>
            </w14:solidFill>
          </w14:textFill>
        </w:rPr>
        <w:t>C</w:t>
      </w:r>
      <w:r>
        <w:rPr>
          <w:snapToGrid w:val="0"/>
          <w:color w:val="000000" w:themeColor="text1"/>
          <w:sz w:val="24"/>
          <w:szCs w:val="24"/>
          <w:vertAlign w:val="subscript"/>
          <w14:textFill>
            <w14:solidFill>
              <w14:schemeClr w14:val="tx1"/>
            </w14:solidFill>
          </w14:textFill>
        </w:rPr>
        <w:t>i</w:t>
      </w:r>
      <w:r>
        <w:rPr>
          <w:snapToGrid w:val="0"/>
          <w:color w:val="000000" w:themeColor="text1"/>
          <w:sz w:val="24"/>
          <w:szCs w:val="24"/>
          <w14:textFill>
            <w14:solidFill>
              <w14:schemeClr w14:val="tx1"/>
            </w14:solidFill>
          </w14:textFill>
        </w:rPr>
        <w:t>——第i种污染物的实测浓度值（mg/L）；</w:t>
      </w:r>
    </w:p>
    <w:p w14:paraId="0EC3DBCC">
      <w:pPr>
        <w:pStyle w:val="29"/>
        <w:spacing w:after="0" w:line="480" w:lineRule="exact"/>
        <w:ind w:firstLine="480" w:firstLineChars="200"/>
        <w:jc w:val="both"/>
        <w:rPr>
          <w:snapToGrid w:val="0"/>
          <w:color w:val="000000" w:themeColor="text1"/>
          <w:sz w:val="24"/>
          <w:szCs w:val="24"/>
          <w14:textFill>
            <w14:solidFill>
              <w14:schemeClr w14:val="tx1"/>
            </w14:solidFill>
          </w14:textFill>
        </w:rPr>
      </w:pPr>
      <w:r>
        <w:rPr>
          <w:snapToGrid w:val="0"/>
          <w:color w:val="000000" w:themeColor="text1"/>
          <w:sz w:val="24"/>
          <w:szCs w:val="24"/>
          <w14:textFill>
            <w14:solidFill>
              <w14:schemeClr w14:val="tx1"/>
            </w14:solidFill>
          </w14:textFill>
        </w:rPr>
        <w:t>S</w:t>
      </w:r>
      <w:r>
        <w:rPr>
          <w:snapToGrid w:val="0"/>
          <w:color w:val="000000" w:themeColor="text1"/>
          <w:sz w:val="24"/>
          <w:szCs w:val="24"/>
          <w:vertAlign w:val="subscript"/>
          <w14:textFill>
            <w14:solidFill>
              <w14:schemeClr w14:val="tx1"/>
            </w14:solidFill>
          </w14:textFill>
        </w:rPr>
        <w:t>i</w:t>
      </w:r>
      <w:r>
        <w:rPr>
          <w:snapToGrid w:val="0"/>
          <w:color w:val="000000" w:themeColor="text1"/>
          <w:sz w:val="24"/>
          <w:szCs w:val="24"/>
          <w14:textFill>
            <w14:solidFill>
              <w14:schemeClr w14:val="tx1"/>
            </w14:solidFill>
          </w14:textFill>
        </w:rPr>
        <w:t>——第i种污染物的标准浓度值（mg/L）。</w:t>
      </w:r>
    </w:p>
    <w:p w14:paraId="2D9517E2">
      <w:pPr>
        <w:pStyle w:val="29"/>
        <w:spacing w:after="0" w:line="480" w:lineRule="exact"/>
        <w:ind w:firstLine="480" w:firstLineChars="200"/>
        <w:jc w:val="both"/>
        <w:rPr>
          <w:snapToGrid w:val="0"/>
          <w:color w:val="000000" w:themeColor="text1"/>
          <w:sz w:val="24"/>
          <w:szCs w:val="24"/>
          <w:lang w:eastAsia="zh-CN"/>
          <w14:textFill>
            <w14:solidFill>
              <w14:schemeClr w14:val="tx1"/>
            </w14:solidFill>
          </w14:textFill>
        </w:rPr>
      </w:pPr>
      <w:r>
        <w:rPr>
          <w:snapToGrid w:val="0"/>
          <w:color w:val="000000" w:themeColor="text1"/>
          <w:sz w:val="24"/>
          <w:szCs w:val="24"/>
          <w:lang w:eastAsia="zh-CN"/>
          <w14:textFill>
            <w14:solidFill>
              <w14:schemeClr w14:val="tx1"/>
            </w14:solidFill>
          </w14:textFill>
        </w:rPr>
        <w:t>pH标准指数计算公式为：</w:t>
      </w:r>
    </w:p>
    <w:p w14:paraId="281AB9A1">
      <w:pPr>
        <w:pStyle w:val="29"/>
        <w:spacing w:after="0" w:line="480" w:lineRule="exact"/>
        <w:rPr>
          <w:snapToGrid w:val="0"/>
          <w:color w:val="000000" w:themeColor="text1"/>
          <w:sz w:val="24"/>
          <w:szCs w:val="24"/>
          <w14:textFill>
            <w14:solidFill>
              <w14:schemeClr w14:val="tx1"/>
            </w14:solidFill>
          </w14:textFill>
        </w:rPr>
      </w:pPr>
      <w:r>
        <w:rPr>
          <w:snapToGrid w:val="0"/>
          <w:color w:val="000000" w:themeColor="text1"/>
          <w:sz w:val="24"/>
          <w:szCs w:val="24"/>
          <w14:textFill>
            <w14:solidFill>
              <w14:schemeClr w14:val="tx1"/>
            </w14:solidFill>
          </w14:textFill>
        </w:rPr>
        <w:t>P</w:t>
      </w:r>
      <w:r>
        <w:rPr>
          <w:snapToGrid w:val="0"/>
          <w:color w:val="000000" w:themeColor="text1"/>
          <w:sz w:val="24"/>
          <w:szCs w:val="24"/>
          <w:vertAlign w:val="subscript"/>
          <w14:textFill>
            <w14:solidFill>
              <w14:schemeClr w14:val="tx1"/>
            </w14:solidFill>
          </w14:textFill>
        </w:rPr>
        <w:t>pH</w:t>
      </w:r>
      <w:r>
        <w:rPr>
          <w:snapToGrid w:val="0"/>
          <w:color w:val="000000" w:themeColor="text1"/>
          <w:sz w:val="24"/>
          <w:szCs w:val="24"/>
          <w14:textFill>
            <w14:solidFill>
              <w14:schemeClr w14:val="tx1"/>
            </w14:solidFill>
          </w14:textFill>
        </w:rPr>
        <w:t>=7.0-pH</w:t>
      </w:r>
      <w:r>
        <w:rPr>
          <w:snapToGrid w:val="0"/>
          <w:color w:val="000000" w:themeColor="text1"/>
          <w:sz w:val="24"/>
          <w:szCs w:val="24"/>
          <w:vertAlign w:val="subscript"/>
          <w14:textFill>
            <w14:solidFill>
              <w14:schemeClr w14:val="tx1"/>
            </w14:solidFill>
          </w14:textFill>
        </w:rPr>
        <w:t>i</w:t>
      </w:r>
      <w:r>
        <w:rPr>
          <w:snapToGrid w:val="0"/>
          <w:color w:val="000000" w:themeColor="text1"/>
          <w:sz w:val="24"/>
          <w:szCs w:val="24"/>
          <w14:textFill>
            <w14:solidFill>
              <w14:schemeClr w14:val="tx1"/>
            </w14:solidFill>
          </w14:textFill>
        </w:rPr>
        <w:t>/7.0-pH</w:t>
      </w:r>
      <w:r>
        <w:rPr>
          <w:snapToGrid w:val="0"/>
          <w:color w:val="000000" w:themeColor="text1"/>
          <w:sz w:val="24"/>
          <w:szCs w:val="24"/>
          <w:vertAlign w:val="subscript"/>
          <w14:textFill>
            <w14:solidFill>
              <w14:schemeClr w14:val="tx1"/>
            </w14:solidFill>
          </w14:textFill>
        </w:rPr>
        <w:t>sd</w:t>
      </w:r>
      <w:r>
        <w:rPr>
          <w:snapToGrid w:val="0"/>
          <w:color w:val="000000" w:themeColor="text1"/>
          <w:sz w:val="24"/>
          <w:szCs w:val="24"/>
          <w14:textFill>
            <w14:solidFill>
              <w14:schemeClr w14:val="tx1"/>
            </w14:solidFill>
          </w14:textFill>
        </w:rPr>
        <w:t xml:space="preserve">   pH≤7.0</w:t>
      </w:r>
    </w:p>
    <w:p w14:paraId="13AA8228">
      <w:pPr>
        <w:pStyle w:val="29"/>
        <w:tabs>
          <w:tab w:val="left" w:pos="5504"/>
        </w:tabs>
        <w:spacing w:after="0" w:line="480" w:lineRule="exact"/>
        <w:rPr>
          <w:snapToGrid w:val="0"/>
          <w:color w:val="000000" w:themeColor="text1"/>
          <w:sz w:val="24"/>
          <w:szCs w:val="24"/>
          <w14:textFill>
            <w14:solidFill>
              <w14:schemeClr w14:val="tx1"/>
            </w14:solidFill>
          </w14:textFill>
        </w:rPr>
      </w:pPr>
      <w:r>
        <w:rPr>
          <w:snapToGrid w:val="0"/>
          <w:color w:val="000000" w:themeColor="text1"/>
          <w:sz w:val="24"/>
          <w:szCs w:val="24"/>
          <w14:textFill>
            <w14:solidFill>
              <w14:schemeClr w14:val="tx1"/>
            </w14:solidFill>
          </w14:textFill>
        </w:rPr>
        <w:t>P</w:t>
      </w:r>
      <w:r>
        <w:rPr>
          <w:snapToGrid w:val="0"/>
          <w:color w:val="000000" w:themeColor="text1"/>
          <w:sz w:val="24"/>
          <w:szCs w:val="24"/>
          <w:vertAlign w:val="subscript"/>
          <w14:textFill>
            <w14:solidFill>
              <w14:schemeClr w14:val="tx1"/>
            </w14:solidFill>
          </w14:textFill>
        </w:rPr>
        <w:t>pH</w:t>
      </w:r>
      <w:r>
        <w:rPr>
          <w:snapToGrid w:val="0"/>
          <w:color w:val="000000" w:themeColor="text1"/>
          <w:sz w:val="24"/>
          <w:szCs w:val="24"/>
          <w14:textFill>
            <w14:solidFill>
              <w14:schemeClr w14:val="tx1"/>
            </w14:solidFill>
          </w14:textFill>
        </w:rPr>
        <w:t>=pH</w:t>
      </w:r>
      <w:r>
        <w:rPr>
          <w:snapToGrid w:val="0"/>
          <w:color w:val="000000" w:themeColor="text1"/>
          <w:sz w:val="24"/>
          <w:szCs w:val="24"/>
          <w:vertAlign w:val="subscript"/>
          <w14:textFill>
            <w14:solidFill>
              <w14:schemeClr w14:val="tx1"/>
            </w14:solidFill>
          </w14:textFill>
        </w:rPr>
        <w:t>i</w:t>
      </w:r>
      <w:r>
        <w:rPr>
          <w:snapToGrid w:val="0"/>
          <w:color w:val="000000" w:themeColor="text1"/>
          <w:sz w:val="24"/>
          <w:szCs w:val="24"/>
          <w14:textFill>
            <w14:solidFill>
              <w14:schemeClr w14:val="tx1"/>
            </w14:solidFill>
          </w14:textFill>
        </w:rPr>
        <w:t>-7.0/pH</w:t>
      </w:r>
      <w:r>
        <w:rPr>
          <w:snapToGrid w:val="0"/>
          <w:color w:val="000000" w:themeColor="text1"/>
          <w:sz w:val="24"/>
          <w:szCs w:val="24"/>
          <w:vertAlign w:val="subscript"/>
          <w14:textFill>
            <w14:solidFill>
              <w14:schemeClr w14:val="tx1"/>
            </w14:solidFill>
          </w14:textFill>
        </w:rPr>
        <w:t>su</w:t>
      </w:r>
      <w:r>
        <w:rPr>
          <w:snapToGrid w:val="0"/>
          <w:color w:val="000000" w:themeColor="text1"/>
          <w:sz w:val="24"/>
          <w:szCs w:val="24"/>
          <w14:textFill>
            <w14:solidFill>
              <w14:schemeClr w14:val="tx1"/>
            </w14:solidFill>
          </w14:textFill>
        </w:rPr>
        <w:t>-7.0   pH＞7.0</w:t>
      </w:r>
    </w:p>
    <w:p w14:paraId="40FB30FE">
      <w:pPr>
        <w:spacing w:line="480" w:lineRule="exact"/>
        <w:ind w:firstLine="480" w:firstLineChars="200"/>
        <w:rPr>
          <w:snapToGrid w:val="0"/>
          <w:color w:val="000000" w:themeColor="text1"/>
          <w:kern w:val="0"/>
          <w:sz w:val="24"/>
          <w:szCs w:val="24"/>
          <w14:textFill>
            <w14:solidFill>
              <w14:schemeClr w14:val="tx1"/>
            </w14:solidFill>
          </w14:textFill>
        </w:rPr>
      </w:pPr>
      <w:r>
        <w:rPr>
          <w:snapToGrid w:val="0"/>
          <w:color w:val="000000" w:themeColor="text1"/>
          <w:kern w:val="0"/>
          <w:sz w:val="24"/>
          <w:szCs w:val="24"/>
          <w14:textFill>
            <w14:solidFill>
              <w14:schemeClr w14:val="tx1"/>
            </w14:solidFill>
          </w14:textFill>
        </w:rPr>
        <w:t>式中：P</w:t>
      </w:r>
      <w:r>
        <w:rPr>
          <w:snapToGrid w:val="0"/>
          <w:color w:val="000000" w:themeColor="text1"/>
          <w:kern w:val="0"/>
          <w:sz w:val="24"/>
          <w:szCs w:val="24"/>
          <w:vertAlign w:val="subscript"/>
          <w14:textFill>
            <w14:solidFill>
              <w14:schemeClr w14:val="tx1"/>
            </w14:solidFill>
          </w14:textFill>
        </w:rPr>
        <w:t>pH</w:t>
      </w:r>
      <w:r>
        <w:rPr>
          <w:snapToGrid w:val="0"/>
          <w:color w:val="000000" w:themeColor="text1"/>
          <w:kern w:val="0"/>
          <w:sz w:val="24"/>
          <w:szCs w:val="24"/>
          <w14:textFill>
            <w14:solidFill>
              <w14:schemeClr w14:val="tx1"/>
            </w14:solidFill>
          </w14:textFill>
        </w:rPr>
        <w:t>——pH</w:t>
      </w:r>
      <w:r>
        <w:rPr>
          <w:snapToGrid w:val="0"/>
          <w:color w:val="000000" w:themeColor="text1"/>
          <w:kern w:val="0"/>
          <w:sz w:val="24"/>
          <w:szCs w:val="24"/>
          <w:vertAlign w:val="subscript"/>
          <w14:textFill>
            <w14:solidFill>
              <w14:schemeClr w14:val="tx1"/>
            </w14:solidFill>
          </w14:textFill>
        </w:rPr>
        <w:t>i</w:t>
      </w:r>
      <w:r>
        <w:rPr>
          <w:snapToGrid w:val="0"/>
          <w:color w:val="000000" w:themeColor="text1"/>
          <w:kern w:val="0"/>
          <w:sz w:val="24"/>
          <w:szCs w:val="24"/>
          <w14:textFill>
            <w14:solidFill>
              <w14:schemeClr w14:val="tx1"/>
            </w14:solidFill>
          </w14:textFill>
        </w:rPr>
        <w:t>的标准指数；</w:t>
      </w:r>
    </w:p>
    <w:p w14:paraId="5D1FD312">
      <w:pPr>
        <w:pStyle w:val="29"/>
        <w:spacing w:after="0" w:line="480" w:lineRule="exact"/>
        <w:ind w:firstLine="482"/>
        <w:jc w:val="both"/>
        <w:rPr>
          <w:snapToGrid w:val="0"/>
          <w:color w:val="000000" w:themeColor="text1"/>
          <w:sz w:val="24"/>
          <w:szCs w:val="24"/>
          <w:lang w:eastAsia="zh-CN"/>
          <w14:textFill>
            <w14:solidFill>
              <w14:schemeClr w14:val="tx1"/>
            </w14:solidFill>
          </w14:textFill>
        </w:rPr>
      </w:pPr>
      <w:r>
        <w:rPr>
          <w:snapToGrid w:val="0"/>
          <w:color w:val="000000" w:themeColor="text1"/>
          <w:sz w:val="24"/>
          <w:szCs w:val="24"/>
          <w:lang w:eastAsia="zh-CN"/>
          <w14:textFill>
            <w14:solidFill>
              <w14:schemeClr w14:val="tx1"/>
            </w14:solidFill>
          </w14:textFill>
        </w:rPr>
        <w:t>pH</w:t>
      </w:r>
      <w:r>
        <w:rPr>
          <w:snapToGrid w:val="0"/>
          <w:color w:val="000000" w:themeColor="text1"/>
          <w:sz w:val="24"/>
          <w:szCs w:val="24"/>
          <w:vertAlign w:val="subscript"/>
          <w:lang w:eastAsia="zh-CN"/>
          <w14:textFill>
            <w14:solidFill>
              <w14:schemeClr w14:val="tx1"/>
            </w14:solidFill>
          </w14:textFill>
        </w:rPr>
        <w:t>i</w:t>
      </w:r>
      <w:r>
        <w:rPr>
          <w:snapToGrid w:val="0"/>
          <w:color w:val="000000" w:themeColor="text1"/>
          <w:sz w:val="24"/>
          <w:szCs w:val="24"/>
          <w:lang w:eastAsia="zh-CN"/>
          <w14:textFill>
            <w14:solidFill>
              <w14:schemeClr w14:val="tx1"/>
            </w14:solidFill>
          </w14:textFill>
        </w:rPr>
        <w:t>——i点实测pH值；</w:t>
      </w:r>
    </w:p>
    <w:p w14:paraId="38FEB8A2">
      <w:pPr>
        <w:pStyle w:val="29"/>
        <w:spacing w:after="0" w:line="480" w:lineRule="exact"/>
        <w:ind w:firstLine="482"/>
        <w:jc w:val="both"/>
        <w:rPr>
          <w:snapToGrid w:val="0"/>
          <w:color w:val="000000" w:themeColor="text1"/>
          <w:sz w:val="24"/>
          <w:szCs w:val="24"/>
          <w:lang w:eastAsia="zh-CN"/>
          <w14:textFill>
            <w14:solidFill>
              <w14:schemeClr w14:val="tx1"/>
            </w14:solidFill>
          </w14:textFill>
        </w:rPr>
      </w:pPr>
      <w:r>
        <w:rPr>
          <w:snapToGrid w:val="0"/>
          <w:color w:val="000000" w:themeColor="text1"/>
          <w:sz w:val="24"/>
          <w:szCs w:val="24"/>
          <w:lang w:eastAsia="zh-CN"/>
          <w14:textFill>
            <w14:solidFill>
              <w14:schemeClr w14:val="tx1"/>
            </w14:solidFill>
          </w14:textFill>
        </w:rPr>
        <w:t>pH</w:t>
      </w:r>
      <w:r>
        <w:rPr>
          <w:snapToGrid w:val="0"/>
          <w:color w:val="000000" w:themeColor="text1"/>
          <w:sz w:val="24"/>
          <w:szCs w:val="24"/>
          <w:vertAlign w:val="subscript"/>
          <w:lang w:eastAsia="zh-CN"/>
          <w14:textFill>
            <w14:solidFill>
              <w14:schemeClr w14:val="tx1"/>
            </w14:solidFill>
          </w14:textFill>
        </w:rPr>
        <w:t>sd</w:t>
      </w:r>
      <w:r>
        <w:rPr>
          <w:snapToGrid w:val="0"/>
          <w:color w:val="000000" w:themeColor="text1"/>
          <w:sz w:val="24"/>
          <w:szCs w:val="24"/>
          <w:lang w:eastAsia="zh-CN"/>
          <w14:textFill>
            <w14:solidFill>
              <w14:schemeClr w14:val="tx1"/>
            </w14:solidFill>
          </w14:textFill>
        </w:rPr>
        <w:t>——标准中pH值的下限值；</w:t>
      </w:r>
    </w:p>
    <w:p w14:paraId="1E2BFDA4">
      <w:pPr>
        <w:pStyle w:val="29"/>
        <w:spacing w:after="0" w:line="480" w:lineRule="exact"/>
        <w:ind w:firstLine="482"/>
        <w:jc w:val="both"/>
        <w:rPr>
          <w:snapToGrid w:val="0"/>
          <w:color w:val="000000" w:themeColor="text1"/>
          <w:sz w:val="24"/>
          <w:szCs w:val="24"/>
          <w:lang w:eastAsia="zh-CN"/>
          <w14:textFill>
            <w14:solidFill>
              <w14:schemeClr w14:val="tx1"/>
            </w14:solidFill>
          </w14:textFill>
        </w:rPr>
      </w:pPr>
      <w:r>
        <w:rPr>
          <w:snapToGrid w:val="0"/>
          <w:color w:val="000000" w:themeColor="text1"/>
          <w:sz w:val="24"/>
          <w:szCs w:val="24"/>
          <w:lang w:eastAsia="zh-CN"/>
          <w14:textFill>
            <w14:solidFill>
              <w14:schemeClr w14:val="tx1"/>
            </w14:solidFill>
          </w14:textFill>
        </w:rPr>
        <w:t>pH</w:t>
      </w:r>
      <w:r>
        <w:rPr>
          <w:snapToGrid w:val="0"/>
          <w:color w:val="000000" w:themeColor="text1"/>
          <w:sz w:val="24"/>
          <w:szCs w:val="24"/>
          <w:vertAlign w:val="subscript"/>
          <w:lang w:eastAsia="zh-CN"/>
          <w14:textFill>
            <w14:solidFill>
              <w14:schemeClr w14:val="tx1"/>
            </w14:solidFill>
          </w14:textFill>
        </w:rPr>
        <w:t>su</w:t>
      </w:r>
      <w:r>
        <w:rPr>
          <w:snapToGrid w:val="0"/>
          <w:color w:val="000000" w:themeColor="text1"/>
          <w:sz w:val="24"/>
          <w:szCs w:val="24"/>
          <w:lang w:eastAsia="zh-CN"/>
          <w14:textFill>
            <w14:solidFill>
              <w14:schemeClr w14:val="tx1"/>
            </w14:solidFill>
          </w14:textFill>
        </w:rPr>
        <w:t>——标准中pH值的上限值。</w:t>
      </w:r>
    </w:p>
    <w:p w14:paraId="4DA61409">
      <w:pPr>
        <w:spacing w:line="480" w:lineRule="exact"/>
        <w:ind w:firstLine="480" w:firstLineChars="200"/>
        <w:rPr>
          <w:rFonts w:hint="eastAsia"/>
          <w:color w:val="000000" w:themeColor="text1"/>
          <w:sz w:val="24"/>
          <w:szCs w:val="24"/>
          <w14:textFill>
            <w14:solidFill>
              <w14:schemeClr w14:val="tx1"/>
            </w14:solidFill>
          </w14:textFill>
        </w:rPr>
      </w:pPr>
      <w:r>
        <w:rPr>
          <w:snapToGrid w:val="0"/>
          <w:color w:val="000000" w:themeColor="text1"/>
          <w:kern w:val="0"/>
          <w:sz w:val="24"/>
          <w:szCs w:val="24"/>
          <w14:textFill>
            <w14:solidFill>
              <w14:schemeClr w14:val="tx1"/>
            </w14:solidFill>
          </w14:textFill>
        </w:rPr>
        <w:t>评价水质参数的标准指数＞1时，表明该水质参数超过了规定的水质标准，已经不能满足使用要求。</w:t>
      </w:r>
    </w:p>
    <w:p w14:paraId="34A8E6B2">
      <w:pPr>
        <w:pStyle w:val="5"/>
        <w:spacing w:before="0" w:after="0" w:line="480" w:lineRule="exact"/>
        <w:ind w:firstLine="482"/>
        <w:rPr>
          <w:rFonts w:hint="eastAsia" w:ascii="Times New Roman" w:hAnsi="Times New Roman"/>
          <w:bCs w:val="0"/>
          <w:color w:val="000000" w:themeColor="text1"/>
          <w:kern w:val="2"/>
          <w:szCs w:val="24"/>
          <w14:textFill>
            <w14:solidFill>
              <w14:schemeClr w14:val="tx1"/>
            </w14:solidFill>
          </w14:textFill>
        </w:rPr>
      </w:pPr>
      <w:r>
        <w:rPr>
          <w:rFonts w:hint="eastAsia" w:ascii="Times New Roman" w:hAnsi="Times New Roman"/>
          <w:bCs w:val="0"/>
          <w:color w:val="000000" w:themeColor="text1"/>
          <w:kern w:val="2"/>
          <w:szCs w:val="24"/>
          <w14:textFill>
            <w14:solidFill>
              <w14:schemeClr w14:val="tx1"/>
            </w14:solidFill>
          </w14:textFill>
        </w:rPr>
        <w:t>4.2.3.</w:t>
      </w:r>
      <w:r>
        <w:rPr>
          <w:rFonts w:hint="eastAsia" w:ascii="Times New Roman" w:hAnsi="Times New Roman"/>
          <w:bCs w:val="0"/>
          <w:color w:val="000000" w:themeColor="text1"/>
          <w:kern w:val="2"/>
          <w:szCs w:val="24"/>
          <w:lang w:val="en-US" w:eastAsia="zh-CN"/>
          <w14:textFill>
            <w14:solidFill>
              <w14:schemeClr w14:val="tx1"/>
            </w14:solidFill>
          </w14:textFill>
        </w:rPr>
        <w:t>6</w:t>
      </w:r>
      <w:r>
        <w:rPr>
          <w:rFonts w:hint="eastAsia" w:ascii="Times New Roman" w:hAnsi="Times New Roman"/>
          <w:bCs w:val="0"/>
          <w:color w:val="000000" w:themeColor="text1"/>
          <w:kern w:val="2"/>
          <w:szCs w:val="24"/>
          <w14:textFill>
            <w14:solidFill>
              <w14:schemeClr w14:val="tx1"/>
            </w14:solidFill>
          </w14:textFill>
        </w:rPr>
        <w:t>监测结果及评价</w:t>
      </w:r>
    </w:p>
    <w:p w14:paraId="63B2016C">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各监测点位地下水因子监测结果见表4.2-</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w:t>
      </w:r>
    </w:p>
    <w:p w14:paraId="33BBD9F6">
      <w:pPr>
        <w:spacing w:line="480" w:lineRule="exact"/>
        <w:jc w:val="center"/>
        <w:rPr>
          <w:rFonts w:hint="eastAsia"/>
          <w:color w:val="000000" w:themeColor="text1"/>
          <w:sz w:val="24"/>
          <w:szCs w:val="24"/>
          <w14:textFill>
            <w14:solidFill>
              <w14:schemeClr w14:val="tx1"/>
            </w14:solidFill>
          </w14:textFill>
        </w:rPr>
      </w:pPr>
      <w:r>
        <w:rPr>
          <w:b/>
          <w:color w:val="000000" w:themeColor="text1"/>
          <w:kern w:val="0"/>
          <w:sz w:val="24"/>
          <w:szCs w:val="24"/>
          <w:lang w:val="zh-CN" w:bidi="ar"/>
          <w14:textFill>
            <w14:solidFill>
              <w14:schemeClr w14:val="tx1"/>
            </w14:solidFill>
          </w14:textFill>
        </w:rPr>
        <w:t>表4.</w:t>
      </w:r>
      <w:r>
        <w:rPr>
          <w:rFonts w:hint="eastAsia"/>
          <w:b/>
          <w:color w:val="000000" w:themeColor="text1"/>
          <w:kern w:val="0"/>
          <w:sz w:val="24"/>
          <w:szCs w:val="24"/>
          <w:lang w:bidi="ar"/>
          <w14:textFill>
            <w14:solidFill>
              <w14:schemeClr w14:val="tx1"/>
            </w14:solidFill>
          </w14:textFill>
        </w:rPr>
        <w:t>2</w:t>
      </w:r>
      <w:r>
        <w:rPr>
          <w:b/>
          <w:color w:val="000000" w:themeColor="text1"/>
          <w:kern w:val="0"/>
          <w:sz w:val="24"/>
          <w:szCs w:val="24"/>
          <w:lang w:val="zh-CN" w:bidi="ar"/>
          <w14:textFill>
            <w14:solidFill>
              <w14:schemeClr w14:val="tx1"/>
            </w14:solidFill>
          </w14:textFill>
        </w:rPr>
        <w:t>-</w:t>
      </w:r>
      <w:r>
        <w:rPr>
          <w:b/>
          <w:color w:val="000000" w:themeColor="text1"/>
          <w:kern w:val="0"/>
          <w:sz w:val="24"/>
          <w:szCs w:val="24"/>
          <w:lang w:bidi="ar"/>
          <w14:textFill>
            <w14:solidFill>
              <w14:schemeClr w14:val="tx1"/>
            </w14:solidFill>
          </w14:textFill>
        </w:rPr>
        <w:t>4</w:t>
      </w:r>
      <w:r>
        <w:rPr>
          <w:b/>
          <w:color w:val="000000" w:themeColor="text1"/>
          <w:kern w:val="0"/>
          <w:sz w:val="24"/>
          <w:szCs w:val="24"/>
          <w:lang w:val="zh-CN" w:bidi="ar"/>
          <w14:textFill>
            <w14:solidFill>
              <w14:schemeClr w14:val="tx1"/>
            </w14:solidFill>
          </w14:textFill>
        </w:rPr>
        <w:t xml:space="preserve">    地下水现状监测及评价结果</w:t>
      </w:r>
    </w:p>
    <w:tbl>
      <w:tblPr>
        <w:tblStyle w:val="79"/>
        <w:tblW w:w="9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480"/>
        <w:gridCol w:w="993"/>
        <w:gridCol w:w="993"/>
        <w:gridCol w:w="991"/>
        <w:gridCol w:w="994"/>
        <w:gridCol w:w="848"/>
        <w:gridCol w:w="850"/>
        <w:gridCol w:w="853"/>
        <w:gridCol w:w="701"/>
      </w:tblGrid>
      <w:tr w14:paraId="407BB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1" w:type="dxa"/>
            <w:vMerge w:val="restart"/>
            <w:vAlign w:val="center"/>
          </w:tcPr>
          <w:p w14:paraId="511E91D8">
            <w:pPr>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480" w:type="dxa"/>
            <w:vMerge w:val="restart"/>
            <w:vAlign w:val="center"/>
          </w:tcPr>
          <w:p w14:paraId="09DAAE7B">
            <w:pPr>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993" w:type="dxa"/>
            <w:vMerge w:val="restart"/>
            <w:vAlign w:val="center"/>
          </w:tcPr>
          <w:p w14:paraId="4C245B91">
            <w:pPr>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2978" w:type="dxa"/>
            <w:gridSpan w:val="3"/>
            <w:vAlign w:val="center"/>
          </w:tcPr>
          <w:p w14:paraId="49E85333">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监测结果</w:t>
            </w:r>
          </w:p>
        </w:tc>
        <w:tc>
          <w:tcPr>
            <w:tcW w:w="2551" w:type="dxa"/>
            <w:gridSpan w:val="3"/>
          </w:tcPr>
          <w:p w14:paraId="600A689C">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标准指数</w:t>
            </w:r>
          </w:p>
        </w:tc>
        <w:tc>
          <w:tcPr>
            <w:tcW w:w="701" w:type="dxa"/>
            <w:vMerge w:val="restart"/>
            <w:vAlign w:val="center"/>
          </w:tcPr>
          <w:p w14:paraId="234D5BB9">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标准限值</w:t>
            </w:r>
          </w:p>
        </w:tc>
      </w:tr>
      <w:tr w14:paraId="12296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1" w:type="dxa"/>
            <w:vMerge w:val="continue"/>
            <w:vAlign w:val="center"/>
          </w:tcPr>
          <w:p w14:paraId="49661567">
            <w:pPr>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szCs w:val="21"/>
              </w:rPr>
            </w:pPr>
          </w:p>
        </w:tc>
        <w:tc>
          <w:tcPr>
            <w:tcW w:w="1480" w:type="dxa"/>
            <w:vMerge w:val="continue"/>
            <w:vAlign w:val="center"/>
          </w:tcPr>
          <w:p w14:paraId="0F7334A4">
            <w:pPr>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szCs w:val="21"/>
              </w:rPr>
            </w:pPr>
          </w:p>
        </w:tc>
        <w:tc>
          <w:tcPr>
            <w:tcW w:w="993" w:type="dxa"/>
            <w:vMerge w:val="continue"/>
            <w:vAlign w:val="center"/>
          </w:tcPr>
          <w:p w14:paraId="1C35EC31">
            <w:pPr>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auto"/>
                <w:sz w:val="21"/>
                <w:szCs w:val="21"/>
              </w:rPr>
            </w:pPr>
          </w:p>
        </w:tc>
        <w:tc>
          <w:tcPr>
            <w:tcW w:w="993" w:type="dxa"/>
            <w:vAlign w:val="center"/>
          </w:tcPr>
          <w:p w14:paraId="3D11B8C5">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1#</w:t>
            </w:r>
          </w:p>
        </w:tc>
        <w:tc>
          <w:tcPr>
            <w:tcW w:w="991" w:type="dxa"/>
          </w:tcPr>
          <w:p w14:paraId="6933565A">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w:t>
            </w:r>
          </w:p>
        </w:tc>
        <w:tc>
          <w:tcPr>
            <w:tcW w:w="994" w:type="dxa"/>
          </w:tcPr>
          <w:p w14:paraId="73775626">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3#</w:t>
            </w:r>
          </w:p>
        </w:tc>
        <w:tc>
          <w:tcPr>
            <w:tcW w:w="848" w:type="dxa"/>
            <w:vAlign w:val="center"/>
          </w:tcPr>
          <w:p w14:paraId="2A24EF83">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1#</w:t>
            </w:r>
          </w:p>
        </w:tc>
        <w:tc>
          <w:tcPr>
            <w:tcW w:w="850" w:type="dxa"/>
          </w:tcPr>
          <w:p w14:paraId="703C46A0">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w:t>
            </w:r>
          </w:p>
        </w:tc>
        <w:tc>
          <w:tcPr>
            <w:tcW w:w="853" w:type="dxa"/>
          </w:tcPr>
          <w:p w14:paraId="69029F56">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3#</w:t>
            </w:r>
          </w:p>
        </w:tc>
        <w:tc>
          <w:tcPr>
            <w:tcW w:w="701" w:type="dxa"/>
            <w:vMerge w:val="continue"/>
            <w:vAlign w:val="center"/>
          </w:tcPr>
          <w:p w14:paraId="01227A73">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cs="Times New Roman"/>
                <w:b/>
                <w:color w:val="auto"/>
                <w:sz w:val="21"/>
                <w:szCs w:val="21"/>
              </w:rPr>
            </w:pPr>
          </w:p>
        </w:tc>
      </w:tr>
      <w:tr w14:paraId="1F461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E1CEB88">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w:t>
            </w:r>
          </w:p>
        </w:tc>
        <w:tc>
          <w:tcPr>
            <w:tcW w:w="1480" w:type="dxa"/>
            <w:vAlign w:val="center"/>
          </w:tcPr>
          <w:p w14:paraId="445695A2">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pH值</w:t>
            </w:r>
          </w:p>
        </w:tc>
        <w:tc>
          <w:tcPr>
            <w:tcW w:w="993" w:type="dxa"/>
            <w:vAlign w:val="center"/>
          </w:tcPr>
          <w:p w14:paraId="6EAED3B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无量纲</w:t>
            </w:r>
          </w:p>
        </w:tc>
        <w:tc>
          <w:tcPr>
            <w:tcW w:w="993" w:type="dxa"/>
            <w:vAlign w:val="center"/>
          </w:tcPr>
          <w:p w14:paraId="210F9A05">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7.8</w:t>
            </w:r>
          </w:p>
        </w:tc>
        <w:tc>
          <w:tcPr>
            <w:tcW w:w="991" w:type="dxa"/>
            <w:vAlign w:val="center"/>
          </w:tcPr>
          <w:p w14:paraId="64AED15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7.7</w:t>
            </w:r>
          </w:p>
        </w:tc>
        <w:tc>
          <w:tcPr>
            <w:tcW w:w="994" w:type="dxa"/>
            <w:vAlign w:val="center"/>
          </w:tcPr>
          <w:p w14:paraId="2A7E6718">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7.7</w:t>
            </w:r>
          </w:p>
        </w:tc>
        <w:tc>
          <w:tcPr>
            <w:tcW w:w="848" w:type="dxa"/>
            <w:vAlign w:val="center"/>
          </w:tcPr>
          <w:p w14:paraId="3E4272A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0.53</w:t>
            </w:r>
          </w:p>
        </w:tc>
        <w:tc>
          <w:tcPr>
            <w:tcW w:w="850" w:type="dxa"/>
            <w:vAlign w:val="center"/>
          </w:tcPr>
          <w:p w14:paraId="4E3A525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0.47</w:t>
            </w:r>
          </w:p>
        </w:tc>
        <w:tc>
          <w:tcPr>
            <w:tcW w:w="853" w:type="dxa"/>
            <w:vAlign w:val="center"/>
          </w:tcPr>
          <w:p w14:paraId="0CECBDA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0.47</w:t>
            </w:r>
          </w:p>
        </w:tc>
        <w:tc>
          <w:tcPr>
            <w:tcW w:w="701" w:type="dxa"/>
            <w:vAlign w:val="center"/>
          </w:tcPr>
          <w:p w14:paraId="47002C6B">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6.5~8.5</w:t>
            </w:r>
          </w:p>
        </w:tc>
      </w:tr>
      <w:tr w14:paraId="42B6D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32115031">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w:t>
            </w:r>
          </w:p>
        </w:tc>
        <w:tc>
          <w:tcPr>
            <w:tcW w:w="1480" w:type="dxa"/>
            <w:vAlign w:val="center"/>
          </w:tcPr>
          <w:p w14:paraId="3508C446">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溶解性总固体</w:t>
            </w:r>
          </w:p>
        </w:tc>
        <w:tc>
          <w:tcPr>
            <w:tcW w:w="993" w:type="dxa"/>
            <w:vAlign w:val="center"/>
          </w:tcPr>
          <w:p w14:paraId="70E25BB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02A9718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eastAsia"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2.81×10</w:t>
            </w:r>
            <w:r>
              <w:rPr>
                <w:rFonts w:hint="eastAsia" w:ascii="Times New Roman" w:hAnsi="Times New Roman" w:eastAsia="宋体" w:cs="Times New Roman"/>
                <w:color w:val="auto"/>
                <w:sz w:val="21"/>
                <w:vertAlign w:val="superscript"/>
                <w:lang w:val="en-US" w:eastAsia="zh-CN"/>
              </w:rPr>
              <w:t>4</w:t>
            </w:r>
          </w:p>
        </w:tc>
        <w:tc>
          <w:tcPr>
            <w:tcW w:w="991" w:type="dxa"/>
            <w:vAlign w:val="center"/>
          </w:tcPr>
          <w:p w14:paraId="21D2944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5.82×10</w:t>
            </w:r>
            <w:r>
              <w:rPr>
                <w:rFonts w:hint="eastAsia" w:ascii="Times New Roman" w:hAnsi="Times New Roman" w:eastAsia="宋体" w:cs="Times New Roman"/>
                <w:color w:val="auto"/>
                <w:sz w:val="21"/>
                <w:vertAlign w:val="superscript"/>
                <w:lang w:val="en-US" w:eastAsia="zh-CN"/>
              </w:rPr>
              <w:t>4</w:t>
            </w:r>
          </w:p>
        </w:tc>
        <w:tc>
          <w:tcPr>
            <w:tcW w:w="994" w:type="dxa"/>
            <w:vAlign w:val="center"/>
          </w:tcPr>
          <w:p w14:paraId="23A05A9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6.18×10</w:t>
            </w:r>
            <w:r>
              <w:rPr>
                <w:rFonts w:hint="eastAsia" w:ascii="Times New Roman" w:hAnsi="Times New Roman" w:eastAsia="宋体" w:cs="Times New Roman"/>
                <w:color w:val="auto"/>
                <w:sz w:val="21"/>
                <w:vertAlign w:val="superscript"/>
                <w:lang w:val="en-US" w:eastAsia="zh-CN"/>
              </w:rPr>
              <w:t>4</w:t>
            </w:r>
          </w:p>
        </w:tc>
        <w:tc>
          <w:tcPr>
            <w:tcW w:w="848" w:type="dxa"/>
            <w:vAlign w:val="center"/>
          </w:tcPr>
          <w:p w14:paraId="17F83AB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28.10</w:t>
            </w:r>
          </w:p>
        </w:tc>
        <w:tc>
          <w:tcPr>
            <w:tcW w:w="850" w:type="dxa"/>
            <w:vAlign w:val="center"/>
          </w:tcPr>
          <w:p w14:paraId="0D4856F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58.20</w:t>
            </w:r>
          </w:p>
        </w:tc>
        <w:tc>
          <w:tcPr>
            <w:tcW w:w="853" w:type="dxa"/>
            <w:vAlign w:val="center"/>
          </w:tcPr>
          <w:p w14:paraId="400D1FA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61.80</w:t>
            </w:r>
          </w:p>
        </w:tc>
        <w:tc>
          <w:tcPr>
            <w:tcW w:w="701" w:type="dxa"/>
            <w:vAlign w:val="center"/>
          </w:tcPr>
          <w:p w14:paraId="297BA7F3">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1000</w:t>
            </w:r>
          </w:p>
        </w:tc>
      </w:tr>
      <w:tr w14:paraId="7587B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47BE09A">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3</w:t>
            </w:r>
          </w:p>
        </w:tc>
        <w:tc>
          <w:tcPr>
            <w:tcW w:w="1480" w:type="dxa"/>
            <w:vAlign w:val="center"/>
          </w:tcPr>
          <w:p w14:paraId="00471692">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总硬度</w:t>
            </w:r>
          </w:p>
        </w:tc>
        <w:tc>
          <w:tcPr>
            <w:tcW w:w="993" w:type="dxa"/>
            <w:vAlign w:val="center"/>
          </w:tcPr>
          <w:p w14:paraId="2C2C16C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587C4C0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612</w:t>
            </w:r>
          </w:p>
        </w:tc>
        <w:tc>
          <w:tcPr>
            <w:tcW w:w="991" w:type="dxa"/>
            <w:vAlign w:val="center"/>
          </w:tcPr>
          <w:p w14:paraId="4619226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1.81×10</w:t>
            </w:r>
            <w:r>
              <w:rPr>
                <w:rFonts w:hint="eastAsia" w:ascii="Times New Roman" w:hAnsi="Times New Roman" w:eastAsia="宋体" w:cs="Times New Roman"/>
                <w:color w:val="auto"/>
                <w:sz w:val="21"/>
                <w:vertAlign w:val="superscript"/>
                <w:lang w:val="en-US" w:eastAsia="zh-CN"/>
              </w:rPr>
              <w:t>3</w:t>
            </w:r>
          </w:p>
        </w:tc>
        <w:tc>
          <w:tcPr>
            <w:tcW w:w="994" w:type="dxa"/>
            <w:vAlign w:val="center"/>
          </w:tcPr>
          <w:p w14:paraId="598C0CF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1.68×10</w:t>
            </w:r>
            <w:r>
              <w:rPr>
                <w:rFonts w:hint="eastAsia" w:ascii="Times New Roman" w:hAnsi="Times New Roman" w:eastAsia="宋体" w:cs="Times New Roman"/>
                <w:color w:val="auto"/>
                <w:sz w:val="21"/>
                <w:vertAlign w:val="superscript"/>
                <w:lang w:val="en-US" w:eastAsia="zh-CN"/>
              </w:rPr>
              <w:t>3</w:t>
            </w:r>
          </w:p>
        </w:tc>
        <w:tc>
          <w:tcPr>
            <w:tcW w:w="848" w:type="dxa"/>
            <w:vAlign w:val="center"/>
          </w:tcPr>
          <w:p w14:paraId="09D513B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1.36</w:t>
            </w:r>
          </w:p>
        </w:tc>
        <w:tc>
          <w:tcPr>
            <w:tcW w:w="850" w:type="dxa"/>
            <w:vAlign w:val="center"/>
          </w:tcPr>
          <w:p w14:paraId="5C94332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4.02</w:t>
            </w:r>
          </w:p>
        </w:tc>
        <w:tc>
          <w:tcPr>
            <w:tcW w:w="853" w:type="dxa"/>
            <w:vAlign w:val="center"/>
          </w:tcPr>
          <w:p w14:paraId="552ED3A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3.73</w:t>
            </w:r>
          </w:p>
        </w:tc>
        <w:tc>
          <w:tcPr>
            <w:tcW w:w="701" w:type="dxa"/>
            <w:vAlign w:val="center"/>
          </w:tcPr>
          <w:p w14:paraId="7C43C66A">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450</w:t>
            </w:r>
          </w:p>
        </w:tc>
      </w:tr>
      <w:tr w14:paraId="706B4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E54614D">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4</w:t>
            </w:r>
          </w:p>
        </w:tc>
        <w:tc>
          <w:tcPr>
            <w:tcW w:w="1480" w:type="dxa"/>
            <w:vAlign w:val="center"/>
          </w:tcPr>
          <w:p w14:paraId="79899B4C">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氨氮</w:t>
            </w:r>
          </w:p>
        </w:tc>
        <w:tc>
          <w:tcPr>
            <w:tcW w:w="993" w:type="dxa"/>
            <w:vAlign w:val="center"/>
          </w:tcPr>
          <w:p w14:paraId="63C474E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0702E8FB">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&lt;0.025</w:t>
            </w:r>
          </w:p>
        </w:tc>
        <w:tc>
          <w:tcPr>
            <w:tcW w:w="991" w:type="dxa"/>
            <w:vAlign w:val="center"/>
          </w:tcPr>
          <w:p w14:paraId="75B4CE0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&lt;0.025</w:t>
            </w:r>
          </w:p>
        </w:tc>
        <w:tc>
          <w:tcPr>
            <w:tcW w:w="994" w:type="dxa"/>
            <w:vAlign w:val="center"/>
          </w:tcPr>
          <w:p w14:paraId="6BF0032B">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&lt;0.025</w:t>
            </w:r>
          </w:p>
        </w:tc>
        <w:tc>
          <w:tcPr>
            <w:tcW w:w="848" w:type="dxa"/>
            <w:vAlign w:val="center"/>
          </w:tcPr>
          <w:p w14:paraId="702CB2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0" w:type="dxa"/>
            <w:vAlign w:val="center"/>
          </w:tcPr>
          <w:p w14:paraId="72A46E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158EE0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3BD38C35">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0.5</w:t>
            </w:r>
          </w:p>
        </w:tc>
      </w:tr>
      <w:tr w14:paraId="2626C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9AB9D2D">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5</w:t>
            </w:r>
          </w:p>
        </w:tc>
        <w:tc>
          <w:tcPr>
            <w:tcW w:w="1480" w:type="dxa"/>
            <w:vAlign w:val="center"/>
          </w:tcPr>
          <w:p w14:paraId="7BEC975B">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氰化物</w:t>
            </w:r>
          </w:p>
        </w:tc>
        <w:tc>
          <w:tcPr>
            <w:tcW w:w="993" w:type="dxa"/>
            <w:vAlign w:val="center"/>
          </w:tcPr>
          <w:p w14:paraId="6CF3501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186198C0">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&lt;0.001</w:t>
            </w:r>
          </w:p>
        </w:tc>
        <w:tc>
          <w:tcPr>
            <w:tcW w:w="991" w:type="dxa"/>
            <w:vAlign w:val="center"/>
          </w:tcPr>
          <w:p w14:paraId="5843133D">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&lt;0.001</w:t>
            </w:r>
          </w:p>
        </w:tc>
        <w:tc>
          <w:tcPr>
            <w:tcW w:w="994" w:type="dxa"/>
            <w:vAlign w:val="center"/>
          </w:tcPr>
          <w:p w14:paraId="4873F60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&lt;0.001</w:t>
            </w:r>
          </w:p>
        </w:tc>
        <w:tc>
          <w:tcPr>
            <w:tcW w:w="848" w:type="dxa"/>
            <w:vAlign w:val="center"/>
          </w:tcPr>
          <w:p w14:paraId="6631AC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0" w:type="dxa"/>
            <w:vAlign w:val="center"/>
          </w:tcPr>
          <w:p w14:paraId="612A46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7364E8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2A2B2D98">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0.05</w:t>
            </w:r>
          </w:p>
        </w:tc>
      </w:tr>
      <w:tr w14:paraId="0F34E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CB81E78">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6</w:t>
            </w:r>
          </w:p>
        </w:tc>
        <w:tc>
          <w:tcPr>
            <w:tcW w:w="1480" w:type="dxa"/>
            <w:vAlign w:val="center"/>
          </w:tcPr>
          <w:p w14:paraId="27E839BA">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挥发酚</w:t>
            </w:r>
          </w:p>
        </w:tc>
        <w:tc>
          <w:tcPr>
            <w:tcW w:w="993" w:type="dxa"/>
            <w:vAlign w:val="center"/>
          </w:tcPr>
          <w:p w14:paraId="2B11C97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44CAACC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&lt;0.0003</w:t>
            </w:r>
          </w:p>
        </w:tc>
        <w:tc>
          <w:tcPr>
            <w:tcW w:w="991" w:type="dxa"/>
            <w:vAlign w:val="center"/>
          </w:tcPr>
          <w:p w14:paraId="72079E37">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&lt;0.0003</w:t>
            </w:r>
          </w:p>
        </w:tc>
        <w:tc>
          <w:tcPr>
            <w:tcW w:w="994" w:type="dxa"/>
            <w:vAlign w:val="center"/>
          </w:tcPr>
          <w:p w14:paraId="681091E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&lt;0.0003</w:t>
            </w:r>
          </w:p>
        </w:tc>
        <w:tc>
          <w:tcPr>
            <w:tcW w:w="848" w:type="dxa"/>
            <w:vAlign w:val="center"/>
          </w:tcPr>
          <w:p w14:paraId="06A5E9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0" w:type="dxa"/>
            <w:vAlign w:val="center"/>
          </w:tcPr>
          <w:p w14:paraId="080F68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3CEB9D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5DD051E1">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0.002</w:t>
            </w:r>
          </w:p>
        </w:tc>
      </w:tr>
      <w:tr w14:paraId="0D149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C0706AC">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7</w:t>
            </w:r>
          </w:p>
        </w:tc>
        <w:tc>
          <w:tcPr>
            <w:tcW w:w="1480" w:type="dxa"/>
            <w:vAlign w:val="center"/>
          </w:tcPr>
          <w:p w14:paraId="7FC64A43">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亚硝酸盐</w:t>
            </w:r>
          </w:p>
        </w:tc>
        <w:tc>
          <w:tcPr>
            <w:tcW w:w="993" w:type="dxa"/>
            <w:vAlign w:val="center"/>
          </w:tcPr>
          <w:p w14:paraId="42DD17E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0F75E6D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&lt;0.003</w:t>
            </w:r>
          </w:p>
        </w:tc>
        <w:tc>
          <w:tcPr>
            <w:tcW w:w="991" w:type="dxa"/>
            <w:vAlign w:val="center"/>
          </w:tcPr>
          <w:p w14:paraId="6026E155">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&lt;0.003</w:t>
            </w:r>
          </w:p>
        </w:tc>
        <w:tc>
          <w:tcPr>
            <w:tcW w:w="994" w:type="dxa"/>
            <w:vAlign w:val="center"/>
          </w:tcPr>
          <w:p w14:paraId="0945C23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&lt;0.003</w:t>
            </w:r>
          </w:p>
        </w:tc>
        <w:tc>
          <w:tcPr>
            <w:tcW w:w="848" w:type="dxa"/>
            <w:vAlign w:val="center"/>
          </w:tcPr>
          <w:p w14:paraId="41D947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0" w:type="dxa"/>
            <w:vAlign w:val="center"/>
          </w:tcPr>
          <w:p w14:paraId="019D99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7BAE78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520DAC5E">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1.0</w:t>
            </w:r>
          </w:p>
        </w:tc>
      </w:tr>
      <w:tr w14:paraId="1E3A2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A81823C">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8</w:t>
            </w:r>
          </w:p>
        </w:tc>
        <w:tc>
          <w:tcPr>
            <w:tcW w:w="1480" w:type="dxa"/>
            <w:vAlign w:val="center"/>
          </w:tcPr>
          <w:p w14:paraId="3B3E752C">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锌</w:t>
            </w:r>
          </w:p>
        </w:tc>
        <w:tc>
          <w:tcPr>
            <w:tcW w:w="993" w:type="dxa"/>
            <w:vAlign w:val="center"/>
          </w:tcPr>
          <w:p w14:paraId="24905CE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4AC5B03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0.010</w:t>
            </w:r>
          </w:p>
        </w:tc>
        <w:tc>
          <w:tcPr>
            <w:tcW w:w="991" w:type="dxa"/>
            <w:vAlign w:val="center"/>
          </w:tcPr>
          <w:p w14:paraId="34242F8D">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0.063</w:t>
            </w:r>
          </w:p>
        </w:tc>
        <w:tc>
          <w:tcPr>
            <w:tcW w:w="994" w:type="dxa"/>
            <w:vAlign w:val="center"/>
          </w:tcPr>
          <w:p w14:paraId="12CB526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0.067</w:t>
            </w:r>
          </w:p>
        </w:tc>
        <w:tc>
          <w:tcPr>
            <w:tcW w:w="848" w:type="dxa"/>
            <w:vAlign w:val="center"/>
          </w:tcPr>
          <w:p w14:paraId="406E38B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0.010</w:t>
            </w:r>
          </w:p>
        </w:tc>
        <w:tc>
          <w:tcPr>
            <w:tcW w:w="850" w:type="dxa"/>
            <w:vAlign w:val="center"/>
          </w:tcPr>
          <w:p w14:paraId="5F36745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0.063</w:t>
            </w:r>
          </w:p>
        </w:tc>
        <w:tc>
          <w:tcPr>
            <w:tcW w:w="853" w:type="dxa"/>
            <w:vAlign w:val="center"/>
          </w:tcPr>
          <w:p w14:paraId="5971A83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0.067</w:t>
            </w:r>
          </w:p>
        </w:tc>
        <w:tc>
          <w:tcPr>
            <w:tcW w:w="701" w:type="dxa"/>
            <w:vAlign w:val="center"/>
          </w:tcPr>
          <w:p w14:paraId="16B7CAA2">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1.0</w:t>
            </w:r>
          </w:p>
        </w:tc>
      </w:tr>
      <w:tr w14:paraId="781AF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AA72B4E">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9</w:t>
            </w:r>
          </w:p>
        </w:tc>
        <w:tc>
          <w:tcPr>
            <w:tcW w:w="1480" w:type="dxa"/>
            <w:vAlign w:val="center"/>
          </w:tcPr>
          <w:p w14:paraId="5E1F19DF">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铅</w:t>
            </w:r>
          </w:p>
        </w:tc>
        <w:tc>
          <w:tcPr>
            <w:tcW w:w="993" w:type="dxa"/>
            <w:vAlign w:val="center"/>
          </w:tcPr>
          <w:p w14:paraId="2B51600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m</w:t>
            </w:r>
            <w:r>
              <w:rPr>
                <w:rFonts w:hint="default" w:ascii="Times New Roman" w:hAnsi="Times New Roman" w:cs="Times New Roman"/>
                <w:color w:val="auto"/>
                <w:sz w:val="21"/>
              </w:rPr>
              <w:t>g/L</w:t>
            </w:r>
          </w:p>
        </w:tc>
        <w:tc>
          <w:tcPr>
            <w:tcW w:w="993" w:type="dxa"/>
            <w:vAlign w:val="center"/>
          </w:tcPr>
          <w:p w14:paraId="3DF969C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&lt;0.0025</w:t>
            </w:r>
          </w:p>
        </w:tc>
        <w:tc>
          <w:tcPr>
            <w:tcW w:w="991" w:type="dxa"/>
            <w:vAlign w:val="center"/>
          </w:tcPr>
          <w:p w14:paraId="45445507">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&lt;0.0025</w:t>
            </w:r>
          </w:p>
        </w:tc>
        <w:tc>
          <w:tcPr>
            <w:tcW w:w="994" w:type="dxa"/>
            <w:vAlign w:val="center"/>
          </w:tcPr>
          <w:p w14:paraId="190EF3C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&lt;0.0025</w:t>
            </w:r>
          </w:p>
        </w:tc>
        <w:tc>
          <w:tcPr>
            <w:tcW w:w="848" w:type="dxa"/>
            <w:vAlign w:val="center"/>
          </w:tcPr>
          <w:p w14:paraId="5EACD4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w:t>
            </w:r>
          </w:p>
        </w:tc>
        <w:tc>
          <w:tcPr>
            <w:tcW w:w="850" w:type="dxa"/>
            <w:vAlign w:val="center"/>
          </w:tcPr>
          <w:p w14:paraId="6B1012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73A2EB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777CE46D">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01</w:t>
            </w:r>
          </w:p>
        </w:tc>
      </w:tr>
      <w:tr w14:paraId="66086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AF61677">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10</w:t>
            </w:r>
          </w:p>
        </w:tc>
        <w:tc>
          <w:tcPr>
            <w:tcW w:w="1480" w:type="dxa"/>
            <w:vAlign w:val="center"/>
          </w:tcPr>
          <w:p w14:paraId="2334A12D">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砷</w:t>
            </w:r>
          </w:p>
        </w:tc>
        <w:tc>
          <w:tcPr>
            <w:tcW w:w="993" w:type="dxa"/>
            <w:vAlign w:val="center"/>
          </w:tcPr>
          <w:p w14:paraId="2B651C50">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m</w:t>
            </w:r>
            <w:r>
              <w:rPr>
                <w:rFonts w:hint="default" w:ascii="Times New Roman" w:hAnsi="Times New Roman" w:cs="Times New Roman"/>
                <w:color w:val="auto"/>
                <w:sz w:val="21"/>
              </w:rPr>
              <w:t>g/L</w:t>
            </w:r>
          </w:p>
        </w:tc>
        <w:tc>
          <w:tcPr>
            <w:tcW w:w="993" w:type="dxa"/>
            <w:vAlign w:val="center"/>
          </w:tcPr>
          <w:p w14:paraId="371E476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&lt;0.0003</w:t>
            </w:r>
          </w:p>
        </w:tc>
        <w:tc>
          <w:tcPr>
            <w:tcW w:w="991" w:type="dxa"/>
            <w:vAlign w:val="center"/>
          </w:tcPr>
          <w:p w14:paraId="3B417A8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&lt;0.0003</w:t>
            </w:r>
          </w:p>
        </w:tc>
        <w:tc>
          <w:tcPr>
            <w:tcW w:w="994" w:type="dxa"/>
            <w:vAlign w:val="center"/>
          </w:tcPr>
          <w:p w14:paraId="585CCCF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&lt;0.0003</w:t>
            </w:r>
          </w:p>
        </w:tc>
        <w:tc>
          <w:tcPr>
            <w:tcW w:w="848" w:type="dxa"/>
            <w:vAlign w:val="center"/>
          </w:tcPr>
          <w:p w14:paraId="24DD6C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w:t>
            </w:r>
          </w:p>
        </w:tc>
        <w:tc>
          <w:tcPr>
            <w:tcW w:w="850" w:type="dxa"/>
            <w:vAlign w:val="center"/>
          </w:tcPr>
          <w:p w14:paraId="525104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422618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3F4ABF6A">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01</w:t>
            </w:r>
          </w:p>
        </w:tc>
      </w:tr>
      <w:tr w14:paraId="1AF0D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CE2107A">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11</w:t>
            </w:r>
          </w:p>
        </w:tc>
        <w:tc>
          <w:tcPr>
            <w:tcW w:w="1480" w:type="dxa"/>
            <w:vAlign w:val="center"/>
          </w:tcPr>
          <w:p w14:paraId="21BB8CAE">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汞</w:t>
            </w:r>
          </w:p>
        </w:tc>
        <w:tc>
          <w:tcPr>
            <w:tcW w:w="993" w:type="dxa"/>
            <w:vAlign w:val="center"/>
          </w:tcPr>
          <w:p w14:paraId="483EDB3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m</w:t>
            </w:r>
            <w:r>
              <w:rPr>
                <w:rFonts w:hint="default" w:ascii="Times New Roman" w:hAnsi="Times New Roman" w:cs="Times New Roman"/>
                <w:color w:val="auto"/>
                <w:sz w:val="21"/>
              </w:rPr>
              <w:t>g/L</w:t>
            </w:r>
          </w:p>
        </w:tc>
        <w:tc>
          <w:tcPr>
            <w:tcW w:w="993" w:type="dxa"/>
            <w:vAlign w:val="center"/>
          </w:tcPr>
          <w:p w14:paraId="11CF6A9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&lt;0.00004</w:t>
            </w:r>
          </w:p>
        </w:tc>
        <w:tc>
          <w:tcPr>
            <w:tcW w:w="991" w:type="dxa"/>
            <w:vAlign w:val="center"/>
          </w:tcPr>
          <w:p w14:paraId="606EF86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&lt;0.00004</w:t>
            </w:r>
          </w:p>
        </w:tc>
        <w:tc>
          <w:tcPr>
            <w:tcW w:w="994" w:type="dxa"/>
            <w:vAlign w:val="center"/>
          </w:tcPr>
          <w:p w14:paraId="2684B840">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&lt;0.00004</w:t>
            </w:r>
          </w:p>
        </w:tc>
        <w:tc>
          <w:tcPr>
            <w:tcW w:w="848" w:type="dxa"/>
            <w:vAlign w:val="center"/>
          </w:tcPr>
          <w:p w14:paraId="1DF424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w:t>
            </w:r>
          </w:p>
        </w:tc>
        <w:tc>
          <w:tcPr>
            <w:tcW w:w="850" w:type="dxa"/>
            <w:vAlign w:val="center"/>
          </w:tcPr>
          <w:p w14:paraId="6456DD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7795C6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67972261">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0.001</w:t>
            </w:r>
          </w:p>
        </w:tc>
      </w:tr>
      <w:tr w14:paraId="35DD0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08698EE">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12</w:t>
            </w:r>
          </w:p>
        </w:tc>
        <w:tc>
          <w:tcPr>
            <w:tcW w:w="1480" w:type="dxa"/>
            <w:vAlign w:val="center"/>
          </w:tcPr>
          <w:p w14:paraId="6D849FCA">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镉</w:t>
            </w:r>
          </w:p>
        </w:tc>
        <w:tc>
          <w:tcPr>
            <w:tcW w:w="993" w:type="dxa"/>
            <w:vAlign w:val="center"/>
          </w:tcPr>
          <w:p w14:paraId="5C30C4D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m</w:t>
            </w:r>
            <w:r>
              <w:rPr>
                <w:rFonts w:hint="default" w:ascii="Times New Roman" w:hAnsi="Times New Roman" w:cs="Times New Roman"/>
                <w:color w:val="auto"/>
                <w:sz w:val="21"/>
              </w:rPr>
              <w:t>g/L</w:t>
            </w:r>
          </w:p>
        </w:tc>
        <w:tc>
          <w:tcPr>
            <w:tcW w:w="993" w:type="dxa"/>
            <w:vAlign w:val="center"/>
          </w:tcPr>
          <w:p w14:paraId="7FE5316D">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&lt;0.004</w:t>
            </w:r>
          </w:p>
        </w:tc>
        <w:tc>
          <w:tcPr>
            <w:tcW w:w="991" w:type="dxa"/>
            <w:vAlign w:val="center"/>
          </w:tcPr>
          <w:p w14:paraId="36048FBB">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&lt;0.004</w:t>
            </w:r>
          </w:p>
        </w:tc>
        <w:tc>
          <w:tcPr>
            <w:tcW w:w="994" w:type="dxa"/>
            <w:vAlign w:val="center"/>
          </w:tcPr>
          <w:p w14:paraId="4289A7E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&lt;0.004</w:t>
            </w:r>
          </w:p>
        </w:tc>
        <w:tc>
          <w:tcPr>
            <w:tcW w:w="848" w:type="dxa"/>
            <w:vAlign w:val="center"/>
          </w:tcPr>
          <w:p w14:paraId="0C8F94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w:t>
            </w:r>
          </w:p>
        </w:tc>
        <w:tc>
          <w:tcPr>
            <w:tcW w:w="850" w:type="dxa"/>
            <w:vAlign w:val="center"/>
          </w:tcPr>
          <w:p w14:paraId="244FB38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25739A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7934EEE3">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0.005</w:t>
            </w:r>
          </w:p>
        </w:tc>
      </w:tr>
      <w:tr w14:paraId="39184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D6747FD">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13</w:t>
            </w:r>
          </w:p>
        </w:tc>
        <w:tc>
          <w:tcPr>
            <w:tcW w:w="1480" w:type="dxa"/>
            <w:vAlign w:val="center"/>
          </w:tcPr>
          <w:p w14:paraId="71E4A4BF">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六价铬</w:t>
            </w:r>
          </w:p>
        </w:tc>
        <w:tc>
          <w:tcPr>
            <w:tcW w:w="993" w:type="dxa"/>
            <w:vAlign w:val="center"/>
          </w:tcPr>
          <w:p w14:paraId="2C9AF4E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35202858">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&lt;0.004</w:t>
            </w:r>
          </w:p>
        </w:tc>
        <w:tc>
          <w:tcPr>
            <w:tcW w:w="991" w:type="dxa"/>
            <w:vAlign w:val="center"/>
          </w:tcPr>
          <w:p w14:paraId="2B0B904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&lt;0.004</w:t>
            </w:r>
          </w:p>
        </w:tc>
        <w:tc>
          <w:tcPr>
            <w:tcW w:w="994" w:type="dxa"/>
            <w:vAlign w:val="center"/>
          </w:tcPr>
          <w:p w14:paraId="61418C7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&lt;0.004</w:t>
            </w:r>
          </w:p>
        </w:tc>
        <w:tc>
          <w:tcPr>
            <w:tcW w:w="848" w:type="dxa"/>
            <w:vAlign w:val="center"/>
          </w:tcPr>
          <w:p w14:paraId="50C772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0" w:type="dxa"/>
            <w:vAlign w:val="center"/>
          </w:tcPr>
          <w:p w14:paraId="7224AA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748F9B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761A63D1">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0.05</w:t>
            </w:r>
          </w:p>
        </w:tc>
      </w:tr>
      <w:tr w14:paraId="66FF5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1" w:type="dxa"/>
            <w:vAlign w:val="center"/>
          </w:tcPr>
          <w:p w14:paraId="26292DB8">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14</w:t>
            </w:r>
          </w:p>
        </w:tc>
        <w:tc>
          <w:tcPr>
            <w:tcW w:w="1480" w:type="dxa"/>
            <w:vAlign w:val="center"/>
          </w:tcPr>
          <w:p w14:paraId="385E1527">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钾</w:t>
            </w:r>
          </w:p>
        </w:tc>
        <w:tc>
          <w:tcPr>
            <w:tcW w:w="993" w:type="dxa"/>
            <w:vAlign w:val="center"/>
          </w:tcPr>
          <w:p w14:paraId="1B09C767">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726F43E0">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87.0</w:t>
            </w:r>
          </w:p>
        </w:tc>
        <w:tc>
          <w:tcPr>
            <w:tcW w:w="991" w:type="dxa"/>
            <w:vAlign w:val="center"/>
          </w:tcPr>
          <w:p w14:paraId="4F1F3E60">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91.1</w:t>
            </w:r>
          </w:p>
        </w:tc>
        <w:tc>
          <w:tcPr>
            <w:tcW w:w="994" w:type="dxa"/>
            <w:vAlign w:val="center"/>
          </w:tcPr>
          <w:p w14:paraId="7686987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94.1</w:t>
            </w:r>
          </w:p>
        </w:tc>
        <w:tc>
          <w:tcPr>
            <w:tcW w:w="848" w:type="dxa"/>
            <w:vAlign w:val="center"/>
          </w:tcPr>
          <w:p w14:paraId="6EC9A0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0" w:type="dxa"/>
            <w:vAlign w:val="center"/>
          </w:tcPr>
          <w:p w14:paraId="1BDA76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648E4F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4BC57256">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r>
      <w:tr w14:paraId="6A9D5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317F8752">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15</w:t>
            </w:r>
          </w:p>
        </w:tc>
        <w:tc>
          <w:tcPr>
            <w:tcW w:w="1480" w:type="dxa"/>
            <w:vAlign w:val="center"/>
          </w:tcPr>
          <w:p w14:paraId="6A95FB03">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钠</w:t>
            </w:r>
          </w:p>
        </w:tc>
        <w:tc>
          <w:tcPr>
            <w:tcW w:w="993" w:type="dxa"/>
            <w:vAlign w:val="center"/>
          </w:tcPr>
          <w:p w14:paraId="7A5FD1C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6813530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9.99×10</w:t>
            </w:r>
            <w:r>
              <w:rPr>
                <w:rFonts w:hint="eastAsia" w:ascii="Times New Roman" w:hAnsi="Times New Roman" w:eastAsia="宋体" w:cs="Times New Roman"/>
                <w:color w:val="auto"/>
                <w:sz w:val="21"/>
                <w:vertAlign w:val="superscript"/>
                <w:lang w:val="en-US" w:eastAsia="zh-CN"/>
              </w:rPr>
              <w:t>3</w:t>
            </w:r>
          </w:p>
        </w:tc>
        <w:tc>
          <w:tcPr>
            <w:tcW w:w="991" w:type="dxa"/>
            <w:vAlign w:val="center"/>
          </w:tcPr>
          <w:p w14:paraId="7E34D8C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2.17×10</w:t>
            </w:r>
            <w:r>
              <w:rPr>
                <w:rFonts w:hint="eastAsia" w:ascii="Times New Roman" w:hAnsi="Times New Roman" w:eastAsia="宋体" w:cs="Times New Roman"/>
                <w:color w:val="auto"/>
                <w:sz w:val="21"/>
                <w:vertAlign w:val="superscript"/>
                <w:lang w:val="en-US" w:eastAsia="zh-CN"/>
              </w:rPr>
              <w:t>4</w:t>
            </w:r>
          </w:p>
        </w:tc>
        <w:tc>
          <w:tcPr>
            <w:tcW w:w="994" w:type="dxa"/>
            <w:vAlign w:val="center"/>
          </w:tcPr>
          <w:p w14:paraId="697F55DD">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2.13×10</w:t>
            </w:r>
            <w:r>
              <w:rPr>
                <w:rFonts w:hint="eastAsia" w:ascii="Times New Roman" w:hAnsi="Times New Roman" w:eastAsia="宋体" w:cs="Times New Roman"/>
                <w:color w:val="auto"/>
                <w:sz w:val="21"/>
                <w:vertAlign w:val="superscript"/>
                <w:lang w:val="en-US" w:eastAsia="zh-CN"/>
              </w:rPr>
              <w:t>4</w:t>
            </w:r>
          </w:p>
        </w:tc>
        <w:tc>
          <w:tcPr>
            <w:tcW w:w="848" w:type="dxa"/>
            <w:vAlign w:val="center"/>
          </w:tcPr>
          <w:p w14:paraId="3705A01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49.95</w:t>
            </w:r>
          </w:p>
        </w:tc>
        <w:tc>
          <w:tcPr>
            <w:tcW w:w="850" w:type="dxa"/>
            <w:vAlign w:val="center"/>
          </w:tcPr>
          <w:p w14:paraId="792C1DE7">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108.5</w:t>
            </w:r>
          </w:p>
        </w:tc>
        <w:tc>
          <w:tcPr>
            <w:tcW w:w="853" w:type="dxa"/>
            <w:vAlign w:val="center"/>
          </w:tcPr>
          <w:p w14:paraId="2B6833A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106.5</w:t>
            </w:r>
          </w:p>
        </w:tc>
        <w:tc>
          <w:tcPr>
            <w:tcW w:w="701" w:type="dxa"/>
            <w:vAlign w:val="center"/>
          </w:tcPr>
          <w:p w14:paraId="4E97BECC">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200</w:t>
            </w:r>
          </w:p>
        </w:tc>
      </w:tr>
      <w:tr w14:paraId="7A5E1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606ABBB">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16</w:t>
            </w:r>
          </w:p>
        </w:tc>
        <w:tc>
          <w:tcPr>
            <w:tcW w:w="1480" w:type="dxa"/>
            <w:vAlign w:val="center"/>
          </w:tcPr>
          <w:p w14:paraId="7C7B3474">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总大肠菌群</w:t>
            </w:r>
          </w:p>
        </w:tc>
        <w:tc>
          <w:tcPr>
            <w:tcW w:w="993" w:type="dxa"/>
            <w:vAlign w:val="center"/>
          </w:tcPr>
          <w:p w14:paraId="5F08A14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MPN/L</w:t>
            </w:r>
          </w:p>
        </w:tc>
        <w:tc>
          <w:tcPr>
            <w:tcW w:w="993" w:type="dxa"/>
            <w:vAlign w:val="center"/>
          </w:tcPr>
          <w:p w14:paraId="42818C6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&lt;20</w:t>
            </w:r>
          </w:p>
        </w:tc>
        <w:tc>
          <w:tcPr>
            <w:tcW w:w="991" w:type="dxa"/>
            <w:vAlign w:val="center"/>
          </w:tcPr>
          <w:p w14:paraId="78BCD69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&lt;20</w:t>
            </w:r>
          </w:p>
        </w:tc>
        <w:tc>
          <w:tcPr>
            <w:tcW w:w="994" w:type="dxa"/>
            <w:vAlign w:val="center"/>
          </w:tcPr>
          <w:p w14:paraId="5867B6D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&lt;20</w:t>
            </w:r>
          </w:p>
        </w:tc>
        <w:tc>
          <w:tcPr>
            <w:tcW w:w="848" w:type="dxa"/>
            <w:vAlign w:val="center"/>
          </w:tcPr>
          <w:p w14:paraId="21BD51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0" w:type="dxa"/>
            <w:vAlign w:val="center"/>
          </w:tcPr>
          <w:p w14:paraId="103DFB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76E7AC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1C3010CE">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30</w:t>
            </w:r>
          </w:p>
        </w:tc>
      </w:tr>
      <w:tr w14:paraId="721CF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B547677">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17</w:t>
            </w:r>
          </w:p>
        </w:tc>
        <w:tc>
          <w:tcPr>
            <w:tcW w:w="1480" w:type="dxa"/>
            <w:vAlign w:val="center"/>
          </w:tcPr>
          <w:p w14:paraId="1E9972C2">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铜</w:t>
            </w:r>
          </w:p>
        </w:tc>
        <w:tc>
          <w:tcPr>
            <w:tcW w:w="993" w:type="dxa"/>
            <w:vAlign w:val="center"/>
          </w:tcPr>
          <w:p w14:paraId="73CF1BE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17A7D7DD">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&lt;0.009</w:t>
            </w:r>
          </w:p>
        </w:tc>
        <w:tc>
          <w:tcPr>
            <w:tcW w:w="991" w:type="dxa"/>
            <w:vAlign w:val="center"/>
          </w:tcPr>
          <w:p w14:paraId="1CFFD3A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&lt;0.009</w:t>
            </w:r>
          </w:p>
        </w:tc>
        <w:tc>
          <w:tcPr>
            <w:tcW w:w="994" w:type="dxa"/>
            <w:vAlign w:val="center"/>
          </w:tcPr>
          <w:p w14:paraId="267F94E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&lt;0.009</w:t>
            </w:r>
          </w:p>
        </w:tc>
        <w:tc>
          <w:tcPr>
            <w:tcW w:w="848" w:type="dxa"/>
            <w:vAlign w:val="center"/>
          </w:tcPr>
          <w:p w14:paraId="0659C4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0" w:type="dxa"/>
            <w:vAlign w:val="center"/>
          </w:tcPr>
          <w:p w14:paraId="298271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2C2922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1824F0F1">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1.00</w:t>
            </w:r>
          </w:p>
        </w:tc>
      </w:tr>
      <w:tr w14:paraId="175D9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EBBAC31">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18</w:t>
            </w:r>
          </w:p>
        </w:tc>
        <w:tc>
          <w:tcPr>
            <w:tcW w:w="1480" w:type="dxa"/>
            <w:vAlign w:val="center"/>
          </w:tcPr>
          <w:p w14:paraId="1068FB53">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氯化物</w:t>
            </w:r>
          </w:p>
        </w:tc>
        <w:tc>
          <w:tcPr>
            <w:tcW w:w="993" w:type="dxa"/>
            <w:vAlign w:val="center"/>
          </w:tcPr>
          <w:p w14:paraId="15052A1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5EDCB76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eastAsia"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9.59×10</w:t>
            </w:r>
            <w:r>
              <w:rPr>
                <w:rFonts w:hint="eastAsia" w:ascii="Times New Roman" w:hAnsi="Times New Roman" w:eastAsia="宋体" w:cs="Times New Roman"/>
                <w:color w:val="auto"/>
                <w:sz w:val="21"/>
                <w:vertAlign w:val="superscript"/>
                <w:lang w:val="en-US" w:eastAsia="zh-CN"/>
              </w:rPr>
              <w:t>3</w:t>
            </w:r>
          </w:p>
        </w:tc>
        <w:tc>
          <w:tcPr>
            <w:tcW w:w="991" w:type="dxa"/>
            <w:vAlign w:val="center"/>
          </w:tcPr>
          <w:p w14:paraId="7076A3C8">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2.50×10</w:t>
            </w:r>
            <w:r>
              <w:rPr>
                <w:rFonts w:hint="eastAsia" w:ascii="Times New Roman" w:hAnsi="Times New Roman" w:eastAsia="宋体" w:cs="Times New Roman"/>
                <w:color w:val="auto"/>
                <w:sz w:val="21"/>
                <w:vertAlign w:val="superscript"/>
                <w:lang w:val="en-US" w:eastAsia="zh-CN"/>
              </w:rPr>
              <w:t>4</w:t>
            </w:r>
          </w:p>
        </w:tc>
        <w:tc>
          <w:tcPr>
            <w:tcW w:w="994" w:type="dxa"/>
            <w:vAlign w:val="center"/>
          </w:tcPr>
          <w:p w14:paraId="326A728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2.69×10</w:t>
            </w:r>
            <w:r>
              <w:rPr>
                <w:rFonts w:hint="eastAsia" w:ascii="Times New Roman" w:hAnsi="Times New Roman" w:eastAsia="宋体" w:cs="Times New Roman"/>
                <w:color w:val="auto"/>
                <w:sz w:val="21"/>
                <w:vertAlign w:val="superscript"/>
                <w:lang w:val="en-US" w:eastAsia="zh-CN"/>
              </w:rPr>
              <w:t>4</w:t>
            </w:r>
          </w:p>
        </w:tc>
        <w:tc>
          <w:tcPr>
            <w:tcW w:w="848" w:type="dxa"/>
            <w:vAlign w:val="center"/>
          </w:tcPr>
          <w:p w14:paraId="7EED810B">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38.36</w:t>
            </w:r>
          </w:p>
        </w:tc>
        <w:tc>
          <w:tcPr>
            <w:tcW w:w="850" w:type="dxa"/>
            <w:vAlign w:val="center"/>
          </w:tcPr>
          <w:p w14:paraId="06BEBE6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100.0</w:t>
            </w:r>
          </w:p>
        </w:tc>
        <w:tc>
          <w:tcPr>
            <w:tcW w:w="853" w:type="dxa"/>
            <w:vAlign w:val="center"/>
          </w:tcPr>
          <w:p w14:paraId="6E47121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107.6</w:t>
            </w:r>
          </w:p>
        </w:tc>
        <w:tc>
          <w:tcPr>
            <w:tcW w:w="701" w:type="dxa"/>
            <w:vAlign w:val="center"/>
          </w:tcPr>
          <w:p w14:paraId="75CAD5ED">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250</w:t>
            </w:r>
          </w:p>
        </w:tc>
      </w:tr>
      <w:tr w14:paraId="11789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1E19F5B1">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19</w:t>
            </w:r>
          </w:p>
        </w:tc>
        <w:tc>
          <w:tcPr>
            <w:tcW w:w="1480" w:type="dxa"/>
            <w:vAlign w:val="center"/>
          </w:tcPr>
          <w:p w14:paraId="7518FEBA">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硫酸盐</w:t>
            </w:r>
          </w:p>
        </w:tc>
        <w:tc>
          <w:tcPr>
            <w:tcW w:w="993" w:type="dxa"/>
            <w:vAlign w:val="center"/>
          </w:tcPr>
          <w:p w14:paraId="21D5C00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7394A91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6.84×10</w:t>
            </w:r>
            <w:r>
              <w:rPr>
                <w:rFonts w:hint="eastAsia" w:ascii="Times New Roman" w:hAnsi="Times New Roman" w:eastAsia="宋体" w:cs="Times New Roman"/>
                <w:color w:val="auto"/>
                <w:sz w:val="21"/>
                <w:vertAlign w:val="superscript"/>
                <w:lang w:val="en-US" w:eastAsia="zh-CN"/>
              </w:rPr>
              <w:t>3</w:t>
            </w:r>
          </w:p>
        </w:tc>
        <w:tc>
          <w:tcPr>
            <w:tcW w:w="991" w:type="dxa"/>
            <w:vAlign w:val="center"/>
          </w:tcPr>
          <w:p w14:paraId="23F798F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8.23×10</w:t>
            </w:r>
            <w:r>
              <w:rPr>
                <w:rFonts w:hint="eastAsia" w:ascii="Times New Roman" w:hAnsi="Times New Roman" w:eastAsia="宋体" w:cs="Times New Roman"/>
                <w:color w:val="auto"/>
                <w:sz w:val="21"/>
                <w:vertAlign w:val="superscript"/>
                <w:lang w:val="en-US" w:eastAsia="zh-CN"/>
              </w:rPr>
              <w:t>3</w:t>
            </w:r>
          </w:p>
        </w:tc>
        <w:tc>
          <w:tcPr>
            <w:tcW w:w="994" w:type="dxa"/>
            <w:vAlign w:val="center"/>
          </w:tcPr>
          <w:p w14:paraId="48B5DEE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7.37×10</w:t>
            </w:r>
            <w:r>
              <w:rPr>
                <w:rFonts w:hint="eastAsia" w:ascii="Times New Roman" w:hAnsi="Times New Roman" w:eastAsia="宋体" w:cs="Times New Roman"/>
                <w:color w:val="auto"/>
                <w:sz w:val="21"/>
                <w:vertAlign w:val="superscript"/>
                <w:lang w:val="en-US" w:eastAsia="zh-CN"/>
              </w:rPr>
              <w:t>3</w:t>
            </w:r>
          </w:p>
        </w:tc>
        <w:tc>
          <w:tcPr>
            <w:tcW w:w="848" w:type="dxa"/>
            <w:vAlign w:val="center"/>
          </w:tcPr>
          <w:p w14:paraId="59121A2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27.36</w:t>
            </w:r>
          </w:p>
        </w:tc>
        <w:tc>
          <w:tcPr>
            <w:tcW w:w="850" w:type="dxa"/>
            <w:vAlign w:val="center"/>
          </w:tcPr>
          <w:p w14:paraId="23DEAEF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32.92</w:t>
            </w:r>
          </w:p>
        </w:tc>
        <w:tc>
          <w:tcPr>
            <w:tcW w:w="853" w:type="dxa"/>
            <w:vAlign w:val="center"/>
          </w:tcPr>
          <w:p w14:paraId="18FB9E8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29.48</w:t>
            </w:r>
          </w:p>
        </w:tc>
        <w:tc>
          <w:tcPr>
            <w:tcW w:w="701" w:type="dxa"/>
            <w:vAlign w:val="center"/>
          </w:tcPr>
          <w:p w14:paraId="4230A411">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250</w:t>
            </w:r>
          </w:p>
        </w:tc>
      </w:tr>
      <w:tr w14:paraId="63264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8292A6A">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20</w:t>
            </w:r>
          </w:p>
        </w:tc>
        <w:tc>
          <w:tcPr>
            <w:tcW w:w="1480" w:type="dxa"/>
            <w:vAlign w:val="center"/>
          </w:tcPr>
          <w:p w14:paraId="1F7F4279">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硝酸盐</w:t>
            </w:r>
          </w:p>
        </w:tc>
        <w:tc>
          <w:tcPr>
            <w:tcW w:w="993" w:type="dxa"/>
            <w:vAlign w:val="center"/>
          </w:tcPr>
          <w:p w14:paraId="4D0BD420">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76C6BB5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2.14</w:t>
            </w:r>
          </w:p>
        </w:tc>
        <w:tc>
          <w:tcPr>
            <w:tcW w:w="991" w:type="dxa"/>
            <w:vAlign w:val="center"/>
          </w:tcPr>
          <w:p w14:paraId="54CEDCAC">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1.58</w:t>
            </w:r>
          </w:p>
        </w:tc>
        <w:tc>
          <w:tcPr>
            <w:tcW w:w="994" w:type="dxa"/>
            <w:vAlign w:val="center"/>
          </w:tcPr>
          <w:p w14:paraId="644C4B0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1.76</w:t>
            </w:r>
          </w:p>
        </w:tc>
        <w:tc>
          <w:tcPr>
            <w:tcW w:w="848" w:type="dxa"/>
            <w:vAlign w:val="center"/>
          </w:tcPr>
          <w:p w14:paraId="5119F14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0.107</w:t>
            </w:r>
          </w:p>
        </w:tc>
        <w:tc>
          <w:tcPr>
            <w:tcW w:w="850" w:type="dxa"/>
            <w:vAlign w:val="center"/>
          </w:tcPr>
          <w:p w14:paraId="7D63C0B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0.079</w:t>
            </w:r>
          </w:p>
        </w:tc>
        <w:tc>
          <w:tcPr>
            <w:tcW w:w="853" w:type="dxa"/>
            <w:vAlign w:val="center"/>
          </w:tcPr>
          <w:p w14:paraId="36691D9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0.088</w:t>
            </w:r>
          </w:p>
        </w:tc>
        <w:tc>
          <w:tcPr>
            <w:tcW w:w="701" w:type="dxa"/>
            <w:vAlign w:val="center"/>
          </w:tcPr>
          <w:p w14:paraId="1D7A52EA">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20</w:t>
            </w:r>
          </w:p>
        </w:tc>
      </w:tr>
      <w:tr w14:paraId="620B8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C2D312F">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21</w:t>
            </w:r>
          </w:p>
        </w:tc>
        <w:tc>
          <w:tcPr>
            <w:tcW w:w="1480" w:type="dxa"/>
            <w:vAlign w:val="center"/>
          </w:tcPr>
          <w:p w14:paraId="30AC6560">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铁</w:t>
            </w:r>
          </w:p>
        </w:tc>
        <w:tc>
          <w:tcPr>
            <w:tcW w:w="993" w:type="dxa"/>
            <w:vAlign w:val="center"/>
          </w:tcPr>
          <w:p w14:paraId="5AC6A59D">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6F2180EB">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0.80</w:t>
            </w:r>
          </w:p>
        </w:tc>
        <w:tc>
          <w:tcPr>
            <w:tcW w:w="991" w:type="dxa"/>
            <w:vAlign w:val="center"/>
          </w:tcPr>
          <w:p w14:paraId="05E37F0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1.00</w:t>
            </w:r>
          </w:p>
        </w:tc>
        <w:tc>
          <w:tcPr>
            <w:tcW w:w="994" w:type="dxa"/>
            <w:vAlign w:val="center"/>
          </w:tcPr>
          <w:p w14:paraId="0AF751E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1.01</w:t>
            </w:r>
          </w:p>
        </w:tc>
        <w:tc>
          <w:tcPr>
            <w:tcW w:w="848" w:type="dxa"/>
            <w:vAlign w:val="center"/>
          </w:tcPr>
          <w:p w14:paraId="07EAFD6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2.67</w:t>
            </w:r>
          </w:p>
        </w:tc>
        <w:tc>
          <w:tcPr>
            <w:tcW w:w="850" w:type="dxa"/>
            <w:vAlign w:val="center"/>
          </w:tcPr>
          <w:p w14:paraId="23E05D3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3.33</w:t>
            </w:r>
          </w:p>
        </w:tc>
        <w:tc>
          <w:tcPr>
            <w:tcW w:w="853" w:type="dxa"/>
            <w:vAlign w:val="center"/>
          </w:tcPr>
          <w:p w14:paraId="0553DCC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3.37</w:t>
            </w:r>
          </w:p>
        </w:tc>
        <w:tc>
          <w:tcPr>
            <w:tcW w:w="701" w:type="dxa"/>
            <w:vAlign w:val="center"/>
          </w:tcPr>
          <w:p w14:paraId="6C00288D">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0.3</w:t>
            </w:r>
          </w:p>
        </w:tc>
      </w:tr>
      <w:tr w14:paraId="747F2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0DCDEA06">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22</w:t>
            </w:r>
          </w:p>
        </w:tc>
        <w:tc>
          <w:tcPr>
            <w:tcW w:w="1480" w:type="dxa"/>
            <w:vAlign w:val="center"/>
          </w:tcPr>
          <w:p w14:paraId="2973C90E">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锰</w:t>
            </w:r>
          </w:p>
        </w:tc>
        <w:tc>
          <w:tcPr>
            <w:tcW w:w="993" w:type="dxa"/>
            <w:vAlign w:val="center"/>
          </w:tcPr>
          <w:p w14:paraId="3D01A8C6">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69B827D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0.08</w:t>
            </w:r>
          </w:p>
        </w:tc>
        <w:tc>
          <w:tcPr>
            <w:tcW w:w="991" w:type="dxa"/>
            <w:vAlign w:val="center"/>
          </w:tcPr>
          <w:p w14:paraId="5AFEC6D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0.24</w:t>
            </w:r>
          </w:p>
        </w:tc>
        <w:tc>
          <w:tcPr>
            <w:tcW w:w="994" w:type="dxa"/>
            <w:vAlign w:val="center"/>
          </w:tcPr>
          <w:p w14:paraId="546FEF1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0.25</w:t>
            </w:r>
          </w:p>
        </w:tc>
        <w:tc>
          <w:tcPr>
            <w:tcW w:w="848" w:type="dxa"/>
            <w:vAlign w:val="center"/>
          </w:tcPr>
          <w:p w14:paraId="0243913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0.80</w:t>
            </w:r>
          </w:p>
        </w:tc>
        <w:tc>
          <w:tcPr>
            <w:tcW w:w="850" w:type="dxa"/>
            <w:vAlign w:val="center"/>
          </w:tcPr>
          <w:p w14:paraId="4BBEEE05">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2.40</w:t>
            </w:r>
          </w:p>
        </w:tc>
        <w:tc>
          <w:tcPr>
            <w:tcW w:w="853" w:type="dxa"/>
            <w:vAlign w:val="center"/>
          </w:tcPr>
          <w:p w14:paraId="25E73841">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2.50</w:t>
            </w:r>
          </w:p>
        </w:tc>
        <w:tc>
          <w:tcPr>
            <w:tcW w:w="701" w:type="dxa"/>
            <w:vAlign w:val="center"/>
          </w:tcPr>
          <w:p w14:paraId="37D8955B">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szCs w:val="21"/>
              </w:rPr>
              <w:t>0.10</w:t>
            </w:r>
          </w:p>
        </w:tc>
      </w:tr>
      <w:tr w14:paraId="2F78C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C88A193">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23</w:t>
            </w:r>
          </w:p>
        </w:tc>
        <w:tc>
          <w:tcPr>
            <w:tcW w:w="1480" w:type="dxa"/>
            <w:vAlign w:val="center"/>
          </w:tcPr>
          <w:p w14:paraId="56681BA9">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钙</w:t>
            </w:r>
          </w:p>
        </w:tc>
        <w:tc>
          <w:tcPr>
            <w:tcW w:w="993" w:type="dxa"/>
            <w:vAlign w:val="center"/>
          </w:tcPr>
          <w:p w14:paraId="7622C52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551ABC8D">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162</w:t>
            </w:r>
          </w:p>
        </w:tc>
        <w:tc>
          <w:tcPr>
            <w:tcW w:w="991" w:type="dxa"/>
            <w:vAlign w:val="center"/>
          </w:tcPr>
          <w:p w14:paraId="6290E84E">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284</w:t>
            </w:r>
          </w:p>
        </w:tc>
        <w:tc>
          <w:tcPr>
            <w:tcW w:w="994" w:type="dxa"/>
            <w:vAlign w:val="center"/>
          </w:tcPr>
          <w:p w14:paraId="6DD06B8D">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281</w:t>
            </w:r>
          </w:p>
        </w:tc>
        <w:tc>
          <w:tcPr>
            <w:tcW w:w="848" w:type="dxa"/>
            <w:vAlign w:val="center"/>
          </w:tcPr>
          <w:p w14:paraId="69DF6F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w:t>
            </w:r>
          </w:p>
        </w:tc>
        <w:tc>
          <w:tcPr>
            <w:tcW w:w="850" w:type="dxa"/>
            <w:vAlign w:val="center"/>
          </w:tcPr>
          <w:p w14:paraId="4CACF6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426F38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0D61F08C">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r>
      <w:tr w14:paraId="05CA6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7B90422">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24</w:t>
            </w:r>
          </w:p>
        </w:tc>
        <w:tc>
          <w:tcPr>
            <w:tcW w:w="1480" w:type="dxa"/>
            <w:vAlign w:val="center"/>
          </w:tcPr>
          <w:p w14:paraId="14572FD9">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镁</w:t>
            </w:r>
          </w:p>
        </w:tc>
        <w:tc>
          <w:tcPr>
            <w:tcW w:w="993" w:type="dxa"/>
            <w:vAlign w:val="center"/>
          </w:tcPr>
          <w:p w14:paraId="7510BCA9">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07AF1BB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41.8</w:t>
            </w:r>
          </w:p>
        </w:tc>
        <w:tc>
          <w:tcPr>
            <w:tcW w:w="991" w:type="dxa"/>
            <w:vAlign w:val="center"/>
          </w:tcPr>
          <w:p w14:paraId="72E3285B">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237</w:t>
            </w:r>
          </w:p>
        </w:tc>
        <w:tc>
          <w:tcPr>
            <w:tcW w:w="994" w:type="dxa"/>
            <w:vAlign w:val="center"/>
          </w:tcPr>
          <w:p w14:paraId="605A233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258</w:t>
            </w:r>
          </w:p>
        </w:tc>
        <w:tc>
          <w:tcPr>
            <w:tcW w:w="848" w:type="dxa"/>
            <w:vAlign w:val="center"/>
          </w:tcPr>
          <w:p w14:paraId="2B9D20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w:t>
            </w:r>
          </w:p>
        </w:tc>
        <w:tc>
          <w:tcPr>
            <w:tcW w:w="850" w:type="dxa"/>
            <w:vAlign w:val="center"/>
          </w:tcPr>
          <w:p w14:paraId="53EED9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278390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61D9A6DA">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r>
      <w:tr w14:paraId="23B9A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0E0526DC">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25</w:t>
            </w:r>
          </w:p>
        </w:tc>
        <w:tc>
          <w:tcPr>
            <w:tcW w:w="1480" w:type="dxa"/>
            <w:vAlign w:val="center"/>
          </w:tcPr>
          <w:p w14:paraId="34DCD8EF">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碳酸盐</w:t>
            </w:r>
          </w:p>
        </w:tc>
        <w:tc>
          <w:tcPr>
            <w:tcW w:w="993" w:type="dxa"/>
            <w:vAlign w:val="center"/>
          </w:tcPr>
          <w:p w14:paraId="0412EC57">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mmol/L</w:t>
            </w:r>
          </w:p>
        </w:tc>
        <w:tc>
          <w:tcPr>
            <w:tcW w:w="993" w:type="dxa"/>
            <w:vAlign w:val="center"/>
          </w:tcPr>
          <w:p w14:paraId="47AABBDB">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&lt;0.08</w:t>
            </w:r>
          </w:p>
        </w:tc>
        <w:tc>
          <w:tcPr>
            <w:tcW w:w="991" w:type="dxa"/>
            <w:vAlign w:val="center"/>
          </w:tcPr>
          <w:p w14:paraId="4CB896A7">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&lt;0.08</w:t>
            </w:r>
          </w:p>
        </w:tc>
        <w:tc>
          <w:tcPr>
            <w:tcW w:w="994" w:type="dxa"/>
            <w:vAlign w:val="center"/>
          </w:tcPr>
          <w:p w14:paraId="3A612503">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&lt;0.08</w:t>
            </w:r>
          </w:p>
        </w:tc>
        <w:tc>
          <w:tcPr>
            <w:tcW w:w="848" w:type="dxa"/>
            <w:vAlign w:val="center"/>
          </w:tcPr>
          <w:p w14:paraId="552B86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w:t>
            </w:r>
          </w:p>
        </w:tc>
        <w:tc>
          <w:tcPr>
            <w:tcW w:w="850" w:type="dxa"/>
            <w:vAlign w:val="center"/>
          </w:tcPr>
          <w:p w14:paraId="524F1C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496E40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43F6366F">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r>
      <w:tr w14:paraId="7F371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A6C1FB3">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26</w:t>
            </w:r>
          </w:p>
        </w:tc>
        <w:tc>
          <w:tcPr>
            <w:tcW w:w="1480" w:type="dxa"/>
            <w:vAlign w:val="center"/>
          </w:tcPr>
          <w:p w14:paraId="73AE5DEC">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重碳酸盐</w:t>
            </w:r>
          </w:p>
        </w:tc>
        <w:tc>
          <w:tcPr>
            <w:tcW w:w="993" w:type="dxa"/>
            <w:vAlign w:val="center"/>
          </w:tcPr>
          <w:p w14:paraId="61E6DA5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mmol/L</w:t>
            </w:r>
          </w:p>
        </w:tc>
        <w:tc>
          <w:tcPr>
            <w:tcW w:w="993" w:type="dxa"/>
            <w:vAlign w:val="center"/>
          </w:tcPr>
          <w:p w14:paraId="6FE6111B">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1.89</w:t>
            </w:r>
          </w:p>
        </w:tc>
        <w:tc>
          <w:tcPr>
            <w:tcW w:w="991" w:type="dxa"/>
            <w:vAlign w:val="center"/>
          </w:tcPr>
          <w:p w14:paraId="76A4EDA7">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2.15</w:t>
            </w:r>
          </w:p>
        </w:tc>
        <w:tc>
          <w:tcPr>
            <w:tcW w:w="994" w:type="dxa"/>
            <w:vAlign w:val="center"/>
          </w:tcPr>
          <w:p w14:paraId="1AB9C34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2.02</w:t>
            </w:r>
          </w:p>
        </w:tc>
        <w:tc>
          <w:tcPr>
            <w:tcW w:w="848" w:type="dxa"/>
            <w:vAlign w:val="center"/>
          </w:tcPr>
          <w:p w14:paraId="389F60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w:t>
            </w:r>
          </w:p>
        </w:tc>
        <w:tc>
          <w:tcPr>
            <w:tcW w:w="850" w:type="dxa"/>
            <w:vAlign w:val="center"/>
          </w:tcPr>
          <w:p w14:paraId="4B1C8C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53" w:type="dxa"/>
            <w:vAlign w:val="center"/>
          </w:tcPr>
          <w:p w14:paraId="638AC3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701" w:type="dxa"/>
            <w:vAlign w:val="center"/>
          </w:tcPr>
          <w:p w14:paraId="60FD967B">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r>
      <w:tr w14:paraId="7C976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C7EEBDE">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rPr>
              <w:t>27</w:t>
            </w:r>
          </w:p>
        </w:tc>
        <w:tc>
          <w:tcPr>
            <w:tcW w:w="1480" w:type="dxa"/>
            <w:vAlign w:val="center"/>
          </w:tcPr>
          <w:p w14:paraId="4615986D">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氟化物</w:t>
            </w:r>
          </w:p>
        </w:tc>
        <w:tc>
          <w:tcPr>
            <w:tcW w:w="993" w:type="dxa"/>
            <w:vAlign w:val="center"/>
          </w:tcPr>
          <w:p w14:paraId="67711D85">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mg/L</w:t>
            </w:r>
          </w:p>
        </w:tc>
        <w:tc>
          <w:tcPr>
            <w:tcW w:w="993" w:type="dxa"/>
            <w:vAlign w:val="center"/>
          </w:tcPr>
          <w:p w14:paraId="2B3C31A8">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0.44</w:t>
            </w:r>
          </w:p>
        </w:tc>
        <w:tc>
          <w:tcPr>
            <w:tcW w:w="991" w:type="dxa"/>
            <w:vAlign w:val="center"/>
          </w:tcPr>
          <w:p w14:paraId="5378270F">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0.41</w:t>
            </w:r>
          </w:p>
        </w:tc>
        <w:tc>
          <w:tcPr>
            <w:tcW w:w="994" w:type="dxa"/>
            <w:vAlign w:val="center"/>
          </w:tcPr>
          <w:p w14:paraId="0221F994">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0.48</w:t>
            </w:r>
          </w:p>
        </w:tc>
        <w:tc>
          <w:tcPr>
            <w:tcW w:w="848" w:type="dxa"/>
            <w:vAlign w:val="center"/>
          </w:tcPr>
          <w:p w14:paraId="1A789E58">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0.44</w:t>
            </w:r>
          </w:p>
        </w:tc>
        <w:tc>
          <w:tcPr>
            <w:tcW w:w="850" w:type="dxa"/>
            <w:vAlign w:val="center"/>
          </w:tcPr>
          <w:p w14:paraId="7D4B7292">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0.41</w:t>
            </w:r>
          </w:p>
        </w:tc>
        <w:tc>
          <w:tcPr>
            <w:tcW w:w="853" w:type="dxa"/>
            <w:vAlign w:val="center"/>
          </w:tcPr>
          <w:p w14:paraId="2D0CF2CA">
            <w:pPr>
              <w:keepNext w:val="0"/>
              <w:keepLines w:val="0"/>
              <w:suppressLineNumbers w:val="0"/>
              <w:snapToGrid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0.48</w:t>
            </w:r>
          </w:p>
        </w:tc>
        <w:tc>
          <w:tcPr>
            <w:tcW w:w="701" w:type="dxa"/>
            <w:vAlign w:val="center"/>
          </w:tcPr>
          <w:p w14:paraId="356C0C22">
            <w:pPr>
              <w:keepNext w:val="0"/>
              <w:keepLines w:val="0"/>
              <w:suppressLineNumbers w:val="0"/>
              <w:tabs>
                <w:tab w:val="left" w:pos="1080"/>
                <w:tab w:val="left" w:pos="6090"/>
              </w:tabs>
              <w:snapToGrid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1.0</w:t>
            </w:r>
          </w:p>
        </w:tc>
      </w:tr>
    </w:tbl>
    <w:p w14:paraId="0C504DF7">
      <w:pPr>
        <w:spacing w:line="480" w:lineRule="exact"/>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根据评价结果，各点位溶解性总固体、总硬度、硫酸盐、氯化物、钠、铁等指标均超过《地下水质量标准》（GB/T14848-2017）Ⅲ类标准限值，锰在1#点位达标外，其余点位已超过《地下水质量标准》（GB/T14848-2017）Ⅲ类标准限值。本次监测地下水超标指标主要为常规无机盐类和硬度指标，其超标原因是区域天然地质背景及干旱气候条件下地下水长期蒸发浓缩所致</w:t>
      </w:r>
      <w:r>
        <w:rPr>
          <w:rFonts w:hint="eastAsia"/>
          <w:color w:val="000000" w:themeColor="text1"/>
          <w:sz w:val="24"/>
          <w:szCs w:val="24"/>
          <w:lang w:eastAsia="zh-CN"/>
          <w14:textFill>
            <w14:solidFill>
              <w14:schemeClr w14:val="tx1"/>
            </w14:solidFill>
          </w14:textFill>
        </w:rPr>
        <w:t>。</w:t>
      </w:r>
    </w:p>
    <w:p w14:paraId="4B42F8CD">
      <w:pPr>
        <w:pStyle w:val="4"/>
        <w:spacing w:before="60" w:after="60" w:line="480" w:lineRule="exact"/>
        <w:rPr>
          <w:color w:val="000000" w:themeColor="text1"/>
          <w:kern w:val="2"/>
          <w14:textFill>
            <w14:solidFill>
              <w14:schemeClr w14:val="tx1"/>
            </w14:solidFill>
          </w14:textFill>
        </w:rPr>
      </w:pPr>
      <w:bookmarkStart w:id="380" w:name="_Toc23400"/>
      <w:bookmarkStart w:id="381" w:name="_Toc2720"/>
      <w:bookmarkStart w:id="382" w:name="_Toc25533"/>
      <w:bookmarkStart w:id="383" w:name="_Toc1793425918"/>
      <w:bookmarkStart w:id="384" w:name="_Toc32654"/>
      <w:bookmarkStart w:id="385" w:name="_Toc21042"/>
      <w:bookmarkStart w:id="386" w:name="_Toc306267586"/>
      <w:bookmarkStart w:id="387" w:name="_Toc493523112"/>
      <w:bookmarkStart w:id="388" w:name="_Toc22126225"/>
      <w:bookmarkStart w:id="389" w:name="_Toc333401479"/>
      <w:bookmarkStart w:id="390" w:name="_Toc278180802"/>
      <w:bookmarkStart w:id="391" w:name="_Toc299493054"/>
      <w:bookmarkStart w:id="392" w:name="_Toc11780"/>
      <w:bookmarkStart w:id="393" w:name="_Toc24310"/>
      <w:bookmarkStart w:id="394" w:name="_Toc21771"/>
      <w:bookmarkStart w:id="395" w:name="_Toc21766"/>
      <w:r>
        <w:rPr>
          <w:color w:val="000000" w:themeColor="text1"/>
          <w:kern w:val="2"/>
          <w14:textFill>
            <w14:solidFill>
              <w14:schemeClr w14:val="tx1"/>
            </w14:solidFill>
          </w14:textFill>
        </w:rPr>
        <w:t>4.2.</w:t>
      </w:r>
      <w:r>
        <w:rPr>
          <w:rFonts w:hint="eastAsia"/>
          <w:color w:val="000000" w:themeColor="text1"/>
          <w:kern w:val="2"/>
          <w14:textFill>
            <w14:solidFill>
              <w14:schemeClr w14:val="tx1"/>
            </w14:solidFill>
          </w14:textFill>
        </w:rPr>
        <w:t>4</w:t>
      </w:r>
      <w:r>
        <w:rPr>
          <w:color w:val="000000" w:themeColor="text1"/>
          <w:kern w:val="2"/>
          <w14:textFill>
            <w14:solidFill>
              <w14:schemeClr w14:val="tx1"/>
            </w14:solidFill>
          </w14:textFill>
        </w:rPr>
        <w:t>声环境质量现状</w:t>
      </w:r>
      <w:r>
        <w:rPr>
          <w:rFonts w:hint="eastAsia"/>
          <w:color w:val="000000" w:themeColor="text1"/>
          <w:kern w:val="2"/>
          <w14:textFill>
            <w14:solidFill>
              <w14:schemeClr w14:val="tx1"/>
            </w14:solidFill>
          </w14:textFill>
        </w:rPr>
        <w:t>调查与</w:t>
      </w:r>
      <w:r>
        <w:rPr>
          <w:color w:val="000000" w:themeColor="text1"/>
          <w:kern w:val="2"/>
          <w14:textFill>
            <w14:solidFill>
              <w14:schemeClr w14:val="tx1"/>
            </w14:solidFill>
          </w14:textFill>
        </w:rPr>
        <w:t>评价</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2280675C">
      <w:pPr>
        <w:spacing w:line="480" w:lineRule="exact"/>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本次评价委托新疆齐新环境服务有限公司对</w:t>
      </w:r>
      <w:r>
        <w:rPr>
          <w:rFonts w:hint="eastAsia"/>
          <w:color w:val="000000" w:themeColor="text1"/>
          <w:sz w:val="24"/>
          <w:szCs w:val="24"/>
          <w:lang w:val="en-US" w:eastAsia="zh-CN"/>
          <w14:textFill>
            <w14:solidFill>
              <w14:schemeClr w14:val="tx1"/>
            </w14:solidFill>
          </w14:textFill>
        </w:rPr>
        <w:t>矿区四周进行噪声监测。</w:t>
      </w:r>
    </w:p>
    <w:p w14:paraId="7F02BB21">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（1）监测布点</w:t>
      </w:r>
    </w:p>
    <w:p w14:paraId="368E4C31">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在项目区的东、西、南、北四个方向的厂界各设置1个监测点。</w:t>
      </w:r>
      <w:r>
        <w:rPr>
          <w:color w:val="000000" w:themeColor="text1"/>
          <w:spacing w:val="-1"/>
          <w:position w:val="2"/>
          <w:sz w:val="24"/>
          <w:szCs w:val="24"/>
          <w14:textFill>
            <w14:solidFill>
              <w14:schemeClr w14:val="tx1"/>
            </w14:solidFill>
          </w14:textFill>
        </w:rPr>
        <w:t>噪声监测点位置见图4.2-1及表4.2-5。</w:t>
      </w:r>
    </w:p>
    <w:p w14:paraId="1659496D">
      <w:pPr>
        <w:adjustRightInd w:val="0"/>
        <w:snapToGrid w:val="0"/>
        <w:spacing w:line="480" w:lineRule="exact"/>
        <w:jc w:val="center"/>
        <w:rPr>
          <w:b/>
          <w:color w:val="000000" w:themeColor="text1"/>
          <w:kern w:val="0"/>
          <w:sz w:val="24"/>
          <w:lang w:val="zh-CN"/>
          <w14:textFill>
            <w14:solidFill>
              <w14:schemeClr w14:val="tx1"/>
            </w14:solidFill>
          </w14:textFill>
        </w:rPr>
      </w:pPr>
      <w:r>
        <w:rPr>
          <w:b/>
          <w:color w:val="000000" w:themeColor="text1"/>
          <w:kern w:val="0"/>
          <w:sz w:val="24"/>
          <w:lang w:val="zh-CN"/>
          <w14:textFill>
            <w14:solidFill>
              <w14:schemeClr w14:val="tx1"/>
            </w14:solidFill>
          </w14:textFill>
        </w:rPr>
        <w:t>表</w:t>
      </w:r>
      <w:r>
        <w:rPr>
          <w:b/>
          <w:color w:val="000000" w:themeColor="text1"/>
          <w:kern w:val="0"/>
          <w:sz w:val="24"/>
          <w14:textFill>
            <w14:solidFill>
              <w14:schemeClr w14:val="tx1"/>
            </w14:solidFill>
          </w14:textFill>
        </w:rPr>
        <w:t>4</w:t>
      </w:r>
      <w:r>
        <w:rPr>
          <w:b/>
          <w:color w:val="000000" w:themeColor="text1"/>
          <w:kern w:val="0"/>
          <w:sz w:val="24"/>
          <w:lang w:val="zh-CN"/>
          <w14:textFill>
            <w14:solidFill>
              <w14:schemeClr w14:val="tx1"/>
            </w14:solidFill>
          </w14:textFill>
        </w:rPr>
        <w:t>.</w:t>
      </w:r>
      <w:r>
        <w:rPr>
          <w:b/>
          <w:color w:val="000000" w:themeColor="text1"/>
          <w:kern w:val="0"/>
          <w:sz w:val="24"/>
          <w14:textFill>
            <w14:solidFill>
              <w14:schemeClr w14:val="tx1"/>
            </w14:solidFill>
          </w14:textFill>
        </w:rPr>
        <w:t>2</w:t>
      </w:r>
      <w:r>
        <w:rPr>
          <w:b/>
          <w:color w:val="000000" w:themeColor="text1"/>
          <w:kern w:val="0"/>
          <w:sz w:val="24"/>
          <w:lang w:val="zh-CN"/>
          <w14:textFill>
            <w14:solidFill>
              <w14:schemeClr w14:val="tx1"/>
            </w14:solidFill>
          </w14:textFill>
        </w:rPr>
        <w:t>-</w:t>
      </w:r>
      <w:r>
        <w:rPr>
          <w:b/>
          <w:color w:val="000000" w:themeColor="text1"/>
          <w:kern w:val="0"/>
          <w:sz w:val="24"/>
          <w14:textFill>
            <w14:solidFill>
              <w14:schemeClr w14:val="tx1"/>
            </w14:solidFill>
          </w14:textFill>
        </w:rPr>
        <w:t>5    厂界声环境质量现状监测点位情况一览表</w:t>
      </w:r>
    </w:p>
    <w:tbl>
      <w:tblPr>
        <w:tblStyle w:val="79"/>
        <w:tblW w:w="501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35"/>
        <w:gridCol w:w="4052"/>
        <w:gridCol w:w="3476"/>
      </w:tblGrid>
      <w:tr w14:paraId="27A08A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499" w:type="pct"/>
            <w:noWrap w:val="0"/>
            <w:vAlign w:val="center"/>
          </w:tcPr>
          <w:p w14:paraId="601BDF65">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编号</w:t>
            </w:r>
          </w:p>
        </w:tc>
        <w:tc>
          <w:tcPr>
            <w:tcW w:w="2422" w:type="pct"/>
            <w:noWrap w:val="0"/>
            <w:vAlign w:val="center"/>
          </w:tcPr>
          <w:p w14:paraId="4F115FC6">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监测点位置</w:t>
            </w:r>
          </w:p>
        </w:tc>
        <w:tc>
          <w:tcPr>
            <w:tcW w:w="2077" w:type="pct"/>
            <w:noWrap w:val="0"/>
            <w:vAlign w:val="center"/>
          </w:tcPr>
          <w:p w14:paraId="7CD39DFA">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与项目区相对位置</w:t>
            </w:r>
          </w:p>
        </w:tc>
      </w:tr>
      <w:tr w14:paraId="011E11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9" w:type="pct"/>
            <w:noWrap w:val="0"/>
            <w:vAlign w:val="top"/>
          </w:tcPr>
          <w:p w14:paraId="73448329">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422" w:type="pct"/>
            <w:noWrap w:val="0"/>
            <w:vAlign w:val="top"/>
          </w:tcPr>
          <w:p w14:paraId="056563C3">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项目区东侧</w:t>
            </w:r>
          </w:p>
        </w:tc>
        <w:tc>
          <w:tcPr>
            <w:tcW w:w="2077" w:type="pct"/>
            <w:noWrap w:val="0"/>
            <w:vAlign w:val="top"/>
          </w:tcPr>
          <w:p w14:paraId="1595A092">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厂界外1m</w:t>
            </w:r>
          </w:p>
        </w:tc>
      </w:tr>
      <w:tr w14:paraId="043C64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9" w:type="pct"/>
            <w:noWrap w:val="0"/>
            <w:vAlign w:val="top"/>
          </w:tcPr>
          <w:p w14:paraId="0B5096B2">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422" w:type="pct"/>
            <w:noWrap w:val="0"/>
            <w:vAlign w:val="top"/>
          </w:tcPr>
          <w:p w14:paraId="5884AEA5">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项目区南侧</w:t>
            </w:r>
          </w:p>
        </w:tc>
        <w:tc>
          <w:tcPr>
            <w:tcW w:w="2077" w:type="pct"/>
            <w:noWrap w:val="0"/>
            <w:vAlign w:val="top"/>
          </w:tcPr>
          <w:p w14:paraId="4FD368D1">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厂界外1m</w:t>
            </w:r>
          </w:p>
        </w:tc>
      </w:tr>
      <w:tr w14:paraId="2029A3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9" w:type="pct"/>
            <w:noWrap w:val="0"/>
            <w:vAlign w:val="top"/>
          </w:tcPr>
          <w:p w14:paraId="4D2EFD03">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422" w:type="pct"/>
            <w:noWrap w:val="0"/>
            <w:vAlign w:val="top"/>
          </w:tcPr>
          <w:p w14:paraId="567EBF6D">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项目区西侧</w:t>
            </w:r>
          </w:p>
        </w:tc>
        <w:tc>
          <w:tcPr>
            <w:tcW w:w="2077" w:type="pct"/>
            <w:noWrap w:val="0"/>
            <w:vAlign w:val="top"/>
          </w:tcPr>
          <w:p w14:paraId="622385B8">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厂界外1m</w:t>
            </w:r>
          </w:p>
        </w:tc>
      </w:tr>
      <w:tr w14:paraId="3D04E0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9" w:type="pct"/>
            <w:noWrap w:val="0"/>
            <w:vAlign w:val="top"/>
          </w:tcPr>
          <w:p w14:paraId="1F7CECDB">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2422" w:type="pct"/>
            <w:noWrap w:val="0"/>
            <w:vAlign w:val="top"/>
          </w:tcPr>
          <w:p w14:paraId="4C182728">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项目区北侧</w:t>
            </w:r>
          </w:p>
        </w:tc>
        <w:tc>
          <w:tcPr>
            <w:tcW w:w="2077" w:type="pct"/>
            <w:noWrap w:val="0"/>
            <w:vAlign w:val="top"/>
          </w:tcPr>
          <w:p w14:paraId="55BC9995">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厂界外1m</w:t>
            </w:r>
          </w:p>
        </w:tc>
      </w:tr>
    </w:tbl>
    <w:p w14:paraId="3B176A0E">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（2）监测因子</w:t>
      </w:r>
    </w:p>
    <w:p w14:paraId="2943D557">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等效连续A声级。</w:t>
      </w:r>
    </w:p>
    <w:p w14:paraId="0AC9DAA6">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（3）监测方法</w:t>
      </w:r>
    </w:p>
    <w:p w14:paraId="5BD82412">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按照《声环境质量标准》（GB3096-2008）规定方法进行。</w:t>
      </w:r>
    </w:p>
    <w:p w14:paraId="20E3357B">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监测时间及频率</w:t>
      </w:r>
    </w:p>
    <w:p w14:paraId="65AAF3B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监测时间为2025年12月30</w:t>
      </w:r>
      <w:r>
        <w:rPr>
          <w:color w:val="000000" w:themeColor="text1"/>
          <w:sz w:val="24"/>
          <w:szCs w:val="24"/>
          <w14:textFill>
            <w14:solidFill>
              <w14:schemeClr w14:val="tx1"/>
            </w14:solidFill>
          </w14:textFill>
        </w:rPr>
        <w:t>日，昼</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夜各监测一次。</w:t>
      </w:r>
    </w:p>
    <w:p w14:paraId="3D53ED8E">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（5）评价标准</w:t>
      </w:r>
    </w:p>
    <w:p w14:paraId="1447527B">
      <w:pPr>
        <w:spacing w:line="480" w:lineRule="exact"/>
        <w:ind w:firstLine="476" w:firstLineChars="200"/>
        <w:rPr>
          <w:rFonts w:hint="eastAsia"/>
          <w:color w:val="000000" w:themeColor="text1"/>
          <w:sz w:val="24"/>
          <w:szCs w:val="24"/>
          <w14:textFill>
            <w14:solidFill>
              <w14:schemeClr w14:val="tx1"/>
            </w14:solidFill>
          </w14:textFill>
        </w:rPr>
      </w:pPr>
      <w:r>
        <w:rPr>
          <w:color w:val="000000" w:themeColor="text1"/>
          <w:spacing w:val="-1"/>
          <w:position w:val="2"/>
          <w:sz w:val="24"/>
          <w:szCs w:val="24"/>
          <w14:textFill>
            <w14:solidFill>
              <w14:schemeClr w14:val="tx1"/>
            </w14:solidFill>
          </w14:textFill>
        </w:rPr>
        <w:t>本项目声环境评价标准执行</w:t>
      </w:r>
      <w:r>
        <w:rPr>
          <w:color w:val="000000" w:themeColor="text1"/>
          <w:sz w:val="24"/>
          <w:szCs w:val="24"/>
          <w14:textFill>
            <w14:solidFill>
              <w14:schemeClr w14:val="tx1"/>
            </w14:solidFill>
          </w14:textFill>
        </w:rPr>
        <w:t>《声环境质量标准》（GB3096-2008</w:t>
      </w:r>
      <w:r>
        <w:rPr>
          <w:rFonts w:hint="eastAsia"/>
          <w:color w:val="000000" w:themeColor="text1"/>
          <w:sz w:val="24"/>
          <w:szCs w:val="24"/>
          <w14:textFill>
            <w14:solidFill>
              <w14:schemeClr w14:val="tx1"/>
            </w14:solidFill>
          </w14:textFill>
        </w:rPr>
        <w:t>）2类</w:t>
      </w:r>
      <w:r>
        <w:rPr>
          <w:color w:val="000000" w:themeColor="text1"/>
          <w:sz w:val="24"/>
          <w:szCs w:val="24"/>
          <w14:textFill>
            <w14:solidFill>
              <w14:schemeClr w14:val="tx1"/>
            </w14:solidFill>
          </w14:textFill>
        </w:rPr>
        <w:t>区标准</w:t>
      </w:r>
      <w:r>
        <w:rPr>
          <w:color w:val="000000" w:themeColor="text1"/>
          <w:spacing w:val="-1"/>
          <w:position w:val="2"/>
          <w:sz w:val="24"/>
          <w:szCs w:val="24"/>
          <w14:textFill>
            <w14:solidFill>
              <w14:schemeClr w14:val="tx1"/>
            </w14:solidFill>
          </w14:textFill>
        </w:rPr>
        <w:t>。</w:t>
      </w:r>
    </w:p>
    <w:p w14:paraId="2D4083C5">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（6）监测结果及评价</w:t>
      </w:r>
    </w:p>
    <w:p w14:paraId="308BA239">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声环境监测结果见表4.2-6。</w:t>
      </w:r>
    </w:p>
    <w:p w14:paraId="638FF4BB">
      <w:pPr>
        <w:spacing w:line="480" w:lineRule="exact"/>
        <w:ind w:firstLine="480" w:firstLineChars="200"/>
        <w:rPr>
          <w:color w:val="000000" w:themeColor="text1"/>
          <w:sz w:val="24"/>
          <w:szCs w:val="24"/>
          <w14:textFill>
            <w14:solidFill>
              <w14:schemeClr w14:val="tx1"/>
            </w14:solidFill>
          </w14:textFill>
        </w:rPr>
      </w:pPr>
    </w:p>
    <w:p w14:paraId="6F5DBBCC">
      <w:pPr>
        <w:spacing w:line="480" w:lineRule="exact"/>
        <w:ind w:firstLine="480" w:firstLineChars="200"/>
        <w:rPr>
          <w:color w:val="000000" w:themeColor="text1"/>
          <w:sz w:val="24"/>
          <w:szCs w:val="24"/>
          <w14:textFill>
            <w14:solidFill>
              <w14:schemeClr w14:val="tx1"/>
            </w14:solidFill>
          </w14:textFill>
        </w:rPr>
      </w:pPr>
    </w:p>
    <w:p w14:paraId="679555C7">
      <w:pPr>
        <w:adjustRightInd w:val="0"/>
        <w:snapToGrid w:val="0"/>
        <w:spacing w:line="480" w:lineRule="exact"/>
        <w:jc w:val="center"/>
        <w:rPr>
          <w:b/>
          <w:color w:val="000000" w:themeColor="text1"/>
          <w:kern w:val="0"/>
          <w:sz w:val="24"/>
          <w14:textFill>
            <w14:solidFill>
              <w14:schemeClr w14:val="tx1"/>
            </w14:solidFill>
          </w14:textFill>
        </w:rPr>
      </w:pPr>
      <w:r>
        <w:rPr>
          <w:b/>
          <w:color w:val="000000" w:themeColor="text1"/>
          <w:kern w:val="0"/>
          <w:sz w:val="24"/>
          <w:lang w:val="zh-CN"/>
          <w14:textFill>
            <w14:solidFill>
              <w14:schemeClr w14:val="tx1"/>
            </w14:solidFill>
          </w14:textFill>
        </w:rPr>
        <w:t>表4.</w:t>
      </w:r>
      <w:r>
        <w:rPr>
          <w:b/>
          <w:color w:val="000000" w:themeColor="text1"/>
          <w:kern w:val="0"/>
          <w:sz w:val="24"/>
          <w14:textFill>
            <w14:solidFill>
              <w14:schemeClr w14:val="tx1"/>
            </w14:solidFill>
          </w14:textFill>
        </w:rPr>
        <w:t>2</w:t>
      </w:r>
      <w:r>
        <w:rPr>
          <w:b/>
          <w:color w:val="000000" w:themeColor="text1"/>
          <w:kern w:val="0"/>
          <w:sz w:val="24"/>
          <w:lang w:val="zh-CN"/>
          <w14:textFill>
            <w14:solidFill>
              <w14:schemeClr w14:val="tx1"/>
            </w14:solidFill>
          </w14:textFill>
        </w:rPr>
        <w:t>-</w:t>
      </w:r>
      <w:r>
        <w:rPr>
          <w:b/>
          <w:color w:val="000000" w:themeColor="text1"/>
          <w:kern w:val="0"/>
          <w:sz w:val="24"/>
          <w14:textFill>
            <w14:solidFill>
              <w14:schemeClr w14:val="tx1"/>
            </w14:solidFill>
          </w14:textFill>
        </w:rPr>
        <w:t>6</w:t>
      </w:r>
      <w:r>
        <w:rPr>
          <w:rFonts w:hint="eastAsia"/>
          <w:b/>
          <w:color w:val="000000" w:themeColor="text1"/>
          <w:kern w:val="0"/>
          <w:sz w:val="24"/>
          <w14:textFill>
            <w14:solidFill>
              <w14:schemeClr w14:val="tx1"/>
            </w14:solidFill>
          </w14:textFill>
        </w:rPr>
        <w:t xml:space="preserve">    </w:t>
      </w:r>
      <w:r>
        <w:rPr>
          <w:b/>
          <w:color w:val="000000" w:themeColor="text1"/>
          <w:kern w:val="0"/>
          <w:sz w:val="24"/>
          <w:lang w:val="zh-CN"/>
          <w14:textFill>
            <w14:solidFill>
              <w14:schemeClr w14:val="tx1"/>
            </w14:solidFill>
          </w14:textFill>
        </w:rPr>
        <w:t>噪声现状监测及评价结果统计表    单位：dB</w:t>
      </w:r>
      <w:r>
        <w:rPr>
          <w:rFonts w:hint="eastAsia"/>
          <w:b/>
          <w:color w:val="000000" w:themeColor="text1"/>
          <w:kern w:val="0"/>
          <w:sz w:val="24"/>
          <w:lang w:val="zh-CN"/>
          <w14:textFill>
            <w14:solidFill>
              <w14:schemeClr w14:val="tx1"/>
            </w14:solidFill>
          </w14:textFill>
        </w:rPr>
        <w:t>（</w:t>
      </w:r>
      <w:r>
        <w:rPr>
          <w:b/>
          <w:color w:val="000000" w:themeColor="text1"/>
          <w:kern w:val="0"/>
          <w:sz w:val="24"/>
          <w:lang w:val="zh-CN"/>
          <w14:textFill>
            <w14:solidFill>
              <w14:schemeClr w14:val="tx1"/>
            </w14:solidFill>
          </w14:textFill>
        </w:rPr>
        <w:t>A</w:t>
      </w:r>
      <w:r>
        <w:rPr>
          <w:rFonts w:hint="eastAsia"/>
          <w:b/>
          <w:color w:val="000000" w:themeColor="text1"/>
          <w:kern w:val="0"/>
          <w:sz w:val="24"/>
          <w:lang w:val="zh-CN"/>
          <w14:textFill>
            <w14:solidFill>
              <w14:schemeClr w14:val="tx1"/>
            </w14:solidFill>
          </w14:textFill>
        </w:rPr>
        <w:t>）</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122"/>
        <w:gridCol w:w="3115"/>
        <w:gridCol w:w="3122"/>
      </w:tblGrid>
      <w:tr w14:paraId="41607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1269" w:type="pct"/>
            <w:vMerge w:val="restart"/>
            <w:noWrap w:val="0"/>
            <w:vAlign w:val="center"/>
          </w:tcPr>
          <w:p w14:paraId="3E7B98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编号测点</w:t>
            </w:r>
          </w:p>
        </w:tc>
        <w:tc>
          <w:tcPr>
            <w:tcW w:w="3730" w:type="pct"/>
            <w:gridSpan w:val="2"/>
            <w:noWrap w:val="0"/>
            <w:vAlign w:val="center"/>
          </w:tcPr>
          <w:p w14:paraId="7BF0303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2025年12月30日</w:t>
            </w:r>
          </w:p>
        </w:tc>
      </w:tr>
      <w:tr w14:paraId="6E1F1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blHeader/>
          <w:jc w:val="center"/>
        </w:trPr>
        <w:tc>
          <w:tcPr>
            <w:tcW w:w="1269" w:type="pct"/>
            <w:vMerge w:val="continue"/>
            <w:noWrap w:val="0"/>
            <w:vAlign w:val="center"/>
          </w:tcPr>
          <w:p w14:paraId="1E30CD0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p>
        </w:tc>
        <w:tc>
          <w:tcPr>
            <w:tcW w:w="1863" w:type="pct"/>
            <w:noWrap w:val="0"/>
            <w:vAlign w:val="center"/>
          </w:tcPr>
          <w:p w14:paraId="30C2200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昼间</w:t>
            </w:r>
          </w:p>
        </w:tc>
        <w:tc>
          <w:tcPr>
            <w:tcW w:w="1866" w:type="pct"/>
            <w:noWrap w:val="0"/>
            <w:vAlign w:val="center"/>
          </w:tcPr>
          <w:p w14:paraId="006153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夜间</w:t>
            </w:r>
          </w:p>
        </w:tc>
      </w:tr>
      <w:tr w14:paraId="70C2B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269" w:type="pct"/>
            <w:noWrap w:val="0"/>
            <w:vAlign w:val="top"/>
          </w:tcPr>
          <w:p w14:paraId="32587891">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项目区东侧</w:t>
            </w:r>
          </w:p>
        </w:tc>
        <w:tc>
          <w:tcPr>
            <w:tcW w:w="1863" w:type="pct"/>
            <w:noWrap w:val="0"/>
            <w:vAlign w:val="center"/>
          </w:tcPr>
          <w:p w14:paraId="409715C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p>
        </w:tc>
        <w:tc>
          <w:tcPr>
            <w:tcW w:w="1866" w:type="pct"/>
            <w:noWrap w:val="0"/>
            <w:vAlign w:val="center"/>
          </w:tcPr>
          <w:p w14:paraId="14840FC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w:t>
            </w:r>
          </w:p>
        </w:tc>
      </w:tr>
      <w:tr w14:paraId="00940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269" w:type="pct"/>
            <w:noWrap w:val="0"/>
            <w:vAlign w:val="top"/>
          </w:tcPr>
          <w:p w14:paraId="521C3942">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项目区南侧</w:t>
            </w:r>
          </w:p>
        </w:tc>
        <w:tc>
          <w:tcPr>
            <w:tcW w:w="1863" w:type="pct"/>
            <w:noWrap w:val="0"/>
            <w:vAlign w:val="center"/>
          </w:tcPr>
          <w:p w14:paraId="27A98AB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p>
        </w:tc>
        <w:tc>
          <w:tcPr>
            <w:tcW w:w="1866" w:type="pct"/>
            <w:noWrap w:val="0"/>
            <w:vAlign w:val="center"/>
          </w:tcPr>
          <w:p w14:paraId="27AB8E7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42</w:t>
            </w:r>
          </w:p>
        </w:tc>
      </w:tr>
      <w:tr w14:paraId="7F0EB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269" w:type="pct"/>
            <w:noWrap w:val="0"/>
            <w:vAlign w:val="top"/>
          </w:tcPr>
          <w:p w14:paraId="79F670E2">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项目区西侧</w:t>
            </w:r>
          </w:p>
        </w:tc>
        <w:tc>
          <w:tcPr>
            <w:tcW w:w="1863" w:type="pct"/>
            <w:noWrap w:val="0"/>
            <w:vAlign w:val="center"/>
          </w:tcPr>
          <w:p w14:paraId="536B5BB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p>
        </w:tc>
        <w:tc>
          <w:tcPr>
            <w:tcW w:w="1866" w:type="pct"/>
            <w:noWrap w:val="0"/>
            <w:vAlign w:val="center"/>
          </w:tcPr>
          <w:p w14:paraId="12EBC99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w:t>
            </w:r>
          </w:p>
        </w:tc>
      </w:tr>
      <w:tr w14:paraId="14305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269" w:type="pct"/>
            <w:noWrap w:val="0"/>
            <w:vAlign w:val="top"/>
          </w:tcPr>
          <w:p w14:paraId="6E15909E">
            <w:pPr>
              <w:pStyle w:val="679"/>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项目区北侧</w:t>
            </w:r>
          </w:p>
        </w:tc>
        <w:tc>
          <w:tcPr>
            <w:tcW w:w="1863" w:type="pct"/>
            <w:noWrap w:val="0"/>
            <w:vAlign w:val="center"/>
          </w:tcPr>
          <w:p w14:paraId="1D36FE3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w:t>
            </w:r>
          </w:p>
        </w:tc>
        <w:tc>
          <w:tcPr>
            <w:tcW w:w="1866" w:type="pct"/>
            <w:noWrap w:val="0"/>
            <w:vAlign w:val="center"/>
          </w:tcPr>
          <w:p w14:paraId="3FB8FD6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43</w:t>
            </w:r>
          </w:p>
        </w:tc>
      </w:tr>
    </w:tbl>
    <w:p w14:paraId="7929E34A">
      <w:pPr>
        <w:spacing w:line="480" w:lineRule="exact"/>
        <w:ind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根据评价结果，</w:t>
      </w:r>
      <w:r>
        <w:rPr>
          <w:rFonts w:hint="eastAsia"/>
          <w:bCs/>
          <w:color w:val="000000" w:themeColor="text1"/>
          <w:sz w:val="24"/>
          <w14:textFill>
            <w14:solidFill>
              <w14:schemeClr w14:val="tx1"/>
            </w14:solidFill>
          </w14:textFill>
        </w:rPr>
        <w:t>项目区厂界四周及项目区中心的</w:t>
      </w:r>
      <w:r>
        <w:rPr>
          <w:bCs/>
          <w:color w:val="000000" w:themeColor="text1"/>
          <w:sz w:val="24"/>
          <w14:textFill>
            <w14:solidFill>
              <w14:schemeClr w14:val="tx1"/>
            </w14:solidFill>
          </w14:textFill>
        </w:rPr>
        <w:t>昼间、夜间声环境质量</w:t>
      </w:r>
      <w:r>
        <w:rPr>
          <w:color w:val="000000" w:themeColor="text1"/>
          <w:sz w:val="24"/>
          <w14:textFill>
            <w14:solidFill>
              <w14:schemeClr w14:val="tx1"/>
            </w14:solidFill>
          </w14:textFill>
        </w:rPr>
        <w:t>均能达到《</w:t>
      </w:r>
      <w:r>
        <w:rPr>
          <w:color w:val="000000" w:themeColor="text1"/>
          <w:sz w:val="24"/>
          <w:szCs w:val="24"/>
          <w14:textFill>
            <w14:solidFill>
              <w14:schemeClr w14:val="tx1"/>
            </w14:solidFill>
          </w14:textFill>
        </w:rPr>
        <w:t>声环境质量标准》（GB3096-2008）</w:t>
      </w:r>
      <w:r>
        <w:rPr>
          <w:rFonts w:hint="eastAsia"/>
          <w:color w:val="000000" w:themeColor="text1"/>
          <w:sz w:val="24"/>
          <w:szCs w:val="24"/>
          <w14:textFill>
            <w14:solidFill>
              <w14:schemeClr w14:val="tx1"/>
            </w14:solidFill>
          </w14:textFill>
        </w:rPr>
        <w:t>2类</w:t>
      </w:r>
      <w:r>
        <w:rPr>
          <w:color w:val="000000" w:themeColor="text1"/>
          <w:sz w:val="24"/>
          <w:szCs w:val="24"/>
          <w14:textFill>
            <w14:solidFill>
              <w14:schemeClr w14:val="tx1"/>
            </w14:solidFill>
          </w14:textFill>
        </w:rPr>
        <w:t>区标准</w:t>
      </w:r>
      <w:r>
        <w:rPr>
          <w:color w:val="000000" w:themeColor="text1"/>
          <w:sz w:val="24"/>
          <w14:textFill>
            <w14:solidFill>
              <w14:schemeClr w14:val="tx1"/>
            </w14:solidFill>
          </w14:textFill>
        </w:rPr>
        <w:t>要求</w:t>
      </w:r>
      <w:r>
        <w:rPr>
          <w:rFonts w:hint="eastAsia"/>
          <w:color w:val="000000" w:themeColor="text1"/>
          <w:sz w:val="24"/>
          <w14:textFill>
            <w14:solidFill>
              <w14:schemeClr w14:val="tx1"/>
            </w14:solidFill>
          </w14:textFill>
        </w:rPr>
        <w:t>（昼间：60dB（A），夜间：50dB（A））</w:t>
      </w:r>
      <w:r>
        <w:rPr>
          <w:color w:val="000000" w:themeColor="text1"/>
          <w:sz w:val="24"/>
          <w14:textFill>
            <w14:solidFill>
              <w14:schemeClr w14:val="tx1"/>
            </w14:solidFill>
          </w14:textFill>
        </w:rPr>
        <w:t>。</w:t>
      </w:r>
    </w:p>
    <w:p w14:paraId="680FCDB7">
      <w:pPr>
        <w:pStyle w:val="4"/>
        <w:spacing w:before="60" w:after="60" w:line="480" w:lineRule="exact"/>
        <w:rPr>
          <w:color w:val="000000" w:themeColor="text1"/>
          <w:kern w:val="2"/>
          <w14:textFill>
            <w14:solidFill>
              <w14:schemeClr w14:val="tx1"/>
            </w14:solidFill>
          </w14:textFill>
        </w:rPr>
      </w:pPr>
      <w:bookmarkStart w:id="396" w:name="_Toc24989"/>
      <w:r>
        <w:rPr>
          <w:color w:val="000000" w:themeColor="text1"/>
          <w:kern w:val="2"/>
          <w14:textFill>
            <w14:solidFill>
              <w14:schemeClr w14:val="tx1"/>
            </w14:solidFill>
          </w14:textFill>
        </w:rPr>
        <w:t>4.2.</w:t>
      </w:r>
      <w:r>
        <w:rPr>
          <w:rFonts w:hint="eastAsia"/>
          <w:color w:val="000000" w:themeColor="text1"/>
          <w:kern w:val="2"/>
          <w14:textFill>
            <w14:solidFill>
              <w14:schemeClr w14:val="tx1"/>
            </w14:solidFill>
          </w14:textFill>
        </w:rPr>
        <w:t>5</w:t>
      </w:r>
      <w:r>
        <w:rPr>
          <w:color w:val="000000" w:themeColor="text1"/>
          <w:kern w:val="2"/>
          <w14:textFill>
            <w14:solidFill>
              <w14:schemeClr w14:val="tx1"/>
            </w14:solidFill>
          </w14:textFill>
        </w:rPr>
        <w:t>土壤环境质量现状调查与评价</w:t>
      </w:r>
      <w:bookmarkEnd w:id="396"/>
    </w:p>
    <w:p w14:paraId="7D5E8A92">
      <w:pPr>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本次土壤现状调查采用新疆齐新环境服务有限公司对评价区域进行土壤质量监测的数据。</w:t>
      </w:r>
    </w:p>
    <w:p w14:paraId="69664325">
      <w:pPr>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（1）监测布点</w:t>
      </w:r>
    </w:p>
    <w:p w14:paraId="10DD4A05">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在项目占地范围内布设</w:t>
      </w:r>
      <w:r>
        <w:rPr>
          <w:rFonts w:hint="eastAsia"/>
          <w:color w:val="000000" w:themeColor="text1"/>
          <w:sz w:val="24"/>
          <w:szCs w:val="24"/>
          <w:lang w:val="en-US" w:eastAsia="zh-CN"/>
          <w14:textFill>
            <w14:solidFill>
              <w14:schemeClr w14:val="tx1"/>
            </w14:solidFill>
          </w14:textFill>
        </w:rPr>
        <w:t>3个表层样、3个柱状样</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在占地范围外2km范围内布设</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个表层样点，点</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"_bookmark33"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位具体位置布设见表4.2-7及图</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"_bookmark33" </w:instrText>
      </w:r>
      <w:r>
        <w:rPr>
          <w:color w:val="000000" w:themeColor="text1"/>
          <w:sz w:val="24"/>
          <w:szCs w:val="24"/>
          <w14:textFill>
            <w14:solidFill>
              <w14:schemeClr w14:val="tx1"/>
            </w14:solidFill>
          </w14:textFill>
        </w:rPr>
        <w:fldChar w:fldCharType="separate"/>
      </w:r>
      <w:r>
        <w:rPr>
          <w:rFonts w:eastAsia="Times New Roman"/>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2</w:t>
      </w:r>
      <w:r>
        <w:rPr>
          <w:rFonts w:eastAsia="Times New Roman"/>
          <w:color w:val="000000" w:themeColor="text1"/>
          <w:sz w:val="24"/>
          <w:szCs w:val="24"/>
          <w14:textFill>
            <w14:solidFill>
              <w14:schemeClr w14:val="tx1"/>
            </w14:solidFill>
          </w14:textFill>
        </w:rPr>
        <w:fldChar w:fldCharType="end"/>
      </w:r>
      <w:r>
        <w:rPr>
          <w:rFonts w:eastAsia="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w:t>
      </w:r>
    </w:p>
    <w:p w14:paraId="01BEBCF8">
      <w:pPr>
        <w:spacing w:line="480" w:lineRule="exact"/>
        <w:jc w:val="center"/>
        <w:rPr>
          <w:b/>
          <w:color w:val="000000" w:themeColor="text1"/>
          <w:kern w:val="0"/>
          <w:sz w:val="24"/>
          <w14:textFill>
            <w14:solidFill>
              <w14:schemeClr w14:val="tx1"/>
            </w14:solidFill>
          </w14:textFill>
        </w:rPr>
      </w:pPr>
      <w:r>
        <w:rPr>
          <w:b/>
          <w:bCs/>
          <w:color w:val="000000" w:themeColor="text1"/>
          <w:sz w:val="24"/>
          <w:szCs w:val="24"/>
          <w14:textFill>
            <w14:solidFill>
              <w14:schemeClr w14:val="tx1"/>
            </w14:solidFill>
          </w14:textFill>
        </w:rPr>
        <w:t xml:space="preserve">表4.2-7    </w:t>
      </w:r>
      <w:r>
        <w:rPr>
          <w:b/>
          <w:bCs/>
          <w:color w:val="000000" w:themeColor="text1"/>
          <w:kern w:val="0"/>
          <w:sz w:val="24"/>
          <w14:textFill>
            <w14:solidFill>
              <w14:schemeClr w14:val="tx1"/>
            </w14:solidFill>
          </w14:textFill>
        </w:rPr>
        <w:t>土壤</w:t>
      </w:r>
      <w:r>
        <w:rPr>
          <w:b/>
          <w:color w:val="000000" w:themeColor="text1"/>
          <w:kern w:val="0"/>
          <w:sz w:val="24"/>
          <w14:textFill>
            <w14:solidFill>
              <w14:schemeClr w14:val="tx1"/>
            </w14:solidFill>
          </w14:textFill>
        </w:rPr>
        <w:t>监测点位一览表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132"/>
        <w:gridCol w:w="3223"/>
        <w:gridCol w:w="2188"/>
        <w:gridCol w:w="1325"/>
      </w:tblGrid>
      <w:tr w14:paraId="25121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4" w:type="pct"/>
            <w:noWrap w:val="0"/>
            <w:vAlign w:val="center"/>
          </w:tcPr>
          <w:p w14:paraId="1A5FCAA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编号</w:t>
            </w:r>
          </w:p>
        </w:tc>
        <w:tc>
          <w:tcPr>
            <w:tcW w:w="664" w:type="pct"/>
            <w:noWrap w:val="0"/>
            <w:vAlign w:val="center"/>
          </w:tcPr>
          <w:p w14:paraId="7FA72C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监测点位</w:t>
            </w:r>
          </w:p>
        </w:tc>
        <w:tc>
          <w:tcPr>
            <w:tcW w:w="1891" w:type="pct"/>
            <w:noWrap w:val="0"/>
            <w:vAlign w:val="center"/>
          </w:tcPr>
          <w:p w14:paraId="3DE05B3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坐标</w:t>
            </w:r>
          </w:p>
        </w:tc>
        <w:tc>
          <w:tcPr>
            <w:tcW w:w="1284" w:type="pct"/>
            <w:noWrap w:val="0"/>
            <w:vAlign w:val="center"/>
          </w:tcPr>
          <w:p w14:paraId="193B4E1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用地类型</w:t>
            </w:r>
          </w:p>
        </w:tc>
        <w:tc>
          <w:tcPr>
            <w:tcW w:w="774" w:type="pct"/>
            <w:noWrap w:val="0"/>
            <w:vAlign w:val="center"/>
          </w:tcPr>
          <w:p w14:paraId="754E045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备注</w:t>
            </w:r>
          </w:p>
        </w:tc>
      </w:tr>
      <w:tr w14:paraId="20A18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67DB83E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T1</w:t>
            </w:r>
          </w:p>
        </w:tc>
        <w:tc>
          <w:tcPr>
            <w:tcW w:w="664" w:type="pct"/>
            <w:noWrap w:val="0"/>
            <w:vAlign w:val="center"/>
          </w:tcPr>
          <w:p w14:paraId="646629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项目区</w:t>
            </w:r>
            <w:r>
              <w:rPr>
                <w:rFonts w:hint="default" w:ascii="Times New Roman" w:hAnsi="Times New Roman" w:cs="Times New Roman"/>
                <w:color w:val="000000" w:themeColor="text1"/>
                <w:szCs w:val="21"/>
                <w14:textFill>
                  <w14:solidFill>
                    <w14:schemeClr w14:val="tx1"/>
                  </w14:solidFill>
                </w14:textFill>
              </w:rPr>
              <w:t>内</w:t>
            </w:r>
          </w:p>
        </w:tc>
        <w:tc>
          <w:tcPr>
            <w:tcW w:w="1891" w:type="pct"/>
            <w:noWrap w:val="0"/>
            <w:vAlign w:val="center"/>
          </w:tcPr>
          <w:p w14:paraId="17C5285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7D41D5C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建设用地</w:t>
            </w:r>
          </w:p>
        </w:tc>
        <w:tc>
          <w:tcPr>
            <w:tcW w:w="774" w:type="pct"/>
            <w:noWrap w:val="0"/>
            <w:vAlign w:val="center"/>
          </w:tcPr>
          <w:p w14:paraId="2907087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柱状土</w:t>
            </w:r>
          </w:p>
        </w:tc>
      </w:tr>
      <w:tr w14:paraId="0E905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05B86A1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T2</w:t>
            </w:r>
          </w:p>
        </w:tc>
        <w:tc>
          <w:tcPr>
            <w:tcW w:w="664" w:type="pct"/>
            <w:noWrap w:val="0"/>
            <w:vAlign w:val="center"/>
          </w:tcPr>
          <w:p w14:paraId="5638233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w:t>
            </w:r>
            <w:r>
              <w:rPr>
                <w:rFonts w:hint="default" w:ascii="Times New Roman" w:hAnsi="Times New Roman" w:eastAsia="宋体" w:cs="Times New Roman"/>
                <w:color w:val="000000" w:themeColor="text1"/>
                <w:szCs w:val="21"/>
                <w14:textFill>
                  <w14:solidFill>
                    <w14:schemeClr w14:val="tx1"/>
                  </w14:solidFill>
                </w14:textFill>
              </w:rPr>
              <w:t>内</w:t>
            </w:r>
          </w:p>
        </w:tc>
        <w:tc>
          <w:tcPr>
            <w:tcW w:w="1891" w:type="pct"/>
            <w:noWrap w:val="0"/>
            <w:vAlign w:val="center"/>
          </w:tcPr>
          <w:p w14:paraId="7B2928F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1E1B423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建设用地</w:t>
            </w:r>
          </w:p>
        </w:tc>
        <w:tc>
          <w:tcPr>
            <w:tcW w:w="774" w:type="pct"/>
            <w:noWrap w:val="0"/>
            <w:vAlign w:val="center"/>
          </w:tcPr>
          <w:p w14:paraId="05ECDF7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柱状土</w:t>
            </w:r>
          </w:p>
        </w:tc>
      </w:tr>
      <w:tr w14:paraId="2B5D9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3B9C887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T3</w:t>
            </w:r>
          </w:p>
        </w:tc>
        <w:tc>
          <w:tcPr>
            <w:tcW w:w="664" w:type="pct"/>
            <w:noWrap w:val="0"/>
            <w:vAlign w:val="center"/>
          </w:tcPr>
          <w:p w14:paraId="2DB664F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w:t>
            </w:r>
            <w:r>
              <w:rPr>
                <w:rFonts w:hint="default" w:ascii="Times New Roman" w:hAnsi="Times New Roman" w:eastAsia="宋体" w:cs="Times New Roman"/>
                <w:color w:val="000000" w:themeColor="text1"/>
                <w:szCs w:val="21"/>
                <w14:textFill>
                  <w14:solidFill>
                    <w14:schemeClr w14:val="tx1"/>
                  </w14:solidFill>
                </w14:textFill>
              </w:rPr>
              <w:t>内</w:t>
            </w:r>
          </w:p>
        </w:tc>
        <w:tc>
          <w:tcPr>
            <w:tcW w:w="1891" w:type="pct"/>
            <w:noWrap w:val="0"/>
            <w:vAlign w:val="center"/>
          </w:tcPr>
          <w:p w14:paraId="775498E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4302E01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建设用地</w:t>
            </w:r>
          </w:p>
        </w:tc>
        <w:tc>
          <w:tcPr>
            <w:tcW w:w="774" w:type="pct"/>
            <w:noWrap w:val="0"/>
            <w:vAlign w:val="center"/>
          </w:tcPr>
          <w:p w14:paraId="25B9F93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柱状土</w:t>
            </w:r>
          </w:p>
        </w:tc>
      </w:tr>
      <w:tr w14:paraId="18D5C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54DC3EE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T4</w:t>
            </w:r>
          </w:p>
        </w:tc>
        <w:tc>
          <w:tcPr>
            <w:tcW w:w="664" w:type="pct"/>
            <w:noWrap w:val="0"/>
            <w:vAlign w:val="center"/>
          </w:tcPr>
          <w:p w14:paraId="407913B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w:t>
            </w:r>
            <w:r>
              <w:rPr>
                <w:rFonts w:hint="default" w:ascii="Times New Roman" w:hAnsi="Times New Roman" w:eastAsia="宋体" w:cs="Times New Roman"/>
                <w:color w:val="000000" w:themeColor="text1"/>
                <w:szCs w:val="21"/>
                <w14:textFill>
                  <w14:solidFill>
                    <w14:schemeClr w14:val="tx1"/>
                  </w14:solidFill>
                </w14:textFill>
              </w:rPr>
              <w:t>内</w:t>
            </w:r>
          </w:p>
        </w:tc>
        <w:tc>
          <w:tcPr>
            <w:tcW w:w="1891" w:type="pct"/>
            <w:noWrap w:val="0"/>
            <w:vAlign w:val="center"/>
          </w:tcPr>
          <w:p w14:paraId="72CAD81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71CABFB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建设用地</w:t>
            </w:r>
          </w:p>
        </w:tc>
        <w:tc>
          <w:tcPr>
            <w:tcW w:w="774" w:type="pct"/>
            <w:noWrap w:val="0"/>
            <w:vAlign w:val="center"/>
          </w:tcPr>
          <w:p w14:paraId="2A626A9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表层</w:t>
            </w:r>
            <w:r>
              <w:rPr>
                <w:rFonts w:hint="default" w:ascii="Times New Roman" w:hAnsi="Times New Roman" w:cs="Times New Roman"/>
                <w:color w:val="000000" w:themeColor="text1"/>
                <w:szCs w:val="21"/>
                <w14:textFill>
                  <w14:solidFill>
                    <w14:schemeClr w14:val="tx1"/>
                  </w14:solidFill>
                </w14:textFill>
              </w:rPr>
              <w:t>土</w:t>
            </w:r>
          </w:p>
        </w:tc>
      </w:tr>
      <w:tr w14:paraId="7BABA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84" w:type="pct"/>
            <w:noWrap w:val="0"/>
            <w:vAlign w:val="center"/>
          </w:tcPr>
          <w:p w14:paraId="68ABF8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T5</w:t>
            </w:r>
          </w:p>
        </w:tc>
        <w:tc>
          <w:tcPr>
            <w:tcW w:w="664" w:type="pct"/>
            <w:noWrap w:val="0"/>
            <w:vAlign w:val="center"/>
          </w:tcPr>
          <w:p w14:paraId="16F5681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w:t>
            </w:r>
            <w:r>
              <w:rPr>
                <w:rFonts w:hint="default" w:ascii="Times New Roman" w:hAnsi="Times New Roman" w:eastAsia="宋体" w:cs="Times New Roman"/>
                <w:color w:val="000000" w:themeColor="text1"/>
                <w:szCs w:val="21"/>
                <w14:textFill>
                  <w14:solidFill>
                    <w14:schemeClr w14:val="tx1"/>
                  </w14:solidFill>
                </w14:textFill>
              </w:rPr>
              <w:t>内</w:t>
            </w:r>
          </w:p>
        </w:tc>
        <w:tc>
          <w:tcPr>
            <w:tcW w:w="1891" w:type="pct"/>
            <w:noWrap w:val="0"/>
            <w:vAlign w:val="center"/>
          </w:tcPr>
          <w:p w14:paraId="55DBAC8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5D48593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建设用地</w:t>
            </w:r>
          </w:p>
        </w:tc>
        <w:tc>
          <w:tcPr>
            <w:tcW w:w="774" w:type="pct"/>
            <w:noWrap w:val="0"/>
            <w:vAlign w:val="center"/>
          </w:tcPr>
          <w:p w14:paraId="0F7C831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表层</w:t>
            </w:r>
            <w:r>
              <w:rPr>
                <w:rFonts w:hint="default" w:ascii="Times New Roman" w:hAnsi="Times New Roman" w:cs="Times New Roman"/>
                <w:color w:val="000000" w:themeColor="text1"/>
                <w:szCs w:val="21"/>
                <w14:textFill>
                  <w14:solidFill>
                    <w14:schemeClr w14:val="tx1"/>
                  </w14:solidFill>
                </w14:textFill>
              </w:rPr>
              <w:t>土</w:t>
            </w:r>
          </w:p>
        </w:tc>
      </w:tr>
      <w:tr w14:paraId="05285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7E3C762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T6</w:t>
            </w:r>
          </w:p>
        </w:tc>
        <w:tc>
          <w:tcPr>
            <w:tcW w:w="664" w:type="pct"/>
            <w:noWrap w:val="0"/>
            <w:vAlign w:val="center"/>
          </w:tcPr>
          <w:p w14:paraId="4180FC0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w:t>
            </w:r>
            <w:r>
              <w:rPr>
                <w:rFonts w:hint="default" w:ascii="Times New Roman" w:hAnsi="Times New Roman" w:eastAsia="宋体" w:cs="Times New Roman"/>
                <w:color w:val="000000" w:themeColor="text1"/>
                <w:szCs w:val="21"/>
                <w14:textFill>
                  <w14:solidFill>
                    <w14:schemeClr w14:val="tx1"/>
                  </w14:solidFill>
                </w14:textFill>
              </w:rPr>
              <w:t>内</w:t>
            </w:r>
          </w:p>
        </w:tc>
        <w:tc>
          <w:tcPr>
            <w:tcW w:w="1891" w:type="pct"/>
            <w:noWrap w:val="0"/>
            <w:vAlign w:val="center"/>
          </w:tcPr>
          <w:p w14:paraId="7EBA0ADF">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575901CB">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建设用地</w:t>
            </w:r>
          </w:p>
        </w:tc>
        <w:tc>
          <w:tcPr>
            <w:tcW w:w="774" w:type="pct"/>
            <w:noWrap w:val="0"/>
            <w:vAlign w:val="center"/>
          </w:tcPr>
          <w:p w14:paraId="2B8AD13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表层</w:t>
            </w:r>
            <w:r>
              <w:rPr>
                <w:rFonts w:hint="default" w:ascii="Times New Roman" w:hAnsi="Times New Roman" w:cs="Times New Roman"/>
                <w:color w:val="000000" w:themeColor="text1"/>
                <w:szCs w:val="21"/>
                <w14:textFill>
                  <w14:solidFill>
                    <w14:schemeClr w14:val="tx1"/>
                  </w14:solidFill>
                </w14:textFill>
              </w:rPr>
              <w:t>土</w:t>
            </w:r>
          </w:p>
        </w:tc>
      </w:tr>
      <w:tr w14:paraId="01E80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483D91C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T7</w:t>
            </w:r>
          </w:p>
        </w:tc>
        <w:tc>
          <w:tcPr>
            <w:tcW w:w="664" w:type="pct"/>
            <w:noWrap w:val="0"/>
            <w:vAlign w:val="center"/>
          </w:tcPr>
          <w:p w14:paraId="0DED1F9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项目区外</w:t>
            </w:r>
          </w:p>
        </w:tc>
        <w:tc>
          <w:tcPr>
            <w:tcW w:w="1891" w:type="pct"/>
            <w:noWrap w:val="0"/>
            <w:vAlign w:val="center"/>
          </w:tcPr>
          <w:p w14:paraId="662C710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051A62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戈壁、裸岩石砾地</w:t>
            </w:r>
          </w:p>
        </w:tc>
        <w:tc>
          <w:tcPr>
            <w:tcW w:w="774" w:type="pct"/>
            <w:noWrap w:val="0"/>
            <w:vAlign w:val="center"/>
          </w:tcPr>
          <w:p w14:paraId="39EBC2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表层</w:t>
            </w:r>
            <w:r>
              <w:rPr>
                <w:rFonts w:hint="default" w:ascii="Times New Roman" w:hAnsi="Times New Roman" w:cs="Times New Roman"/>
                <w:color w:val="000000" w:themeColor="text1"/>
                <w:szCs w:val="21"/>
                <w14:textFill>
                  <w14:solidFill>
                    <w14:schemeClr w14:val="tx1"/>
                  </w14:solidFill>
                </w14:textFill>
              </w:rPr>
              <w:t>土</w:t>
            </w:r>
          </w:p>
        </w:tc>
      </w:tr>
      <w:tr w14:paraId="7B400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64C40081">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8</w:t>
            </w:r>
          </w:p>
        </w:tc>
        <w:tc>
          <w:tcPr>
            <w:tcW w:w="664" w:type="pct"/>
            <w:noWrap w:val="0"/>
            <w:vAlign w:val="center"/>
          </w:tcPr>
          <w:p w14:paraId="4EFCD81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项目区外</w:t>
            </w:r>
          </w:p>
        </w:tc>
        <w:tc>
          <w:tcPr>
            <w:tcW w:w="1891" w:type="pct"/>
            <w:noWrap w:val="0"/>
            <w:vAlign w:val="center"/>
          </w:tcPr>
          <w:p w14:paraId="1A8B79F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39B3C40D">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戈壁、裸岩石砾地</w:t>
            </w:r>
          </w:p>
        </w:tc>
        <w:tc>
          <w:tcPr>
            <w:tcW w:w="774" w:type="pct"/>
            <w:noWrap w:val="0"/>
            <w:vAlign w:val="center"/>
          </w:tcPr>
          <w:p w14:paraId="4CE183A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表层</w:t>
            </w:r>
            <w:r>
              <w:rPr>
                <w:rFonts w:hint="default" w:ascii="Times New Roman" w:hAnsi="Times New Roman" w:cs="Times New Roman"/>
                <w:color w:val="000000" w:themeColor="text1"/>
                <w:szCs w:val="21"/>
                <w14:textFill>
                  <w14:solidFill>
                    <w14:schemeClr w14:val="tx1"/>
                  </w14:solidFill>
                </w14:textFill>
              </w:rPr>
              <w:t>土</w:t>
            </w:r>
          </w:p>
        </w:tc>
      </w:tr>
      <w:tr w14:paraId="1DC64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43807E43">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w:t>
            </w:r>
            <w:r>
              <w:rPr>
                <w:rFonts w:hint="eastAsia" w:ascii="Times New Roman" w:hAnsi="Times New Roman" w:cs="Times New Roman"/>
                <w:color w:val="000000" w:themeColor="text1"/>
                <w:szCs w:val="21"/>
                <w:lang w:val="en-US" w:eastAsia="zh-CN"/>
                <w14:textFill>
                  <w14:solidFill>
                    <w14:schemeClr w14:val="tx1"/>
                  </w14:solidFill>
                </w14:textFill>
              </w:rPr>
              <w:t>9</w:t>
            </w:r>
          </w:p>
        </w:tc>
        <w:tc>
          <w:tcPr>
            <w:tcW w:w="664" w:type="pct"/>
            <w:noWrap w:val="0"/>
            <w:vAlign w:val="center"/>
          </w:tcPr>
          <w:p w14:paraId="26B6848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项目区外</w:t>
            </w:r>
          </w:p>
        </w:tc>
        <w:tc>
          <w:tcPr>
            <w:tcW w:w="1891" w:type="pct"/>
            <w:noWrap w:val="0"/>
            <w:vAlign w:val="center"/>
          </w:tcPr>
          <w:p w14:paraId="3518E63B">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07F331F0">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戈壁、裸岩石砾地</w:t>
            </w:r>
          </w:p>
        </w:tc>
        <w:tc>
          <w:tcPr>
            <w:tcW w:w="774" w:type="pct"/>
            <w:noWrap w:val="0"/>
            <w:vAlign w:val="center"/>
          </w:tcPr>
          <w:p w14:paraId="687762C3">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表层</w:t>
            </w:r>
            <w:r>
              <w:rPr>
                <w:rFonts w:hint="default" w:ascii="Times New Roman" w:hAnsi="Times New Roman" w:cs="Times New Roman"/>
                <w:color w:val="000000" w:themeColor="text1"/>
                <w:szCs w:val="21"/>
                <w14:textFill>
                  <w14:solidFill>
                    <w14:schemeClr w14:val="tx1"/>
                  </w14:solidFill>
                </w14:textFill>
              </w:rPr>
              <w:t>土</w:t>
            </w:r>
          </w:p>
        </w:tc>
      </w:tr>
      <w:tr w14:paraId="17AF3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noWrap w:val="0"/>
            <w:vAlign w:val="center"/>
          </w:tcPr>
          <w:p w14:paraId="600E8A7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T10</w:t>
            </w:r>
          </w:p>
        </w:tc>
        <w:tc>
          <w:tcPr>
            <w:tcW w:w="664" w:type="pct"/>
            <w:noWrap w:val="0"/>
            <w:vAlign w:val="center"/>
          </w:tcPr>
          <w:p w14:paraId="4DE7D0CB">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项目区外</w:t>
            </w:r>
          </w:p>
        </w:tc>
        <w:tc>
          <w:tcPr>
            <w:tcW w:w="1891" w:type="pct"/>
            <w:noWrap w:val="0"/>
            <w:vAlign w:val="center"/>
          </w:tcPr>
          <w:p w14:paraId="4AB8AAE3">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c>
          <w:tcPr>
            <w:tcW w:w="1284" w:type="pct"/>
            <w:noWrap w:val="0"/>
            <w:vAlign w:val="center"/>
          </w:tcPr>
          <w:p w14:paraId="05C31856">
            <w:pPr>
              <w:keepNext w:val="0"/>
              <w:keepLines w:val="0"/>
              <w:suppressLineNumbers w:val="0"/>
              <w:spacing w:before="0" w:beforeAutospacing="0" w:after="0" w:afterAutospacing="0" w:line="360" w:lineRule="exact"/>
              <w:ind w:left="0" w:right="0"/>
              <w:jc w:val="center"/>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戈壁、裸岩石砾地</w:t>
            </w:r>
          </w:p>
        </w:tc>
        <w:tc>
          <w:tcPr>
            <w:tcW w:w="774" w:type="pct"/>
            <w:noWrap w:val="0"/>
            <w:vAlign w:val="center"/>
          </w:tcPr>
          <w:p w14:paraId="5D6EFF9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表层</w:t>
            </w:r>
            <w:r>
              <w:rPr>
                <w:rFonts w:hint="default" w:ascii="Times New Roman" w:hAnsi="Times New Roman" w:cs="Times New Roman"/>
                <w:color w:val="000000" w:themeColor="text1"/>
                <w:szCs w:val="21"/>
                <w14:textFill>
                  <w14:solidFill>
                    <w14:schemeClr w14:val="tx1"/>
                  </w14:solidFill>
                </w14:textFill>
              </w:rPr>
              <w:t>土</w:t>
            </w:r>
          </w:p>
        </w:tc>
      </w:tr>
      <w:tr w14:paraId="4E010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4695B4A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备注：表层采样点取0~20cm土样</w:t>
            </w:r>
            <w:r>
              <w:rPr>
                <w:rFonts w:hint="eastAsia" w:cs="Times New Roman"/>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柱状样分别取0~3m土样（0~0.5m、0.5~1.5m、1.5~3m）</w:t>
            </w:r>
            <w:r>
              <w:rPr>
                <w:rFonts w:hint="eastAsia" w:cs="Times New Roman"/>
                <w:color w:val="000000" w:themeColor="text1"/>
                <w:szCs w:val="21"/>
                <w:lang w:eastAsia="zh-CN"/>
                <w14:textFill>
                  <w14:solidFill>
                    <w14:schemeClr w14:val="tx1"/>
                  </w14:solidFill>
                </w14:textFill>
              </w:rPr>
              <w:t>。</w:t>
            </w:r>
          </w:p>
        </w:tc>
      </w:tr>
    </w:tbl>
    <w:p w14:paraId="427AD872">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（2）监测时间</w:t>
      </w:r>
    </w:p>
    <w:p w14:paraId="0FEECC2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采样时间：2026</w:t>
      </w:r>
      <w:r>
        <w:rPr>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日。</w:t>
      </w:r>
    </w:p>
    <w:p w14:paraId="7B8BFBD9">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（3）监测项目与分析方法</w:t>
      </w:r>
    </w:p>
    <w:p w14:paraId="4F3B3B0C">
      <w:pPr>
        <w:spacing w:line="480" w:lineRule="exact"/>
        <w:ind w:firstLine="480" w:firstLineChars="200"/>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监测项目包括砷、镉、铬（六价）、铜、铅、汞、镍、四氯化碳、氯仿、氯甲烷、1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1-二氯乙烷、1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2-二氯乙烷、1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1-二氯乙烯、顺-1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2-二氯乙烯、反-1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2-二氯乙烯、二氯甲烷、1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2-二氯丙烷、1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2-四氯乙烷、1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2-四氯乙烷、四氯乙烯、1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1-三氯乙烷、1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2-三氯乙烷、三氯乙烯、1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3-三氯丙烷、氯乙烯、苯、氯苯、1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2-二氯苯、1</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4-二氯苯、乙苯、苯乙烯、甲苯、间二甲苯+对二甲苯、邻二甲苯、硝基苯、苯胺、2-氯酚、苯并（a）蒽、苯并（a）芘、苯并（b）荧蒽、苯并（k）荧蒽、䓛、二苯并（ah）蒽、茚并（123-cd）芘、萘，共45个基本项目，</w:t>
      </w:r>
      <w:r>
        <w:rPr>
          <w:rFonts w:hint="eastAsia"/>
          <w:color w:val="000000" w:themeColor="text1"/>
          <w:kern w:val="0"/>
          <w:sz w:val="24"/>
          <w:szCs w:val="24"/>
          <w14:textFill>
            <w14:solidFill>
              <w14:schemeClr w14:val="tx1"/>
            </w14:solidFill>
          </w14:textFill>
        </w:rPr>
        <w:t>以及pH</w:t>
      </w:r>
      <w:r>
        <w:rPr>
          <w:color w:val="000000" w:themeColor="text1"/>
          <w:kern w:val="0"/>
          <w:sz w:val="24"/>
          <w:szCs w:val="24"/>
          <w14:textFill>
            <w14:solidFill>
              <w14:schemeClr w14:val="tx1"/>
            </w14:solidFill>
          </w14:textFill>
        </w:rPr>
        <w:t>值</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含盐量</w:t>
      </w:r>
      <w:r>
        <w:rPr>
          <w:rFonts w:hint="eastAsia"/>
          <w:color w:val="000000" w:themeColor="text1"/>
          <w:kern w:val="0"/>
          <w:sz w:val="24"/>
          <w:szCs w:val="24"/>
          <w14:textFill>
            <w14:solidFill>
              <w14:schemeClr w14:val="tx1"/>
            </w14:solidFill>
          </w14:textFill>
        </w:rPr>
        <w:t>。</w:t>
      </w:r>
      <w:r>
        <w:rPr>
          <w:color w:val="000000" w:themeColor="text1"/>
          <w:sz w:val="24"/>
          <w:szCs w:val="24"/>
          <w14:textFill>
            <w14:solidFill>
              <w14:schemeClr w14:val="tx1"/>
            </w14:solidFill>
          </w14:textFill>
        </w:rPr>
        <w:t>监测分析方法见表4.2-8。</w:t>
      </w:r>
    </w:p>
    <w:p w14:paraId="6169FBE1">
      <w:pPr>
        <w:spacing w:line="480" w:lineRule="exact"/>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表4.2-8</w:t>
      </w:r>
      <w:r>
        <w:rPr>
          <w:rFonts w:hint="eastAsia"/>
          <w:b/>
          <w:bCs/>
          <w:color w:val="000000" w:themeColor="text1"/>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土壤环境质量检测分析方法</w:t>
      </w:r>
    </w:p>
    <w:tbl>
      <w:tblPr>
        <w:tblStyle w:val="79"/>
        <w:tblW w:w="50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34"/>
        <w:gridCol w:w="2073"/>
        <w:gridCol w:w="4263"/>
        <w:gridCol w:w="1483"/>
      </w:tblGrid>
      <w:tr w14:paraId="7C01C9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exact"/>
          <w:tblHeader/>
          <w:jc w:val="center"/>
        </w:trPr>
        <w:tc>
          <w:tcPr>
            <w:tcW w:w="375" w:type="pct"/>
            <w:noWrap w:val="0"/>
            <w:vAlign w:val="center"/>
          </w:tcPr>
          <w:p w14:paraId="707EFE8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1226" w:type="pct"/>
            <w:noWrap w:val="0"/>
            <w:vAlign w:val="center"/>
          </w:tcPr>
          <w:p w14:paraId="7E2DA1F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分析项目</w:t>
            </w:r>
          </w:p>
        </w:tc>
        <w:tc>
          <w:tcPr>
            <w:tcW w:w="2521" w:type="pct"/>
            <w:noWrap w:val="0"/>
            <w:vAlign w:val="center"/>
          </w:tcPr>
          <w:p w14:paraId="619B7C10">
            <w:pPr>
              <w:keepNext w:val="0"/>
              <w:keepLines w:val="0"/>
              <w:suppressLineNumbers w:val="0"/>
              <w:spacing w:before="0" w:beforeAutospacing="0" w:after="0" w:afterAutospacing="0" w:line="360" w:lineRule="exact"/>
              <w:ind w:left="0" w:right="3"/>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依据</w:t>
            </w:r>
          </w:p>
        </w:tc>
        <w:tc>
          <w:tcPr>
            <w:tcW w:w="877" w:type="pct"/>
            <w:noWrap w:val="0"/>
            <w:vAlign w:val="center"/>
          </w:tcPr>
          <w:p w14:paraId="7F9A04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检出限</w:t>
            </w:r>
          </w:p>
        </w:tc>
      </w:tr>
      <w:tr w14:paraId="42905C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5" w:hRule="exact"/>
          <w:jc w:val="center"/>
        </w:trPr>
        <w:tc>
          <w:tcPr>
            <w:tcW w:w="375" w:type="pct"/>
            <w:noWrap w:val="0"/>
            <w:vAlign w:val="center"/>
          </w:tcPr>
          <w:p w14:paraId="524899F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226" w:type="pct"/>
            <w:noWrap w:val="0"/>
            <w:vAlign w:val="center"/>
          </w:tcPr>
          <w:p w14:paraId="148DF32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汞</w:t>
            </w:r>
          </w:p>
        </w:tc>
        <w:tc>
          <w:tcPr>
            <w:tcW w:w="2521" w:type="pct"/>
            <w:noWrap w:val="0"/>
            <w:vAlign w:val="center"/>
          </w:tcPr>
          <w:p w14:paraId="5A98449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土壤质量总汞、总砷、总铅的测定原子荧光法第1部分：土壤中总汞的测GB/T22105.1-2008</w:t>
            </w:r>
          </w:p>
        </w:tc>
        <w:tc>
          <w:tcPr>
            <w:tcW w:w="877" w:type="pct"/>
            <w:noWrap w:val="0"/>
            <w:vAlign w:val="center"/>
          </w:tcPr>
          <w:p w14:paraId="72CFF8F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0.002mg/kg</w:t>
            </w:r>
          </w:p>
        </w:tc>
      </w:tr>
      <w:tr w14:paraId="0600C3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2" w:hRule="exact"/>
          <w:jc w:val="center"/>
        </w:trPr>
        <w:tc>
          <w:tcPr>
            <w:tcW w:w="375" w:type="pct"/>
            <w:noWrap w:val="0"/>
            <w:vAlign w:val="center"/>
          </w:tcPr>
          <w:p w14:paraId="473240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226" w:type="pct"/>
            <w:noWrap w:val="0"/>
            <w:vAlign w:val="center"/>
          </w:tcPr>
          <w:p w14:paraId="6E73D8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铬（六价）</w:t>
            </w:r>
          </w:p>
        </w:tc>
        <w:tc>
          <w:tcPr>
            <w:tcW w:w="2521" w:type="pct"/>
            <w:noWrap w:val="0"/>
            <w:vAlign w:val="center"/>
          </w:tcPr>
          <w:p w14:paraId="615EAE4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土壤和沉积物</w:t>
            </w:r>
            <w:r>
              <w:rPr>
                <w:rFonts w:hint="eastAsia"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六价铬的测定</w:t>
            </w:r>
            <w:r>
              <w:rPr>
                <w:rFonts w:hint="eastAsia"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碱溶液提取</w:t>
            </w:r>
            <w:r>
              <w:rPr>
                <w:rFonts w:hint="eastAsia" w:cs="Times New Roman"/>
                <w:color w:val="000000" w:themeColor="text1"/>
                <w:szCs w:val="21"/>
                <w:lang w:val="en-US" w:eastAsia="zh-CN"/>
                <w14:textFill>
                  <w14:solidFill>
                    <w14:schemeClr w14:val="tx1"/>
                  </w14:solidFill>
                </w14:textFill>
              </w:rPr>
              <w:t>-火焰</w:t>
            </w:r>
            <w:r>
              <w:rPr>
                <w:rFonts w:hint="default" w:ascii="Times New Roman" w:hAnsi="Times New Roman" w:cs="Times New Roman"/>
                <w:color w:val="000000" w:themeColor="text1"/>
                <w:szCs w:val="21"/>
                <w14:textFill>
                  <w14:solidFill>
                    <w14:schemeClr w14:val="tx1"/>
                  </w14:solidFill>
                </w14:textFill>
              </w:rPr>
              <w:t>原子吸收分光光度法</w:t>
            </w:r>
            <w:r>
              <w:rPr>
                <w:rFonts w:hint="eastAsia" w:cs="Times New Roman"/>
                <w:color w:val="000000" w:themeColor="text1"/>
                <w:szCs w:val="21"/>
                <w:lang w:val="en-US" w:eastAsia="zh-CN"/>
                <w14:textFill>
                  <w14:solidFill>
                    <w14:schemeClr w14:val="tx1"/>
                  </w14:solidFill>
                </w14:textFill>
              </w:rPr>
              <w:t>HJ1082-2019</w:t>
            </w:r>
          </w:p>
        </w:tc>
        <w:tc>
          <w:tcPr>
            <w:tcW w:w="877" w:type="pct"/>
            <w:noWrap w:val="0"/>
            <w:vAlign w:val="center"/>
          </w:tcPr>
          <w:p w14:paraId="25EA52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0.5</w:t>
            </w:r>
            <w:r>
              <w:rPr>
                <w:rFonts w:hint="default" w:ascii="Times New Roman" w:hAnsi="Times New Roman" w:cs="Times New Roman"/>
                <w:color w:val="000000" w:themeColor="text1"/>
                <w:szCs w:val="21"/>
                <w14:textFill>
                  <w14:solidFill>
                    <w14:schemeClr w14:val="tx1"/>
                  </w14:solidFill>
                </w14:textFill>
              </w:rPr>
              <w:t>mg/kg</w:t>
            </w:r>
          </w:p>
        </w:tc>
      </w:tr>
      <w:tr w14:paraId="7ED40A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5" w:hRule="exact"/>
          <w:jc w:val="center"/>
        </w:trPr>
        <w:tc>
          <w:tcPr>
            <w:tcW w:w="375" w:type="pct"/>
            <w:noWrap w:val="0"/>
            <w:vAlign w:val="center"/>
          </w:tcPr>
          <w:p w14:paraId="4B8E63D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226" w:type="pct"/>
            <w:noWrap w:val="0"/>
            <w:vAlign w:val="center"/>
          </w:tcPr>
          <w:p w14:paraId="09AEF8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镍</w:t>
            </w:r>
          </w:p>
        </w:tc>
        <w:tc>
          <w:tcPr>
            <w:tcW w:w="2521" w:type="pct"/>
            <w:vMerge w:val="restart"/>
            <w:noWrap w:val="0"/>
            <w:vAlign w:val="center"/>
          </w:tcPr>
          <w:p w14:paraId="78CE27DC">
            <w:pPr>
              <w:keepNext w:val="0"/>
              <w:keepLines w:val="0"/>
              <w:suppressLineNumbers w:val="0"/>
              <w:spacing w:before="0" w:beforeAutospacing="0" w:after="0" w:afterAutospacing="0" w:line="360" w:lineRule="exact"/>
              <w:ind w:left="0" w:right="0"/>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w:t>
            </w:r>
            <w:r>
              <w:rPr>
                <w:rFonts w:hint="eastAsia" w:cs="Times New Roman"/>
                <w:color w:val="000000" w:themeColor="text1"/>
                <w:szCs w:val="21"/>
                <w:lang w:eastAsia="zh-CN"/>
                <w14:textFill>
                  <w14:solidFill>
                    <w14:schemeClr w14:val="tx1"/>
                  </w14:solidFill>
                </w14:textFill>
              </w:rPr>
              <w:t>和沉积物</w:t>
            </w:r>
            <w:r>
              <w:rPr>
                <w:rFonts w:hint="eastAsia" w:cs="Times New Roman"/>
                <w:color w:val="000000" w:themeColor="text1"/>
                <w:szCs w:val="21"/>
                <w:lang w:val="en-US" w:eastAsia="zh-CN"/>
                <w14:textFill>
                  <w14:solidFill>
                    <w14:schemeClr w14:val="tx1"/>
                  </w14:solidFill>
                </w14:textFill>
              </w:rPr>
              <w:t xml:space="preserve"> 铜、锌、铅、镍、铬</w:t>
            </w:r>
            <w:r>
              <w:rPr>
                <w:rFonts w:hint="default" w:ascii="Times New Roman" w:hAnsi="Times New Roman" w:cs="Times New Roman"/>
                <w:color w:val="000000" w:themeColor="text1"/>
                <w:szCs w:val="21"/>
                <w14:textFill>
                  <w14:solidFill>
                    <w14:schemeClr w14:val="tx1"/>
                  </w14:solidFill>
                </w14:textFill>
              </w:rPr>
              <w:t>的测定</w:t>
            </w:r>
          </w:p>
          <w:p w14:paraId="1D6C05A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火焰原子吸收分光光度法</w:t>
            </w:r>
          </w:p>
          <w:p w14:paraId="5EAAD6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HJ491</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2019</w:t>
            </w:r>
          </w:p>
        </w:tc>
        <w:tc>
          <w:tcPr>
            <w:tcW w:w="877" w:type="pct"/>
            <w:noWrap w:val="0"/>
            <w:vAlign w:val="center"/>
          </w:tcPr>
          <w:p w14:paraId="31632EE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mg/kg</w:t>
            </w:r>
          </w:p>
        </w:tc>
      </w:tr>
      <w:tr w14:paraId="436C4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exact"/>
          <w:jc w:val="center"/>
        </w:trPr>
        <w:tc>
          <w:tcPr>
            <w:tcW w:w="375" w:type="pct"/>
            <w:noWrap w:val="0"/>
            <w:vAlign w:val="center"/>
          </w:tcPr>
          <w:p w14:paraId="0733E55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1226" w:type="pct"/>
            <w:noWrap w:val="0"/>
            <w:vAlign w:val="center"/>
          </w:tcPr>
          <w:p w14:paraId="005C56A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铅</w:t>
            </w:r>
          </w:p>
        </w:tc>
        <w:tc>
          <w:tcPr>
            <w:tcW w:w="2521" w:type="pct"/>
            <w:vMerge w:val="continue"/>
            <w:noWrap w:val="0"/>
            <w:vAlign w:val="center"/>
          </w:tcPr>
          <w:p w14:paraId="4FB5C37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11D65FF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mg/kg</w:t>
            </w:r>
          </w:p>
        </w:tc>
      </w:tr>
      <w:tr w14:paraId="7D894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0" w:hRule="exact"/>
          <w:jc w:val="center"/>
        </w:trPr>
        <w:tc>
          <w:tcPr>
            <w:tcW w:w="375" w:type="pct"/>
            <w:noWrap w:val="0"/>
            <w:vAlign w:val="center"/>
          </w:tcPr>
          <w:p w14:paraId="394D3F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1226" w:type="pct"/>
            <w:noWrap w:val="0"/>
            <w:vAlign w:val="center"/>
          </w:tcPr>
          <w:p w14:paraId="69D5269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砷</w:t>
            </w:r>
          </w:p>
        </w:tc>
        <w:tc>
          <w:tcPr>
            <w:tcW w:w="2521" w:type="pct"/>
            <w:noWrap w:val="0"/>
            <w:vAlign w:val="center"/>
          </w:tcPr>
          <w:p w14:paraId="09A31A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土壤质量</w:t>
            </w:r>
            <w:r>
              <w:rPr>
                <w:rFonts w:hint="eastAsia"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总汞、总砷、总铅的测定原子荧光法第2部分：土壤中总砷的测GB/T22105.2-2008</w:t>
            </w:r>
          </w:p>
        </w:tc>
        <w:tc>
          <w:tcPr>
            <w:tcW w:w="877" w:type="pct"/>
            <w:noWrap w:val="0"/>
            <w:vAlign w:val="center"/>
          </w:tcPr>
          <w:p w14:paraId="4B096CB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0.01mg/kg</w:t>
            </w:r>
          </w:p>
        </w:tc>
      </w:tr>
      <w:tr w14:paraId="720ADB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2" w:hRule="exact"/>
          <w:jc w:val="center"/>
        </w:trPr>
        <w:tc>
          <w:tcPr>
            <w:tcW w:w="375" w:type="pct"/>
            <w:noWrap w:val="0"/>
            <w:vAlign w:val="center"/>
          </w:tcPr>
          <w:p w14:paraId="0C2D504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1226" w:type="pct"/>
            <w:noWrap w:val="0"/>
            <w:vAlign w:val="center"/>
          </w:tcPr>
          <w:p w14:paraId="63E123C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铜</w:t>
            </w:r>
          </w:p>
        </w:tc>
        <w:tc>
          <w:tcPr>
            <w:tcW w:w="2521" w:type="pct"/>
            <w:noWrap w:val="0"/>
            <w:vAlign w:val="center"/>
          </w:tcPr>
          <w:p w14:paraId="37C5934E">
            <w:pPr>
              <w:keepNext w:val="0"/>
              <w:keepLines w:val="0"/>
              <w:suppressLineNumbers w:val="0"/>
              <w:spacing w:before="0" w:beforeAutospacing="0" w:after="0" w:afterAutospacing="0" w:line="360" w:lineRule="exact"/>
              <w:ind w:left="0" w:right="0"/>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w:t>
            </w:r>
            <w:r>
              <w:rPr>
                <w:rFonts w:hint="eastAsia" w:cs="Times New Roman"/>
                <w:color w:val="000000" w:themeColor="text1"/>
                <w:szCs w:val="21"/>
                <w:lang w:eastAsia="zh-CN"/>
                <w14:textFill>
                  <w14:solidFill>
                    <w14:schemeClr w14:val="tx1"/>
                  </w14:solidFill>
                </w14:textFill>
              </w:rPr>
              <w:t>和沉积物</w:t>
            </w:r>
            <w:r>
              <w:rPr>
                <w:rFonts w:hint="eastAsia" w:cs="Times New Roman"/>
                <w:color w:val="000000" w:themeColor="text1"/>
                <w:szCs w:val="21"/>
                <w:lang w:val="en-US" w:eastAsia="zh-CN"/>
                <w14:textFill>
                  <w14:solidFill>
                    <w14:schemeClr w14:val="tx1"/>
                  </w14:solidFill>
                </w14:textFill>
              </w:rPr>
              <w:t xml:space="preserve"> 铜、锌、铅、镍、铬</w:t>
            </w:r>
            <w:r>
              <w:rPr>
                <w:rFonts w:hint="default" w:ascii="Times New Roman" w:hAnsi="Times New Roman" w:cs="Times New Roman"/>
                <w:color w:val="000000" w:themeColor="text1"/>
                <w:szCs w:val="21"/>
                <w14:textFill>
                  <w14:solidFill>
                    <w14:schemeClr w14:val="tx1"/>
                  </w14:solidFill>
                </w14:textFill>
              </w:rPr>
              <w:t>的测定</w:t>
            </w:r>
          </w:p>
          <w:p w14:paraId="5C69EE6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火焰原子吸收分光光度法</w:t>
            </w:r>
            <w:r>
              <w:rPr>
                <w:rFonts w:hint="eastAsia" w:cs="Times New Roman"/>
                <w:color w:val="000000" w:themeColor="text1"/>
                <w:szCs w:val="21"/>
                <w:lang w:val="en-US" w:eastAsia="zh-CN"/>
                <w14:textFill>
                  <w14:solidFill>
                    <w14:schemeClr w14:val="tx1"/>
                  </w14:solidFill>
                </w14:textFill>
              </w:rPr>
              <w:t>HJ491</w:t>
            </w: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2019</w:t>
            </w:r>
          </w:p>
        </w:tc>
        <w:tc>
          <w:tcPr>
            <w:tcW w:w="877" w:type="pct"/>
            <w:noWrap w:val="0"/>
            <w:vAlign w:val="center"/>
          </w:tcPr>
          <w:p w14:paraId="53ACAE4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mg/kg</w:t>
            </w:r>
          </w:p>
        </w:tc>
      </w:tr>
      <w:tr w14:paraId="2E2C9D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1" w:hRule="exact"/>
          <w:jc w:val="center"/>
        </w:trPr>
        <w:tc>
          <w:tcPr>
            <w:tcW w:w="375" w:type="pct"/>
            <w:noWrap w:val="0"/>
            <w:vAlign w:val="center"/>
          </w:tcPr>
          <w:p w14:paraId="52216E4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1226" w:type="pct"/>
            <w:noWrap w:val="0"/>
            <w:vAlign w:val="center"/>
          </w:tcPr>
          <w:p w14:paraId="281E4A6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镉</w:t>
            </w:r>
          </w:p>
        </w:tc>
        <w:tc>
          <w:tcPr>
            <w:tcW w:w="2521" w:type="pct"/>
            <w:noWrap w:val="0"/>
            <w:vAlign w:val="center"/>
          </w:tcPr>
          <w:p w14:paraId="2F8899D4">
            <w:pPr>
              <w:keepNext w:val="0"/>
              <w:keepLines w:val="0"/>
              <w:suppressLineNumbers w:val="0"/>
              <w:spacing w:before="0" w:beforeAutospacing="0" w:after="0" w:afterAutospacing="0" w:line="360" w:lineRule="exact"/>
              <w:ind w:left="0" w:right="0"/>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土壤质量</w:t>
            </w:r>
            <w:r>
              <w:rPr>
                <w:rFonts w:hint="eastAsia"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铅、镉的测定</w:t>
            </w:r>
          </w:p>
          <w:p w14:paraId="52752A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石墨炉原子吸收分光光度法GB/T17141-1997</w:t>
            </w:r>
          </w:p>
        </w:tc>
        <w:tc>
          <w:tcPr>
            <w:tcW w:w="877" w:type="pct"/>
            <w:noWrap w:val="0"/>
            <w:vAlign w:val="center"/>
          </w:tcPr>
          <w:p w14:paraId="5F76FE9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mg/kg</w:t>
            </w:r>
          </w:p>
        </w:tc>
      </w:tr>
      <w:tr w14:paraId="41371C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3" w:hRule="exact"/>
          <w:jc w:val="center"/>
        </w:trPr>
        <w:tc>
          <w:tcPr>
            <w:tcW w:w="375" w:type="pct"/>
            <w:noWrap w:val="0"/>
            <w:vAlign w:val="center"/>
          </w:tcPr>
          <w:p w14:paraId="293D6CE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1226" w:type="pct"/>
            <w:noWrap w:val="0"/>
            <w:vAlign w:val="center"/>
          </w:tcPr>
          <w:p w14:paraId="613729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四氯化碳</w:t>
            </w:r>
          </w:p>
        </w:tc>
        <w:tc>
          <w:tcPr>
            <w:tcW w:w="2521" w:type="pct"/>
            <w:vMerge w:val="restart"/>
            <w:noWrap w:val="0"/>
            <w:vAlign w:val="center"/>
          </w:tcPr>
          <w:p w14:paraId="48FBBD61">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土壤和沉积物</w:t>
            </w:r>
            <w:r>
              <w:rPr>
                <w:rFonts w:hint="eastAsia"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挥发性有机物的测定吹扫铺集/气相色谱-质谱法HJ605-2011</w:t>
            </w:r>
          </w:p>
        </w:tc>
        <w:tc>
          <w:tcPr>
            <w:tcW w:w="877" w:type="pct"/>
            <w:noWrap w:val="0"/>
            <w:vAlign w:val="center"/>
          </w:tcPr>
          <w:p w14:paraId="22AF021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0.0013mg/kg</w:t>
            </w:r>
          </w:p>
        </w:tc>
      </w:tr>
      <w:tr w14:paraId="76643E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4DF74A8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1226" w:type="pct"/>
            <w:noWrap w:val="0"/>
            <w:vAlign w:val="center"/>
          </w:tcPr>
          <w:p w14:paraId="0BD1D5C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氯仿</w:t>
            </w:r>
          </w:p>
        </w:tc>
        <w:tc>
          <w:tcPr>
            <w:tcW w:w="2521" w:type="pct"/>
            <w:vMerge w:val="continue"/>
            <w:noWrap w:val="0"/>
            <w:vAlign w:val="center"/>
          </w:tcPr>
          <w:p w14:paraId="0B83378C">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2A359E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0.0011mg/kg</w:t>
            </w:r>
          </w:p>
        </w:tc>
      </w:tr>
      <w:tr w14:paraId="5CD856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FB1549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1226" w:type="pct"/>
            <w:noWrap w:val="0"/>
            <w:vAlign w:val="center"/>
          </w:tcPr>
          <w:p w14:paraId="32FB1B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氯甲烷</w:t>
            </w:r>
          </w:p>
        </w:tc>
        <w:tc>
          <w:tcPr>
            <w:tcW w:w="2521" w:type="pct"/>
            <w:vMerge w:val="continue"/>
            <w:noWrap w:val="0"/>
            <w:vAlign w:val="center"/>
          </w:tcPr>
          <w:p w14:paraId="23E2A1A6">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0045317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0.0010mg/kg</w:t>
            </w:r>
          </w:p>
        </w:tc>
      </w:tr>
      <w:tr w14:paraId="129F4A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CE5CCA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1226" w:type="pct"/>
            <w:noWrap w:val="0"/>
            <w:vAlign w:val="center"/>
          </w:tcPr>
          <w:p w14:paraId="5E6166D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1-二氯乙烷</w:t>
            </w:r>
          </w:p>
        </w:tc>
        <w:tc>
          <w:tcPr>
            <w:tcW w:w="2521" w:type="pct"/>
            <w:vMerge w:val="continue"/>
            <w:noWrap w:val="0"/>
            <w:vAlign w:val="center"/>
          </w:tcPr>
          <w:p w14:paraId="61EEF84E">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73CAD1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0.0013mg/kg</w:t>
            </w:r>
          </w:p>
        </w:tc>
      </w:tr>
      <w:tr w14:paraId="0F1446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4F6B870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1226" w:type="pct"/>
            <w:noWrap w:val="0"/>
            <w:vAlign w:val="center"/>
          </w:tcPr>
          <w:p w14:paraId="7215CA0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2-二氯乙烷</w:t>
            </w:r>
          </w:p>
        </w:tc>
        <w:tc>
          <w:tcPr>
            <w:tcW w:w="2521" w:type="pct"/>
            <w:vMerge w:val="continue"/>
            <w:noWrap w:val="0"/>
            <w:vAlign w:val="center"/>
          </w:tcPr>
          <w:p w14:paraId="02A6B492">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3122696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0.0013mg/kg</w:t>
            </w:r>
          </w:p>
        </w:tc>
      </w:tr>
      <w:tr w14:paraId="4651F6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343CD03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w:t>
            </w:r>
          </w:p>
        </w:tc>
        <w:tc>
          <w:tcPr>
            <w:tcW w:w="1226" w:type="pct"/>
            <w:noWrap w:val="0"/>
            <w:vAlign w:val="center"/>
          </w:tcPr>
          <w:p w14:paraId="1869E61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1-二氯乙烯</w:t>
            </w:r>
          </w:p>
        </w:tc>
        <w:tc>
          <w:tcPr>
            <w:tcW w:w="2521" w:type="pct"/>
            <w:vMerge w:val="continue"/>
            <w:noWrap w:val="0"/>
            <w:vAlign w:val="center"/>
          </w:tcPr>
          <w:p w14:paraId="3AE89B85">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7BEF0F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0.0010mg/kg</w:t>
            </w:r>
          </w:p>
        </w:tc>
      </w:tr>
      <w:tr w14:paraId="747CF8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30CC27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w:t>
            </w:r>
          </w:p>
        </w:tc>
        <w:tc>
          <w:tcPr>
            <w:tcW w:w="1226" w:type="pct"/>
            <w:noWrap w:val="0"/>
            <w:vAlign w:val="center"/>
          </w:tcPr>
          <w:p w14:paraId="6BE6EDB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顺-1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2-二氯乙烯</w:t>
            </w:r>
          </w:p>
        </w:tc>
        <w:tc>
          <w:tcPr>
            <w:tcW w:w="2521" w:type="pct"/>
            <w:vMerge w:val="continue"/>
            <w:noWrap w:val="0"/>
            <w:vAlign w:val="center"/>
          </w:tcPr>
          <w:p w14:paraId="069CC648">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41640C4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0.0013mg/kg</w:t>
            </w:r>
          </w:p>
        </w:tc>
      </w:tr>
      <w:tr w14:paraId="0CB043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BD4229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1226" w:type="pct"/>
            <w:noWrap w:val="0"/>
            <w:vAlign w:val="center"/>
          </w:tcPr>
          <w:p w14:paraId="088E0D1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反-1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2-二氯乙烯</w:t>
            </w:r>
          </w:p>
        </w:tc>
        <w:tc>
          <w:tcPr>
            <w:tcW w:w="2521" w:type="pct"/>
            <w:vMerge w:val="continue"/>
            <w:noWrap w:val="0"/>
            <w:vAlign w:val="center"/>
          </w:tcPr>
          <w:p w14:paraId="5FF91621">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307FA1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0.0014mg/kg</w:t>
            </w:r>
          </w:p>
        </w:tc>
      </w:tr>
      <w:tr w14:paraId="748228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435A1E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w:t>
            </w:r>
          </w:p>
        </w:tc>
        <w:tc>
          <w:tcPr>
            <w:tcW w:w="1226" w:type="pct"/>
            <w:noWrap w:val="0"/>
            <w:vAlign w:val="center"/>
          </w:tcPr>
          <w:p w14:paraId="393799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二氯甲烷</w:t>
            </w:r>
          </w:p>
        </w:tc>
        <w:tc>
          <w:tcPr>
            <w:tcW w:w="2521" w:type="pct"/>
            <w:vMerge w:val="continue"/>
            <w:noWrap w:val="0"/>
            <w:vAlign w:val="center"/>
          </w:tcPr>
          <w:p w14:paraId="202CC215">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7E05AB8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0.0015mg/kg</w:t>
            </w:r>
          </w:p>
        </w:tc>
      </w:tr>
      <w:tr w14:paraId="0E6A9C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exact"/>
          <w:jc w:val="center"/>
        </w:trPr>
        <w:tc>
          <w:tcPr>
            <w:tcW w:w="375" w:type="pct"/>
            <w:noWrap w:val="0"/>
            <w:vAlign w:val="center"/>
          </w:tcPr>
          <w:p w14:paraId="1751C47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w:t>
            </w:r>
          </w:p>
        </w:tc>
        <w:tc>
          <w:tcPr>
            <w:tcW w:w="1226" w:type="pct"/>
            <w:noWrap w:val="0"/>
            <w:vAlign w:val="center"/>
          </w:tcPr>
          <w:p w14:paraId="28AF429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2-二氯丙烷</w:t>
            </w:r>
          </w:p>
        </w:tc>
        <w:tc>
          <w:tcPr>
            <w:tcW w:w="2521" w:type="pct"/>
            <w:vMerge w:val="continue"/>
            <w:noWrap w:val="0"/>
            <w:vAlign w:val="center"/>
          </w:tcPr>
          <w:p w14:paraId="728BB123">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05EB92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0.0011mg/kg</w:t>
            </w:r>
          </w:p>
        </w:tc>
      </w:tr>
      <w:tr w14:paraId="474A3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47FEF1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w:t>
            </w:r>
          </w:p>
        </w:tc>
        <w:tc>
          <w:tcPr>
            <w:tcW w:w="1226" w:type="pct"/>
            <w:noWrap w:val="0"/>
            <w:vAlign w:val="center"/>
          </w:tcPr>
          <w:p w14:paraId="4AF05B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2-四氯乙烷</w:t>
            </w:r>
          </w:p>
        </w:tc>
        <w:tc>
          <w:tcPr>
            <w:tcW w:w="2521" w:type="pct"/>
            <w:vMerge w:val="continue"/>
            <w:noWrap w:val="0"/>
            <w:vAlign w:val="center"/>
          </w:tcPr>
          <w:p w14:paraId="10557F1E">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614BCD4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6B8E6C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176617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w:t>
            </w:r>
          </w:p>
        </w:tc>
        <w:tc>
          <w:tcPr>
            <w:tcW w:w="1226" w:type="pct"/>
            <w:noWrap w:val="0"/>
            <w:vAlign w:val="center"/>
          </w:tcPr>
          <w:p w14:paraId="640B9A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-四氯乙烷</w:t>
            </w:r>
          </w:p>
        </w:tc>
        <w:tc>
          <w:tcPr>
            <w:tcW w:w="2521" w:type="pct"/>
            <w:vMerge w:val="continue"/>
            <w:noWrap w:val="0"/>
            <w:vAlign w:val="center"/>
          </w:tcPr>
          <w:p w14:paraId="49A4FA09">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34644D7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66CA2C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3D633BE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1226" w:type="pct"/>
            <w:noWrap w:val="0"/>
            <w:vAlign w:val="center"/>
          </w:tcPr>
          <w:p w14:paraId="65FFAFA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四氯乙烯</w:t>
            </w:r>
          </w:p>
        </w:tc>
        <w:tc>
          <w:tcPr>
            <w:tcW w:w="2521" w:type="pct"/>
            <w:vMerge w:val="continue"/>
            <w:noWrap w:val="0"/>
            <w:vAlign w:val="center"/>
          </w:tcPr>
          <w:p w14:paraId="0BC9F986">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28219D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0.0014mg/kg</w:t>
            </w:r>
          </w:p>
        </w:tc>
      </w:tr>
      <w:tr w14:paraId="62FEDE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16EEDB2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w:t>
            </w:r>
          </w:p>
        </w:tc>
        <w:tc>
          <w:tcPr>
            <w:tcW w:w="1226" w:type="pct"/>
            <w:noWrap w:val="0"/>
            <w:vAlign w:val="center"/>
          </w:tcPr>
          <w:p w14:paraId="51C340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1-三氯乙烷</w:t>
            </w:r>
          </w:p>
        </w:tc>
        <w:tc>
          <w:tcPr>
            <w:tcW w:w="2521" w:type="pct"/>
            <w:vMerge w:val="continue"/>
            <w:noWrap w:val="0"/>
            <w:vAlign w:val="center"/>
          </w:tcPr>
          <w:p w14:paraId="7EA37201">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14DC1BA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0.0013mg/kg</w:t>
            </w:r>
          </w:p>
        </w:tc>
      </w:tr>
      <w:tr w14:paraId="27CB1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E6E1E0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w:t>
            </w:r>
          </w:p>
        </w:tc>
        <w:tc>
          <w:tcPr>
            <w:tcW w:w="1226" w:type="pct"/>
            <w:noWrap w:val="0"/>
            <w:vAlign w:val="center"/>
          </w:tcPr>
          <w:p w14:paraId="583027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2-三氯乙烷</w:t>
            </w:r>
          </w:p>
        </w:tc>
        <w:tc>
          <w:tcPr>
            <w:tcW w:w="2521" w:type="pct"/>
            <w:vMerge w:val="continue"/>
            <w:noWrap w:val="0"/>
            <w:vAlign w:val="center"/>
          </w:tcPr>
          <w:p w14:paraId="48935CAC">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A57C79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37A4C0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5081580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w:t>
            </w:r>
          </w:p>
        </w:tc>
        <w:tc>
          <w:tcPr>
            <w:tcW w:w="1226" w:type="pct"/>
            <w:noWrap w:val="0"/>
            <w:vAlign w:val="center"/>
          </w:tcPr>
          <w:p w14:paraId="30627FF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三氯乙烯</w:t>
            </w:r>
          </w:p>
        </w:tc>
        <w:tc>
          <w:tcPr>
            <w:tcW w:w="2521" w:type="pct"/>
            <w:vMerge w:val="continue"/>
            <w:noWrap w:val="0"/>
            <w:vAlign w:val="center"/>
          </w:tcPr>
          <w:p w14:paraId="6FC4236F">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8EA486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507DB0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C0066E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w:t>
            </w:r>
          </w:p>
        </w:tc>
        <w:tc>
          <w:tcPr>
            <w:tcW w:w="1226" w:type="pct"/>
            <w:noWrap w:val="0"/>
            <w:vAlign w:val="center"/>
          </w:tcPr>
          <w:p w14:paraId="3DF31B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3-三氯丙烷</w:t>
            </w:r>
          </w:p>
        </w:tc>
        <w:tc>
          <w:tcPr>
            <w:tcW w:w="2521" w:type="pct"/>
            <w:vMerge w:val="continue"/>
            <w:noWrap w:val="0"/>
            <w:vAlign w:val="center"/>
          </w:tcPr>
          <w:p w14:paraId="42821DF4">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37BD9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7ADD16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0D187CC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w:t>
            </w:r>
          </w:p>
        </w:tc>
        <w:tc>
          <w:tcPr>
            <w:tcW w:w="1226" w:type="pct"/>
            <w:noWrap w:val="0"/>
            <w:vAlign w:val="center"/>
          </w:tcPr>
          <w:p w14:paraId="018498D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氯乙烯</w:t>
            </w:r>
          </w:p>
        </w:tc>
        <w:tc>
          <w:tcPr>
            <w:tcW w:w="2521" w:type="pct"/>
            <w:vMerge w:val="continue"/>
            <w:noWrap w:val="0"/>
            <w:vAlign w:val="center"/>
          </w:tcPr>
          <w:p w14:paraId="5D483DA8">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BC8902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0.0010mg/kg</w:t>
            </w:r>
          </w:p>
        </w:tc>
      </w:tr>
      <w:tr w14:paraId="59E44D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06B212D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w:t>
            </w:r>
          </w:p>
        </w:tc>
        <w:tc>
          <w:tcPr>
            <w:tcW w:w="1226" w:type="pct"/>
            <w:noWrap w:val="0"/>
            <w:vAlign w:val="center"/>
          </w:tcPr>
          <w:p w14:paraId="42E978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w:t>
            </w:r>
          </w:p>
        </w:tc>
        <w:tc>
          <w:tcPr>
            <w:tcW w:w="2521" w:type="pct"/>
            <w:vMerge w:val="continue"/>
            <w:noWrap w:val="0"/>
            <w:vAlign w:val="center"/>
          </w:tcPr>
          <w:p w14:paraId="640B543A">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2D06AF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0.0019mg/kg</w:t>
            </w:r>
          </w:p>
        </w:tc>
      </w:tr>
      <w:tr w14:paraId="26D0CC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6" w:hRule="exact"/>
          <w:jc w:val="center"/>
        </w:trPr>
        <w:tc>
          <w:tcPr>
            <w:tcW w:w="375" w:type="pct"/>
            <w:noWrap w:val="0"/>
            <w:vAlign w:val="center"/>
          </w:tcPr>
          <w:p w14:paraId="0BF77A4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w:t>
            </w:r>
          </w:p>
        </w:tc>
        <w:tc>
          <w:tcPr>
            <w:tcW w:w="1226" w:type="pct"/>
            <w:noWrap w:val="0"/>
            <w:vAlign w:val="center"/>
          </w:tcPr>
          <w:p w14:paraId="5F79D08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氯苯</w:t>
            </w:r>
          </w:p>
        </w:tc>
        <w:tc>
          <w:tcPr>
            <w:tcW w:w="2521" w:type="pct"/>
            <w:vMerge w:val="continue"/>
            <w:noWrap w:val="0"/>
            <w:vAlign w:val="center"/>
          </w:tcPr>
          <w:p w14:paraId="17829667">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4D44E13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44FCAB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936C68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1226" w:type="pct"/>
            <w:noWrap w:val="0"/>
            <w:vAlign w:val="center"/>
          </w:tcPr>
          <w:p w14:paraId="482ED7A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2-二氯苯</w:t>
            </w:r>
          </w:p>
        </w:tc>
        <w:tc>
          <w:tcPr>
            <w:tcW w:w="2521" w:type="pct"/>
            <w:vMerge w:val="continue"/>
            <w:noWrap w:val="0"/>
            <w:vAlign w:val="center"/>
          </w:tcPr>
          <w:p w14:paraId="36036DFF">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7EDF4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0.0015mg/kg</w:t>
            </w:r>
          </w:p>
        </w:tc>
      </w:tr>
      <w:tr w14:paraId="1F7D6E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exact"/>
          <w:jc w:val="center"/>
        </w:trPr>
        <w:tc>
          <w:tcPr>
            <w:tcW w:w="375" w:type="pct"/>
            <w:noWrap w:val="0"/>
            <w:vAlign w:val="center"/>
          </w:tcPr>
          <w:p w14:paraId="224D08B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29</w:t>
            </w:r>
          </w:p>
        </w:tc>
        <w:tc>
          <w:tcPr>
            <w:tcW w:w="1226" w:type="pct"/>
            <w:noWrap w:val="0"/>
            <w:vAlign w:val="center"/>
          </w:tcPr>
          <w:p w14:paraId="43E57D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4-二氯苯</w:t>
            </w:r>
          </w:p>
        </w:tc>
        <w:tc>
          <w:tcPr>
            <w:tcW w:w="2521" w:type="pct"/>
            <w:vMerge w:val="continue"/>
            <w:noWrap w:val="0"/>
            <w:vAlign w:val="center"/>
          </w:tcPr>
          <w:p w14:paraId="1C6EFCDB">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82D60E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0.0015mg/kg</w:t>
            </w:r>
          </w:p>
        </w:tc>
      </w:tr>
      <w:tr w14:paraId="7B8F75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766EC12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1226" w:type="pct"/>
            <w:noWrap w:val="0"/>
            <w:vAlign w:val="center"/>
          </w:tcPr>
          <w:p w14:paraId="03FA3D7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乙苯</w:t>
            </w:r>
          </w:p>
        </w:tc>
        <w:tc>
          <w:tcPr>
            <w:tcW w:w="2521" w:type="pct"/>
            <w:vMerge w:val="continue"/>
            <w:noWrap w:val="0"/>
            <w:vAlign w:val="center"/>
          </w:tcPr>
          <w:p w14:paraId="540F2C18">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147F751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691AD3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A2788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31</w:t>
            </w:r>
          </w:p>
        </w:tc>
        <w:tc>
          <w:tcPr>
            <w:tcW w:w="1226" w:type="pct"/>
            <w:noWrap w:val="0"/>
            <w:vAlign w:val="center"/>
          </w:tcPr>
          <w:p w14:paraId="322E70C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苯乙烯</w:t>
            </w:r>
          </w:p>
        </w:tc>
        <w:tc>
          <w:tcPr>
            <w:tcW w:w="2521" w:type="pct"/>
            <w:vMerge w:val="continue"/>
            <w:noWrap w:val="0"/>
            <w:vAlign w:val="center"/>
          </w:tcPr>
          <w:p w14:paraId="52CB2BC8">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0FD05A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0.0011mg/kg</w:t>
            </w:r>
          </w:p>
        </w:tc>
      </w:tr>
      <w:tr w14:paraId="08180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1E7F77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w:t>
            </w:r>
          </w:p>
        </w:tc>
        <w:tc>
          <w:tcPr>
            <w:tcW w:w="1226" w:type="pct"/>
            <w:noWrap w:val="0"/>
            <w:vAlign w:val="center"/>
          </w:tcPr>
          <w:p w14:paraId="14231B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甲苯</w:t>
            </w:r>
          </w:p>
        </w:tc>
        <w:tc>
          <w:tcPr>
            <w:tcW w:w="2521" w:type="pct"/>
            <w:vMerge w:val="continue"/>
            <w:noWrap w:val="0"/>
            <w:vAlign w:val="center"/>
          </w:tcPr>
          <w:p w14:paraId="6DE84ADE">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35544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0.0013mg/kg</w:t>
            </w:r>
          </w:p>
        </w:tc>
      </w:tr>
      <w:tr w14:paraId="01F09D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7BE7B8F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w:t>
            </w:r>
          </w:p>
        </w:tc>
        <w:tc>
          <w:tcPr>
            <w:tcW w:w="1226" w:type="pct"/>
            <w:noWrap w:val="0"/>
            <w:vAlign w:val="center"/>
          </w:tcPr>
          <w:p w14:paraId="3266EB0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间二甲苯+对二甲苯</w:t>
            </w:r>
          </w:p>
        </w:tc>
        <w:tc>
          <w:tcPr>
            <w:tcW w:w="2521" w:type="pct"/>
            <w:vMerge w:val="continue"/>
            <w:noWrap w:val="0"/>
            <w:vAlign w:val="center"/>
          </w:tcPr>
          <w:p w14:paraId="31CCAE33">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6F448E7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6655C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7448C8A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w:t>
            </w:r>
          </w:p>
        </w:tc>
        <w:tc>
          <w:tcPr>
            <w:tcW w:w="1226" w:type="pct"/>
            <w:noWrap w:val="0"/>
            <w:vAlign w:val="center"/>
          </w:tcPr>
          <w:p w14:paraId="42B6E1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邻二甲苯</w:t>
            </w:r>
          </w:p>
        </w:tc>
        <w:tc>
          <w:tcPr>
            <w:tcW w:w="2521" w:type="pct"/>
            <w:vMerge w:val="continue"/>
            <w:noWrap w:val="0"/>
            <w:vAlign w:val="center"/>
          </w:tcPr>
          <w:p w14:paraId="732F0413">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36D9688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0.0012mg/kg</w:t>
            </w:r>
          </w:p>
        </w:tc>
      </w:tr>
      <w:tr w14:paraId="727571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0" w:hRule="exact"/>
          <w:jc w:val="center"/>
        </w:trPr>
        <w:tc>
          <w:tcPr>
            <w:tcW w:w="375" w:type="pct"/>
            <w:noWrap w:val="0"/>
            <w:vAlign w:val="center"/>
          </w:tcPr>
          <w:p w14:paraId="61D4C88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35</w:t>
            </w:r>
          </w:p>
        </w:tc>
        <w:tc>
          <w:tcPr>
            <w:tcW w:w="1226" w:type="pct"/>
            <w:noWrap w:val="0"/>
            <w:vAlign w:val="center"/>
          </w:tcPr>
          <w:p w14:paraId="5FF8518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硝基苯</w:t>
            </w:r>
          </w:p>
        </w:tc>
        <w:tc>
          <w:tcPr>
            <w:tcW w:w="2521" w:type="pct"/>
            <w:vMerge w:val="restart"/>
            <w:noWrap w:val="0"/>
            <w:vAlign w:val="center"/>
          </w:tcPr>
          <w:p w14:paraId="7795CA13">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土壤和沉积物半挥发性有机物的测定气相色谱-质谱法HJ834-2017</w:t>
            </w:r>
          </w:p>
        </w:tc>
        <w:tc>
          <w:tcPr>
            <w:tcW w:w="877" w:type="pct"/>
            <w:noWrap w:val="0"/>
            <w:vAlign w:val="center"/>
          </w:tcPr>
          <w:p w14:paraId="0992722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0.0004mg/kg</w:t>
            </w:r>
          </w:p>
        </w:tc>
      </w:tr>
      <w:tr w14:paraId="1654E2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6" w:hRule="exact"/>
          <w:jc w:val="center"/>
        </w:trPr>
        <w:tc>
          <w:tcPr>
            <w:tcW w:w="375" w:type="pct"/>
            <w:noWrap w:val="0"/>
            <w:vAlign w:val="center"/>
          </w:tcPr>
          <w:p w14:paraId="24A9FD4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w:t>
            </w:r>
          </w:p>
        </w:tc>
        <w:tc>
          <w:tcPr>
            <w:tcW w:w="1226" w:type="pct"/>
            <w:noWrap w:val="0"/>
            <w:vAlign w:val="center"/>
          </w:tcPr>
          <w:p w14:paraId="6D32902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苯胺</w:t>
            </w:r>
          </w:p>
        </w:tc>
        <w:tc>
          <w:tcPr>
            <w:tcW w:w="2521" w:type="pct"/>
            <w:vMerge w:val="continue"/>
            <w:noWrap w:val="0"/>
            <w:vAlign w:val="center"/>
          </w:tcPr>
          <w:p w14:paraId="52BD9B6F">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0971FDC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0.0010mg/kg</w:t>
            </w:r>
          </w:p>
        </w:tc>
      </w:tr>
      <w:tr w14:paraId="064C8B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5F1940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w:t>
            </w:r>
          </w:p>
        </w:tc>
        <w:tc>
          <w:tcPr>
            <w:tcW w:w="1226" w:type="pct"/>
            <w:noWrap w:val="0"/>
            <w:vAlign w:val="center"/>
          </w:tcPr>
          <w:p w14:paraId="0CE5CF8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2-氯酚</w:t>
            </w:r>
          </w:p>
        </w:tc>
        <w:tc>
          <w:tcPr>
            <w:tcW w:w="2521" w:type="pct"/>
            <w:vMerge w:val="continue"/>
            <w:noWrap w:val="0"/>
            <w:vAlign w:val="center"/>
          </w:tcPr>
          <w:p w14:paraId="5590BC9B">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0DEBC19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0.0400mg/kg</w:t>
            </w:r>
          </w:p>
        </w:tc>
      </w:tr>
      <w:tr w14:paraId="7F5AB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3BCA393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w:t>
            </w:r>
          </w:p>
        </w:tc>
        <w:tc>
          <w:tcPr>
            <w:tcW w:w="1226" w:type="pct"/>
            <w:noWrap w:val="0"/>
            <w:vAlign w:val="center"/>
          </w:tcPr>
          <w:p w14:paraId="536230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苯并[a]蒽</w:t>
            </w:r>
          </w:p>
        </w:tc>
        <w:tc>
          <w:tcPr>
            <w:tcW w:w="2521" w:type="pct"/>
            <w:vMerge w:val="continue"/>
            <w:noWrap w:val="0"/>
            <w:vAlign w:val="center"/>
          </w:tcPr>
          <w:p w14:paraId="32DD0415">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155E54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0.0001mg/kg</w:t>
            </w:r>
          </w:p>
        </w:tc>
      </w:tr>
      <w:tr w14:paraId="48970D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40835E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39</w:t>
            </w:r>
          </w:p>
        </w:tc>
        <w:tc>
          <w:tcPr>
            <w:tcW w:w="1226" w:type="pct"/>
            <w:noWrap w:val="0"/>
            <w:vAlign w:val="center"/>
          </w:tcPr>
          <w:p w14:paraId="595DE75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苯并[a]芘</w:t>
            </w:r>
          </w:p>
        </w:tc>
        <w:tc>
          <w:tcPr>
            <w:tcW w:w="2521" w:type="pct"/>
            <w:vMerge w:val="continue"/>
            <w:noWrap w:val="0"/>
            <w:vAlign w:val="center"/>
          </w:tcPr>
          <w:p w14:paraId="59300BA2">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7CB4FA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0.0002mg/kg</w:t>
            </w:r>
          </w:p>
        </w:tc>
      </w:tr>
      <w:tr w14:paraId="636A0B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865C6F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1226" w:type="pct"/>
            <w:noWrap w:val="0"/>
            <w:vAlign w:val="center"/>
          </w:tcPr>
          <w:p w14:paraId="2E12ABC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苯并[b]荧蒽</w:t>
            </w:r>
          </w:p>
        </w:tc>
        <w:tc>
          <w:tcPr>
            <w:tcW w:w="2521" w:type="pct"/>
            <w:vMerge w:val="continue"/>
            <w:noWrap w:val="0"/>
            <w:vAlign w:val="center"/>
          </w:tcPr>
          <w:p w14:paraId="04C4F00C">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019F75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0.0002mg/kg</w:t>
            </w:r>
          </w:p>
        </w:tc>
      </w:tr>
      <w:tr w14:paraId="39846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exact"/>
          <w:jc w:val="center"/>
        </w:trPr>
        <w:tc>
          <w:tcPr>
            <w:tcW w:w="375" w:type="pct"/>
            <w:noWrap w:val="0"/>
            <w:vAlign w:val="center"/>
          </w:tcPr>
          <w:p w14:paraId="71841FB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41</w:t>
            </w:r>
          </w:p>
        </w:tc>
        <w:tc>
          <w:tcPr>
            <w:tcW w:w="1226" w:type="pct"/>
            <w:noWrap w:val="0"/>
            <w:vAlign w:val="center"/>
          </w:tcPr>
          <w:p w14:paraId="7851ED2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苯并[k]荧蒽</w:t>
            </w:r>
          </w:p>
        </w:tc>
        <w:tc>
          <w:tcPr>
            <w:tcW w:w="2521" w:type="pct"/>
            <w:vMerge w:val="continue"/>
            <w:noWrap w:val="0"/>
            <w:vAlign w:val="center"/>
          </w:tcPr>
          <w:p w14:paraId="6AAE1854">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321F7E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0.0001mg/kg</w:t>
            </w:r>
          </w:p>
        </w:tc>
      </w:tr>
      <w:tr w14:paraId="6A6502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067B58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w:t>
            </w:r>
          </w:p>
        </w:tc>
        <w:tc>
          <w:tcPr>
            <w:tcW w:w="1226" w:type="pct"/>
            <w:noWrap w:val="0"/>
            <w:vAlign w:val="center"/>
          </w:tcPr>
          <w:p w14:paraId="156B3E1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䓛</w:t>
            </w:r>
          </w:p>
        </w:tc>
        <w:tc>
          <w:tcPr>
            <w:tcW w:w="2521" w:type="pct"/>
            <w:vMerge w:val="continue"/>
            <w:noWrap w:val="0"/>
            <w:vAlign w:val="center"/>
          </w:tcPr>
          <w:p w14:paraId="7D98786A">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3FB57E9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0.0001mg/kg</w:t>
            </w:r>
          </w:p>
        </w:tc>
      </w:tr>
      <w:tr w14:paraId="51A6E3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7703AD6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43</w:t>
            </w:r>
          </w:p>
        </w:tc>
        <w:tc>
          <w:tcPr>
            <w:tcW w:w="1226" w:type="pct"/>
            <w:noWrap w:val="0"/>
            <w:vAlign w:val="center"/>
          </w:tcPr>
          <w:p w14:paraId="3551D04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二苯并[a</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h]蒽</w:t>
            </w:r>
          </w:p>
        </w:tc>
        <w:tc>
          <w:tcPr>
            <w:tcW w:w="2521" w:type="pct"/>
            <w:vMerge w:val="continue"/>
            <w:noWrap w:val="0"/>
            <w:vAlign w:val="center"/>
          </w:tcPr>
          <w:p w14:paraId="343943A8">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3484C3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0.0001mg/kg</w:t>
            </w:r>
          </w:p>
        </w:tc>
      </w:tr>
      <w:tr w14:paraId="4ACCA3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exact"/>
          <w:jc w:val="center"/>
        </w:trPr>
        <w:tc>
          <w:tcPr>
            <w:tcW w:w="375" w:type="pct"/>
            <w:noWrap w:val="0"/>
            <w:vAlign w:val="center"/>
          </w:tcPr>
          <w:p w14:paraId="66B9260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44</w:t>
            </w:r>
          </w:p>
        </w:tc>
        <w:tc>
          <w:tcPr>
            <w:tcW w:w="1226" w:type="pct"/>
            <w:noWrap w:val="0"/>
            <w:vAlign w:val="center"/>
          </w:tcPr>
          <w:p w14:paraId="694D555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茚并[1</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3-cd]芘</w:t>
            </w:r>
          </w:p>
        </w:tc>
        <w:tc>
          <w:tcPr>
            <w:tcW w:w="2521" w:type="pct"/>
            <w:vMerge w:val="continue"/>
            <w:noWrap w:val="0"/>
            <w:vAlign w:val="center"/>
          </w:tcPr>
          <w:p w14:paraId="76491994">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5908912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0.0001mg/kg</w:t>
            </w:r>
          </w:p>
        </w:tc>
      </w:tr>
      <w:tr w14:paraId="66B9E2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exact"/>
          <w:jc w:val="center"/>
        </w:trPr>
        <w:tc>
          <w:tcPr>
            <w:tcW w:w="375" w:type="pct"/>
            <w:noWrap w:val="0"/>
            <w:vAlign w:val="center"/>
          </w:tcPr>
          <w:p w14:paraId="444098C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w:t>
            </w:r>
          </w:p>
        </w:tc>
        <w:tc>
          <w:tcPr>
            <w:tcW w:w="1226" w:type="pct"/>
            <w:noWrap w:val="0"/>
            <w:vAlign w:val="center"/>
          </w:tcPr>
          <w:p w14:paraId="3C47B5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萘</w:t>
            </w:r>
          </w:p>
        </w:tc>
        <w:tc>
          <w:tcPr>
            <w:tcW w:w="2521" w:type="pct"/>
            <w:vMerge w:val="continue"/>
            <w:noWrap w:val="0"/>
            <w:vAlign w:val="center"/>
          </w:tcPr>
          <w:p w14:paraId="3C9EC96E">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szCs w:val="21"/>
                <w14:textFill>
                  <w14:solidFill>
                    <w14:schemeClr w14:val="tx1"/>
                  </w14:solidFill>
                </w14:textFill>
              </w:rPr>
            </w:pPr>
          </w:p>
        </w:tc>
        <w:tc>
          <w:tcPr>
            <w:tcW w:w="877" w:type="pct"/>
            <w:noWrap w:val="0"/>
            <w:vAlign w:val="center"/>
          </w:tcPr>
          <w:p w14:paraId="68B1B01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0.0004mg/kg</w:t>
            </w:r>
          </w:p>
        </w:tc>
      </w:tr>
      <w:tr w14:paraId="7095BF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9" w:hRule="exact"/>
          <w:jc w:val="center"/>
        </w:trPr>
        <w:tc>
          <w:tcPr>
            <w:tcW w:w="375" w:type="pct"/>
            <w:noWrap w:val="0"/>
            <w:vAlign w:val="center"/>
          </w:tcPr>
          <w:p w14:paraId="7AFE1CC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46</w:t>
            </w:r>
          </w:p>
        </w:tc>
        <w:tc>
          <w:tcPr>
            <w:tcW w:w="1226" w:type="pct"/>
            <w:noWrap w:val="0"/>
            <w:vAlign w:val="center"/>
          </w:tcPr>
          <w:p w14:paraId="7A031B8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pH</w:t>
            </w:r>
            <w:r>
              <w:rPr>
                <w:rFonts w:hint="default" w:ascii="Times New Roman" w:hAnsi="Times New Roman" w:cs="Times New Roman"/>
                <w:color w:val="000000" w:themeColor="text1"/>
                <w:szCs w:val="21"/>
                <w14:textFill>
                  <w14:solidFill>
                    <w14:schemeClr w14:val="tx1"/>
                  </w14:solidFill>
                </w14:textFill>
              </w:rPr>
              <w:t>值</w:t>
            </w:r>
          </w:p>
        </w:tc>
        <w:tc>
          <w:tcPr>
            <w:tcW w:w="2521" w:type="pct"/>
            <w:noWrap w:val="0"/>
            <w:vAlign w:val="center"/>
          </w:tcPr>
          <w:p w14:paraId="73165EB6">
            <w:pPr>
              <w:keepNext w:val="0"/>
              <w:keepLines w:val="0"/>
              <w:suppressLineNumbers w:val="0"/>
              <w:spacing w:before="0" w:beforeAutospacing="0" w:after="0" w:afterAutospacing="0" w:line="360" w:lineRule="exact"/>
              <w:ind w:left="0" w:right="2"/>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土壤</w:t>
            </w:r>
            <w:r>
              <w:rPr>
                <w:rFonts w:hint="eastAsia" w:cs="Times New Roman"/>
                <w:color w:val="000000" w:themeColor="text1"/>
                <w:kern w:val="0"/>
                <w:szCs w:val="21"/>
                <w:lang w:val="en-US" w:eastAsia="zh-CN" w:bidi="ar"/>
                <w14:textFill>
                  <w14:solidFill>
                    <w14:schemeClr w14:val="tx1"/>
                  </w14:solidFill>
                </w14:textFill>
              </w:rPr>
              <w:t xml:space="preserve"> </w:t>
            </w:r>
            <w:r>
              <w:rPr>
                <w:rFonts w:hint="eastAsia" w:ascii="Times New Roman" w:hAnsi="Times New Roman" w:cs="Times New Roman"/>
                <w:color w:val="000000" w:themeColor="text1"/>
                <w:kern w:val="0"/>
                <w:szCs w:val="21"/>
                <w:lang w:bidi="ar"/>
                <w14:textFill>
                  <w14:solidFill>
                    <w14:schemeClr w14:val="tx1"/>
                  </w14:solidFill>
                </w14:textFill>
              </w:rPr>
              <w:t>pH</w:t>
            </w:r>
            <w:r>
              <w:rPr>
                <w:rFonts w:hint="default" w:ascii="Times New Roman" w:hAnsi="Times New Roman" w:cs="Times New Roman"/>
                <w:color w:val="000000" w:themeColor="text1"/>
                <w:kern w:val="0"/>
                <w:szCs w:val="21"/>
                <w:lang w:bidi="ar"/>
                <w14:textFill>
                  <w14:solidFill>
                    <w14:schemeClr w14:val="tx1"/>
                  </w14:solidFill>
                </w14:textFill>
              </w:rPr>
              <w:t>的测定</w:t>
            </w:r>
            <w:r>
              <w:rPr>
                <w:rFonts w:hint="eastAsia" w:cs="Times New Roman"/>
                <w:color w:val="000000" w:themeColor="text1"/>
                <w:kern w:val="0"/>
                <w:szCs w:val="21"/>
                <w:lang w:val="en-US" w:eastAsia="zh-CN" w:bidi="ar"/>
                <w14:textFill>
                  <w14:solidFill>
                    <w14:schemeClr w14:val="tx1"/>
                  </w14:solidFill>
                </w14:textFill>
              </w:rPr>
              <w:t xml:space="preserve"> 电位法HJ962</w:t>
            </w:r>
            <w:r>
              <w:rPr>
                <w:rFonts w:hint="default" w:ascii="Times New Roman" w:hAnsi="Times New Roman" w:cs="Times New Roman"/>
                <w:color w:val="000000" w:themeColor="text1"/>
                <w:kern w:val="0"/>
                <w:szCs w:val="21"/>
                <w:lang w:bidi="ar"/>
                <w14:textFill>
                  <w14:solidFill>
                    <w14:schemeClr w14:val="tx1"/>
                  </w14:solidFill>
                </w14:textFill>
              </w:rPr>
              <w:t>-</w:t>
            </w:r>
            <w:r>
              <w:rPr>
                <w:rFonts w:hint="eastAsia" w:cs="Times New Roman"/>
                <w:color w:val="000000" w:themeColor="text1"/>
                <w:kern w:val="0"/>
                <w:szCs w:val="21"/>
                <w:lang w:val="en-US" w:eastAsia="zh-CN" w:bidi="ar"/>
                <w14:textFill>
                  <w14:solidFill>
                    <w14:schemeClr w14:val="tx1"/>
                  </w14:solidFill>
                </w14:textFill>
              </w:rPr>
              <w:t>2018</w:t>
            </w:r>
          </w:p>
        </w:tc>
        <w:tc>
          <w:tcPr>
            <w:tcW w:w="877" w:type="pct"/>
            <w:noWrap w:val="0"/>
            <w:vAlign w:val="center"/>
          </w:tcPr>
          <w:p w14:paraId="453CDA5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7691E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9" w:hRule="exact"/>
          <w:jc w:val="center"/>
        </w:trPr>
        <w:tc>
          <w:tcPr>
            <w:tcW w:w="375" w:type="pct"/>
            <w:noWrap w:val="0"/>
            <w:vAlign w:val="center"/>
          </w:tcPr>
          <w:p w14:paraId="392A81D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7</w:t>
            </w:r>
          </w:p>
        </w:tc>
        <w:tc>
          <w:tcPr>
            <w:tcW w:w="1226" w:type="pct"/>
            <w:noWrap w:val="0"/>
            <w:vAlign w:val="center"/>
          </w:tcPr>
          <w:p w14:paraId="2041034B">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含盐量</w:t>
            </w:r>
          </w:p>
        </w:tc>
        <w:tc>
          <w:tcPr>
            <w:tcW w:w="2521" w:type="pct"/>
            <w:noWrap w:val="0"/>
            <w:vAlign w:val="center"/>
          </w:tcPr>
          <w:p w14:paraId="15D7E0AD">
            <w:pPr>
              <w:keepNext w:val="0"/>
              <w:keepLines w:val="0"/>
              <w:suppressLineNumbers w:val="0"/>
              <w:spacing w:before="0" w:beforeAutospacing="0" w:after="0" w:afterAutospacing="0" w:line="360" w:lineRule="exact"/>
              <w:ind w:left="0" w:right="2"/>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土壤检测 第16部分：</w:t>
            </w:r>
            <w:r>
              <w:rPr>
                <w:rFonts w:hint="eastAsia" w:ascii="Times New Roman" w:hAnsi="Times New Roman" w:cs="Times New Roman"/>
                <w:color w:val="000000" w:themeColor="text1"/>
                <w:kern w:val="0"/>
                <w:szCs w:val="21"/>
                <w:lang w:bidi="ar"/>
                <w14:textFill>
                  <w14:solidFill>
                    <w14:schemeClr w14:val="tx1"/>
                  </w14:solidFill>
                </w14:textFill>
              </w:rPr>
              <w:t>土壤水溶性盐总量的测定</w:t>
            </w:r>
            <w:r>
              <w:rPr>
                <w:rFonts w:hint="default" w:ascii="Times New Roman" w:hAnsi="Times New Roman" w:cs="Times New Roman"/>
                <w:color w:val="000000" w:themeColor="text1"/>
                <w:kern w:val="0"/>
                <w:szCs w:val="21"/>
                <w:lang w:bidi="ar"/>
                <w14:textFill>
                  <w14:solidFill>
                    <w14:schemeClr w14:val="tx1"/>
                  </w14:solidFill>
                </w14:textFill>
              </w:rPr>
              <w:t>NY/T1121.16-2006</w:t>
            </w:r>
          </w:p>
        </w:tc>
        <w:tc>
          <w:tcPr>
            <w:tcW w:w="877" w:type="pct"/>
            <w:noWrap w:val="0"/>
            <w:vAlign w:val="center"/>
          </w:tcPr>
          <w:p w14:paraId="18ED77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bl>
    <w:p w14:paraId="1CA89812">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（4）评价标准</w:t>
      </w:r>
    </w:p>
    <w:p w14:paraId="710B5CD9">
      <w:pPr>
        <w:spacing w:line="480" w:lineRule="exact"/>
        <w:ind w:firstLine="476" w:firstLineChars="200"/>
        <w:rPr>
          <w:color w:val="000000" w:themeColor="text1"/>
          <w:sz w:val="24"/>
          <w:szCs w:val="24"/>
          <w14:textFill>
            <w14:solidFill>
              <w14:schemeClr w14:val="tx1"/>
            </w14:solidFill>
          </w14:textFill>
        </w:rPr>
      </w:pPr>
      <w:r>
        <w:rPr>
          <w:color w:val="000000" w:themeColor="text1"/>
          <w:spacing w:val="-1"/>
          <w:kern w:val="0"/>
          <w:sz w:val="24"/>
          <w:szCs w:val="21"/>
          <w:lang w:bidi="ar"/>
          <w14:textFill>
            <w14:solidFill>
              <w14:schemeClr w14:val="tx1"/>
            </w14:solidFill>
          </w14:textFill>
        </w:rPr>
        <w:t>本项目土壤环境执行《土壤环境质量建设用地土壤污染风险管控标准（试行）》（GB36600-2018）第二类用地</w:t>
      </w:r>
      <w:r>
        <w:rPr>
          <w:color w:val="000000" w:themeColor="text1"/>
          <w:sz w:val="24"/>
          <w:szCs w:val="24"/>
          <w14:textFill>
            <w14:solidFill>
              <w14:schemeClr w14:val="tx1"/>
            </w14:solidFill>
          </w14:textFill>
        </w:rPr>
        <w:t>筛选值。</w:t>
      </w:r>
    </w:p>
    <w:p w14:paraId="3254B046">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（5）评价方法</w:t>
      </w:r>
    </w:p>
    <w:p w14:paraId="215EF320">
      <w:pPr>
        <w:spacing w:line="480" w:lineRule="exact"/>
        <w:ind w:firstLine="476" w:firstLineChars="200"/>
        <w:rPr>
          <w:rFonts w:hint="eastAsia"/>
          <w:color w:val="000000" w:themeColor="text1"/>
          <w:spacing w:val="-1"/>
          <w:kern w:val="0"/>
          <w:sz w:val="24"/>
          <w:szCs w:val="21"/>
          <w:lang w:bidi="ar"/>
          <w14:textFill>
            <w14:solidFill>
              <w14:schemeClr w14:val="tx1"/>
            </w14:solidFill>
          </w14:textFill>
        </w:rPr>
      </w:pPr>
      <w:r>
        <w:rPr>
          <w:rFonts w:hint="eastAsia"/>
          <w:color w:val="000000" w:themeColor="text1"/>
          <w:spacing w:val="-1"/>
          <w:kern w:val="0"/>
          <w:sz w:val="24"/>
          <w:szCs w:val="21"/>
          <w:lang w:bidi="ar"/>
          <w14:textFill>
            <w14:solidFill>
              <w14:schemeClr w14:val="tx1"/>
            </w14:solidFill>
          </w14:textFill>
        </w:rPr>
        <w:t>采用直接比较的方法。</w:t>
      </w:r>
    </w:p>
    <w:p w14:paraId="7634DC6D">
      <w:pPr>
        <w:spacing w:line="48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6</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监测结果及评价</w:t>
      </w:r>
    </w:p>
    <w:p w14:paraId="4260517B">
      <w:pPr>
        <w:spacing w:line="480" w:lineRule="exact"/>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w:t>
      </w:r>
      <w:r>
        <w:rPr>
          <w:color w:val="000000" w:themeColor="text1"/>
          <w:sz w:val="24"/>
          <w:szCs w:val="24"/>
          <w14:textFill>
            <w14:solidFill>
              <w14:schemeClr w14:val="tx1"/>
            </w14:solidFill>
          </w14:textFill>
        </w:rPr>
        <w:t>土壤环境质量现状监测及评价结果</w:t>
      </w:r>
      <w:r>
        <w:rPr>
          <w:rFonts w:hint="eastAsia"/>
          <w:color w:val="000000" w:themeColor="text1"/>
          <w:sz w:val="24"/>
          <w:szCs w:val="24"/>
          <w14:textFill>
            <w14:solidFill>
              <w14:schemeClr w14:val="tx1"/>
            </w14:solidFill>
          </w14:textFill>
        </w:rPr>
        <w:t>见表4.2-</w:t>
      </w:r>
      <w:r>
        <w:rPr>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w:t>
      </w:r>
    </w:p>
    <w:p w14:paraId="5EBD8718">
      <w:pPr>
        <w:tabs>
          <w:tab w:val="left" w:pos="1129"/>
        </w:tabs>
        <w:spacing w:line="480" w:lineRule="exact"/>
        <w:jc w:val="center"/>
        <w:rPr>
          <w:rFonts w:ascii="Times New Roman" w:hAnsi="Times New Roman" w:eastAsia="宋体" w:cs="Times New Roman"/>
          <w:b/>
          <w:bCs/>
          <w:color w:val="000000" w:themeColor="text1"/>
          <w:spacing w:val="0"/>
          <w:sz w:val="24"/>
          <w:szCs w:val="24"/>
          <w14:textFill>
            <w14:solidFill>
              <w14:schemeClr w14:val="tx1"/>
            </w14:solidFill>
          </w14:textFill>
        </w:rPr>
      </w:pPr>
      <w:r>
        <w:rPr>
          <w:rFonts w:ascii="Times New Roman" w:hAnsi="Times New Roman" w:eastAsia="宋体" w:cs="Times New Roman"/>
          <w:b/>
          <w:bCs/>
          <w:color w:val="000000" w:themeColor="text1"/>
          <w:spacing w:val="0"/>
          <w:sz w:val="24"/>
          <w:szCs w:val="24"/>
          <w14:textFill>
            <w14:solidFill>
              <w14:schemeClr w14:val="tx1"/>
            </w14:solidFill>
          </w14:textFill>
        </w:rPr>
        <w:t>表4.2-</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9</w:t>
      </w:r>
      <w:r>
        <w:rPr>
          <w:rFonts w:ascii="Times New Roman" w:hAnsi="Times New Roman" w:eastAsia="宋体" w:cs="Times New Roman"/>
          <w:b/>
          <w:bCs/>
          <w:color w:val="000000" w:themeColor="text1"/>
          <w:spacing w:val="0"/>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sz w:val="24"/>
          <w:szCs w:val="24"/>
          <w14:textFill>
            <w14:solidFill>
              <w14:schemeClr w14:val="tx1"/>
            </w14:solidFill>
          </w14:textFill>
        </w:rPr>
        <w:t>项目区</w:t>
      </w:r>
      <w:r>
        <w:rPr>
          <w:rFonts w:ascii="Times New Roman" w:hAnsi="Times New Roman" w:eastAsia="宋体" w:cs="Times New Roman"/>
          <w:b/>
          <w:bCs/>
          <w:color w:val="000000" w:themeColor="text1"/>
          <w:spacing w:val="0"/>
          <w:sz w:val="24"/>
          <w:szCs w:val="24"/>
          <w14:textFill>
            <w14:solidFill>
              <w14:schemeClr w14:val="tx1"/>
            </w14:solidFill>
          </w14:textFill>
        </w:rPr>
        <w:t>内</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w:t>
      </w:r>
      <w:r>
        <w:rPr>
          <w:rFonts w:ascii="Times New Roman" w:hAnsi="Times New Roman" w:eastAsia="宋体" w:cs="Times New Roman"/>
          <w:b/>
          <w:bCs/>
          <w:color w:val="000000" w:themeColor="text1"/>
          <w:spacing w:val="0"/>
          <w:sz w:val="24"/>
          <w:szCs w:val="24"/>
          <w14:textFill>
            <w14:solidFill>
              <w14:schemeClr w14:val="tx1"/>
            </w14:solidFill>
          </w14:textFill>
        </w:rPr>
        <w:t>-</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pacing w:val="0"/>
          <w:sz w:val="24"/>
          <w:szCs w:val="24"/>
          <w14:textFill>
            <w14:solidFill>
              <w14:schemeClr w14:val="tx1"/>
            </w14:solidFill>
          </w14:textFill>
        </w:rPr>
        <w:t>）</w:t>
      </w:r>
      <w:r>
        <w:rPr>
          <w:rFonts w:ascii="Times New Roman" w:hAnsi="Times New Roman" w:eastAsia="宋体" w:cs="Times New Roman"/>
          <w:b/>
          <w:bCs/>
          <w:color w:val="000000" w:themeColor="text1"/>
          <w:spacing w:val="0"/>
          <w:sz w:val="24"/>
          <w:szCs w:val="24"/>
          <w14:textFill>
            <w14:solidFill>
              <w14:schemeClr w14:val="tx1"/>
            </w14:solidFill>
          </w14:textFill>
        </w:rPr>
        <w:t>土壤环境质量现状监测及评价结果</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930"/>
        <w:gridCol w:w="703"/>
        <w:gridCol w:w="665"/>
        <w:gridCol w:w="665"/>
        <w:gridCol w:w="665"/>
        <w:gridCol w:w="665"/>
        <w:gridCol w:w="665"/>
        <w:gridCol w:w="665"/>
        <w:gridCol w:w="665"/>
        <w:gridCol w:w="665"/>
        <w:gridCol w:w="674"/>
        <w:gridCol w:w="706"/>
      </w:tblGrid>
      <w:tr w14:paraId="52B7D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80" w:type="pct"/>
            <w:gridSpan w:val="2"/>
            <w:noWrap w:val="0"/>
            <w:vAlign w:val="center"/>
          </w:tcPr>
          <w:p w14:paraId="455C6324">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kern w:val="0"/>
                <w:szCs w:val="21"/>
                <w:lang w:bidi="ar"/>
                <w14:textFill>
                  <w14:solidFill>
                    <w14:schemeClr w14:val="tx1"/>
                  </w14:solidFill>
                </w14:textFill>
              </w:rPr>
              <w:t>样品编码</w:t>
            </w:r>
          </w:p>
        </w:tc>
        <w:tc>
          <w:tcPr>
            <w:tcW w:w="399" w:type="pct"/>
            <w:noWrap w:val="0"/>
            <w:vAlign w:val="center"/>
          </w:tcPr>
          <w:p w14:paraId="6780513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b/>
                <w:color w:val="000000" w:themeColor="text1"/>
                <w:kern w:val="0"/>
                <w:szCs w:val="21"/>
                <w:lang w:bidi="ar"/>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1</w:t>
            </w:r>
            <w:r>
              <w:rPr>
                <w:rFonts w:hint="default" w:ascii="Times New Roman" w:hAnsi="Times New Roman" w:cs="Times New Roman"/>
                <w:b/>
                <w:color w:val="000000" w:themeColor="text1"/>
                <w:szCs w:val="21"/>
                <w14:textFill>
                  <w14:solidFill>
                    <w14:schemeClr w14:val="tx1"/>
                  </w14:solidFill>
                </w14:textFill>
              </w:rPr>
              <w:t>-1-1</w:t>
            </w:r>
          </w:p>
        </w:tc>
        <w:tc>
          <w:tcPr>
            <w:tcW w:w="399" w:type="pct"/>
            <w:noWrap w:val="0"/>
            <w:vAlign w:val="center"/>
          </w:tcPr>
          <w:p w14:paraId="22E344E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b/>
                <w:color w:val="000000" w:themeColor="text1"/>
                <w:kern w:val="0"/>
                <w:szCs w:val="21"/>
                <w:lang w:bidi="ar"/>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1</w:t>
            </w:r>
            <w:r>
              <w:rPr>
                <w:rFonts w:hint="default"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14:textFill>
                  <w14:solidFill>
                    <w14:schemeClr w14:val="tx1"/>
                  </w14:solidFill>
                </w14:textFill>
              </w:rPr>
              <w:t>2</w:t>
            </w:r>
          </w:p>
        </w:tc>
        <w:tc>
          <w:tcPr>
            <w:tcW w:w="399" w:type="pct"/>
            <w:noWrap w:val="0"/>
            <w:vAlign w:val="center"/>
          </w:tcPr>
          <w:p w14:paraId="01ADDE0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b/>
                <w:color w:val="000000" w:themeColor="text1"/>
                <w:kern w:val="0"/>
                <w:szCs w:val="21"/>
                <w:lang w:bidi="ar"/>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1</w:t>
            </w:r>
            <w:r>
              <w:rPr>
                <w:rFonts w:hint="default"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14:textFill>
                  <w14:solidFill>
                    <w14:schemeClr w14:val="tx1"/>
                  </w14:solidFill>
                </w14:textFill>
              </w:rPr>
              <w:t>3</w:t>
            </w:r>
          </w:p>
        </w:tc>
        <w:tc>
          <w:tcPr>
            <w:tcW w:w="399" w:type="pct"/>
            <w:noWrap w:val="0"/>
            <w:vAlign w:val="center"/>
          </w:tcPr>
          <w:p w14:paraId="26247F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2</w:t>
            </w:r>
            <w:r>
              <w:rPr>
                <w:rFonts w:hint="default" w:ascii="Times New Roman" w:hAnsi="Times New Roman" w:cs="Times New Roman"/>
                <w:b/>
                <w:color w:val="000000" w:themeColor="text1"/>
                <w:szCs w:val="21"/>
                <w14:textFill>
                  <w14:solidFill>
                    <w14:schemeClr w14:val="tx1"/>
                  </w14:solidFill>
                </w14:textFill>
              </w:rPr>
              <w:t>-1-1</w:t>
            </w:r>
          </w:p>
        </w:tc>
        <w:tc>
          <w:tcPr>
            <w:tcW w:w="399" w:type="pct"/>
            <w:noWrap w:val="0"/>
            <w:vAlign w:val="center"/>
          </w:tcPr>
          <w:p w14:paraId="5B4CFF9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2</w:t>
            </w:r>
            <w:r>
              <w:rPr>
                <w:rFonts w:hint="default"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14:textFill>
                  <w14:solidFill>
                    <w14:schemeClr w14:val="tx1"/>
                  </w14:solidFill>
                </w14:textFill>
              </w:rPr>
              <w:t>2</w:t>
            </w:r>
          </w:p>
        </w:tc>
        <w:tc>
          <w:tcPr>
            <w:tcW w:w="399" w:type="pct"/>
            <w:noWrap w:val="0"/>
            <w:vAlign w:val="center"/>
          </w:tcPr>
          <w:p w14:paraId="5F2EDA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2</w:t>
            </w:r>
            <w:r>
              <w:rPr>
                <w:rFonts w:hint="default"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14:textFill>
                  <w14:solidFill>
                    <w14:schemeClr w14:val="tx1"/>
                  </w14:solidFill>
                </w14:textFill>
              </w:rPr>
              <w:t>3</w:t>
            </w:r>
          </w:p>
        </w:tc>
        <w:tc>
          <w:tcPr>
            <w:tcW w:w="399" w:type="pct"/>
            <w:noWrap w:val="0"/>
            <w:vAlign w:val="center"/>
          </w:tcPr>
          <w:p w14:paraId="4C4C9C8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-1-1</w:t>
            </w:r>
          </w:p>
        </w:tc>
        <w:tc>
          <w:tcPr>
            <w:tcW w:w="399" w:type="pct"/>
            <w:noWrap w:val="0"/>
            <w:vAlign w:val="center"/>
          </w:tcPr>
          <w:p w14:paraId="74D0F22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-1-2</w:t>
            </w:r>
          </w:p>
        </w:tc>
        <w:tc>
          <w:tcPr>
            <w:tcW w:w="399" w:type="pct"/>
            <w:noWrap w:val="0"/>
            <w:vAlign w:val="center"/>
          </w:tcPr>
          <w:p w14:paraId="0885FD5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T</w:t>
            </w:r>
            <w:r>
              <w:rPr>
                <w:rFonts w:hint="eastAsia" w:ascii="Times New Roman" w:hAnsi="Times New Roman" w:cs="Times New Roman"/>
                <w:b/>
                <w:color w:val="000000" w:themeColor="text1"/>
                <w:szCs w:val="21"/>
                <w:lang w:val="en-US" w:eastAsia="zh-CN"/>
                <w14:textFill>
                  <w14:solidFill>
                    <w14:schemeClr w14:val="tx1"/>
                  </w14:solidFill>
                </w14:textFill>
              </w:rPr>
              <w:t>3</w:t>
            </w:r>
            <w:r>
              <w:rPr>
                <w:rFonts w:hint="eastAsia" w:ascii="Times New Roman" w:hAnsi="Times New Roman" w:cs="Times New Roman"/>
                <w:b/>
                <w:color w:val="000000" w:themeColor="text1"/>
                <w:szCs w:val="21"/>
                <w14:textFill>
                  <w14:solidFill>
                    <w14:schemeClr w14:val="tx1"/>
                  </w14:solidFill>
                </w14:textFill>
              </w:rPr>
              <w:t>-1-3</w:t>
            </w:r>
          </w:p>
        </w:tc>
        <w:tc>
          <w:tcPr>
            <w:tcW w:w="423" w:type="pct"/>
            <w:vMerge w:val="restart"/>
            <w:noWrap w:val="0"/>
            <w:vAlign w:val="center"/>
          </w:tcPr>
          <w:p w14:paraId="7356E1B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标准值</w:t>
            </w:r>
          </w:p>
        </w:tc>
      </w:tr>
      <w:tr w14:paraId="3A741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40528F06">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kern w:val="0"/>
                <w:szCs w:val="21"/>
                <w:lang w:bidi="ar"/>
                <w14:textFill>
                  <w14:solidFill>
                    <w14:schemeClr w14:val="tx1"/>
                  </w14:solidFill>
                </w14:textFill>
              </w:rPr>
              <w:t>检测项目</w:t>
            </w:r>
          </w:p>
        </w:tc>
        <w:tc>
          <w:tcPr>
            <w:tcW w:w="421" w:type="pct"/>
            <w:noWrap w:val="0"/>
            <w:vAlign w:val="center"/>
          </w:tcPr>
          <w:p w14:paraId="186CD221">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kern w:val="0"/>
                <w:szCs w:val="21"/>
                <w:lang w:bidi="ar"/>
                <w14:textFill>
                  <w14:solidFill>
                    <w14:schemeClr w14:val="tx1"/>
                  </w14:solidFill>
                </w14:textFill>
              </w:rPr>
              <w:t>单位</w:t>
            </w:r>
          </w:p>
        </w:tc>
        <w:tc>
          <w:tcPr>
            <w:tcW w:w="3596" w:type="pct"/>
            <w:gridSpan w:val="9"/>
            <w:noWrap w:val="0"/>
            <w:vAlign w:val="center"/>
          </w:tcPr>
          <w:p w14:paraId="6C9767F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检测结果</w:t>
            </w:r>
          </w:p>
        </w:tc>
        <w:tc>
          <w:tcPr>
            <w:tcW w:w="423" w:type="pct"/>
            <w:vMerge w:val="continue"/>
            <w:noWrap w:val="0"/>
            <w:vAlign w:val="center"/>
          </w:tcPr>
          <w:p w14:paraId="45FEB4B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p>
        </w:tc>
      </w:tr>
      <w:tr w14:paraId="2E195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2710573D">
            <w:pPr>
              <w:pStyle w:val="663"/>
              <w:keepNext w:val="0"/>
              <w:keepLines w:val="0"/>
              <w:suppressLineNumbers w:val="0"/>
              <w:spacing w:before="0" w:beforeAutospacing="0" w:after="0" w:afterAutospacing="0" w:line="360" w:lineRule="exact"/>
              <w:ind w:left="0"/>
              <w:jc w:val="center"/>
              <w:rPr>
                <w:rFonts w:hint="default" w:ascii="Times New Roman" w:hAnsi="Times New Roman" w:cs="Calibri"/>
                <w:color w:val="000000" w:themeColor="text1"/>
                <w:kern w:val="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421" w:type="pct"/>
            <w:noWrap w:val="0"/>
            <w:vAlign w:val="center"/>
          </w:tcPr>
          <w:p w14:paraId="4A6DDB5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mg/kg</w:t>
            </w:r>
          </w:p>
        </w:tc>
        <w:tc>
          <w:tcPr>
            <w:tcW w:w="399" w:type="pct"/>
            <w:noWrap w:val="0"/>
            <w:vAlign w:val="center"/>
          </w:tcPr>
          <w:p w14:paraId="5244DEF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w:t>
            </w:r>
          </w:p>
        </w:tc>
        <w:tc>
          <w:tcPr>
            <w:tcW w:w="399" w:type="pct"/>
            <w:noWrap w:val="0"/>
            <w:vAlign w:val="center"/>
          </w:tcPr>
          <w:p w14:paraId="2B87EEB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18</w:t>
            </w:r>
          </w:p>
        </w:tc>
        <w:tc>
          <w:tcPr>
            <w:tcW w:w="399" w:type="pct"/>
            <w:noWrap w:val="0"/>
            <w:vAlign w:val="center"/>
          </w:tcPr>
          <w:p w14:paraId="2BCCC80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9</w:t>
            </w:r>
          </w:p>
        </w:tc>
        <w:tc>
          <w:tcPr>
            <w:tcW w:w="399" w:type="pct"/>
            <w:noWrap w:val="0"/>
            <w:vAlign w:val="center"/>
          </w:tcPr>
          <w:p w14:paraId="5A16C87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7</w:t>
            </w:r>
          </w:p>
        </w:tc>
        <w:tc>
          <w:tcPr>
            <w:tcW w:w="399" w:type="pct"/>
            <w:noWrap w:val="0"/>
            <w:vAlign w:val="center"/>
          </w:tcPr>
          <w:p w14:paraId="0DACFC2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w:t>
            </w:r>
          </w:p>
        </w:tc>
        <w:tc>
          <w:tcPr>
            <w:tcW w:w="399" w:type="pct"/>
            <w:noWrap w:val="0"/>
            <w:vAlign w:val="center"/>
          </w:tcPr>
          <w:p w14:paraId="4940283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6</w:t>
            </w:r>
          </w:p>
        </w:tc>
        <w:tc>
          <w:tcPr>
            <w:tcW w:w="399" w:type="pct"/>
            <w:noWrap w:val="0"/>
            <w:vAlign w:val="center"/>
          </w:tcPr>
          <w:p w14:paraId="3BF0710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w:t>
            </w:r>
          </w:p>
        </w:tc>
        <w:tc>
          <w:tcPr>
            <w:tcW w:w="399" w:type="pct"/>
            <w:noWrap w:val="0"/>
            <w:vAlign w:val="center"/>
          </w:tcPr>
          <w:p w14:paraId="3A8E268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9</w:t>
            </w:r>
          </w:p>
        </w:tc>
        <w:tc>
          <w:tcPr>
            <w:tcW w:w="399" w:type="pct"/>
            <w:noWrap w:val="0"/>
            <w:vAlign w:val="center"/>
          </w:tcPr>
          <w:p w14:paraId="751B7AF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10</w:t>
            </w:r>
          </w:p>
        </w:tc>
        <w:tc>
          <w:tcPr>
            <w:tcW w:w="423" w:type="pct"/>
            <w:noWrap w:val="0"/>
            <w:vAlign w:val="center"/>
          </w:tcPr>
          <w:p w14:paraId="00FE2AC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18000</w:t>
            </w:r>
          </w:p>
        </w:tc>
      </w:tr>
      <w:tr w14:paraId="5B4F2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0EF83EDC">
            <w:pPr>
              <w:pStyle w:val="663"/>
              <w:keepNext w:val="0"/>
              <w:keepLines w:val="0"/>
              <w:suppressLineNumbers w:val="0"/>
              <w:spacing w:before="0" w:beforeAutospacing="0" w:after="0" w:afterAutospacing="0" w:line="360" w:lineRule="exact"/>
              <w:ind w:left="0"/>
              <w:jc w:val="center"/>
              <w:rPr>
                <w:rFonts w:hint="default" w:ascii="Times New Roman" w:hAnsi="Times New Roman" w:cs="Calibri"/>
                <w:color w:val="000000" w:themeColor="text1"/>
                <w:kern w:val="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421" w:type="pct"/>
            <w:noWrap w:val="0"/>
            <w:vAlign w:val="center"/>
          </w:tcPr>
          <w:p w14:paraId="2CE7A304">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mg/kg</w:t>
            </w:r>
          </w:p>
        </w:tc>
        <w:tc>
          <w:tcPr>
            <w:tcW w:w="399" w:type="pct"/>
            <w:noWrap w:val="0"/>
            <w:vAlign w:val="center"/>
          </w:tcPr>
          <w:p w14:paraId="003846E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15</w:t>
            </w:r>
          </w:p>
        </w:tc>
        <w:tc>
          <w:tcPr>
            <w:tcW w:w="399" w:type="pct"/>
            <w:noWrap w:val="0"/>
            <w:vAlign w:val="center"/>
          </w:tcPr>
          <w:p w14:paraId="4C0F134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22</w:t>
            </w:r>
          </w:p>
        </w:tc>
        <w:tc>
          <w:tcPr>
            <w:tcW w:w="399" w:type="pct"/>
            <w:noWrap w:val="0"/>
            <w:vAlign w:val="center"/>
          </w:tcPr>
          <w:p w14:paraId="7664417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16</w:t>
            </w:r>
          </w:p>
        </w:tc>
        <w:tc>
          <w:tcPr>
            <w:tcW w:w="399" w:type="pct"/>
            <w:noWrap w:val="0"/>
            <w:vAlign w:val="center"/>
          </w:tcPr>
          <w:p w14:paraId="181A990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11</w:t>
            </w:r>
          </w:p>
        </w:tc>
        <w:tc>
          <w:tcPr>
            <w:tcW w:w="399" w:type="pct"/>
            <w:noWrap w:val="0"/>
            <w:vAlign w:val="center"/>
          </w:tcPr>
          <w:p w14:paraId="6393C20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14</w:t>
            </w:r>
          </w:p>
        </w:tc>
        <w:tc>
          <w:tcPr>
            <w:tcW w:w="399" w:type="pct"/>
            <w:noWrap w:val="0"/>
            <w:vAlign w:val="center"/>
          </w:tcPr>
          <w:p w14:paraId="65E98EB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16</w:t>
            </w:r>
          </w:p>
        </w:tc>
        <w:tc>
          <w:tcPr>
            <w:tcW w:w="399" w:type="pct"/>
            <w:noWrap w:val="0"/>
            <w:vAlign w:val="center"/>
          </w:tcPr>
          <w:p w14:paraId="780807D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18</w:t>
            </w:r>
          </w:p>
        </w:tc>
        <w:tc>
          <w:tcPr>
            <w:tcW w:w="399" w:type="pct"/>
            <w:noWrap w:val="0"/>
            <w:vAlign w:val="center"/>
          </w:tcPr>
          <w:p w14:paraId="16E0CE2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18</w:t>
            </w:r>
          </w:p>
        </w:tc>
        <w:tc>
          <w:tcPr>
            <w:tcW w:w="399" w:type="pct"/>
            <w:noWrap w:val="0"/>
            <w:vAlign w:val="center"/>
          </w:tcPr>
          <w:p w14:paraId="6C784CC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20</w:t>
            </w:r>
          </w:p>
        </w:tc>
        <w:tc>
          <w:tcPr>
            <w:tcW w:w="423" w:type="pct"/>
            <w:noWrap w:val="0"/>
            <w:vAlign w:val="center"/>
          </w:tcPr>
          <w:p w14:paraId="4DAD1E3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900</w:t>
            </w:r>
          </w:p>
        </w:tc>
      </w:tr>
      <w:tr w14:paraId="5FF2C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1125A9FA">
            <w:pPr>
              <w:pStyle w:val="663"/>
              <w:keepNext w:val="0"/>
              <w:keepLines w:val="0"/>
              <w:suppressLineNumbers w:val="0"/>
              <w:spacing w:before="0" w:beforeAutospacing="0" w:after="0" w:afterAutospacing="0" w:line="360" w:lineRule="exact"/>
              <w:ind w:left="0"/>
              <w:jc w:val="center"/>
              <w:rPr>
                <w:rFonts w:hint="eastAsia" w:ascii="Times New Roman" w:hAnsi="Times New Roman" w:eastAsia="宋体" w:cs="Calibri"/>
                <w:color w:val="000000" w:themeColor="text1"/>
                <w:kern w:val="2"/>
                <w:lang w:val="en-US" w:eastAsia="zh-CN"/>
                <w14:textFill>
                  <w14:solidFill>
                    <w14:schemeClr w14:val="tx1"/>
                  </w14:solidFill>
                </w14:textFill>
              </w:rPr>
            </w:pPr>
            <w:r>
              <w:rPr>
                <w:rFonts w:hint="eastAsia" w:ascii="Times New Roman" w:hAnsi="Times New Roman" w:cs="Calibri"/>
                <w:color w:val="000000" w:themeColor="text1"/>
                <w:kern w:val="2"/>
                <w:lang w:val="en-US" w:eastAsia="zh-CN"/>
                <w14:textFill>
                  <w14:solidFill>
                    <w14:schemeClr w14:val="tx1"/>
                  </w14:solidFill>
                </w14:textFill>
              </w:rPr>
              <w:t>六价铬</w:t>
            </w:r>
          </w:p>
        </w:tc>
        <w:tc>
          <w:tcPr>
            <w:tcW w:w="421" w:type="pct"/>
            <w:noWrap w:val="0"/>
            <w:vAlign w:val="center"/>
          </w:tcPr>
          <w:p w14:paraId="3C9AA2A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mg/kg</w:t>
            </w:r>
          </w:p>
        </w:tc>
        <w:tc>
          <w:tcPr>
            <w:tcW w:w="399" w:type="pct"/>
            <w:noWrap w:val="0"/>
            <w:vAlign w:val="center"/>
          </w:tcPr>
          <w:p w14:paraId="71556F4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399" w:type="pct"/>
            <w:noWrap w:val="0"/>
            <w:vAlign w:val="center"/>
          </w:tcPr>
          <w:p w14:paraId="5735EB8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399" w:type="pct"/>
            <w:noWrap w:val="0"/>
            <w:vAlign w:val="center"/>
          </w:tcPr>
          <w:p w14:paraId="5751976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399" w:type="pct"/>
            <w:noWrap w:val="0"/>
            <w:vAlign w:val="center"/>
          </w:tcPr>
          <w:p w14:paraId="7F42A26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399" w:type="pct"/>
            <w:noWrap w:val="0"/>
            <w:vAlign w:val="center"/>
          </w:tcPr>
          <w:p w14:paraId="18783E6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399" w:type="pct"/>
            <w:noWrap w:val="0"/>
            <w:vAlign w:val="center"/>
          </w:tcPr>
          <w:p w14:paraId="6B40F4A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399" w:type="pct"/>
            <w:noWrap w:val="0"/>
            <w:vAlign w:val="center"/>
          </w:tcPr>
          <w:p w14:paraId="610B613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399" w:type="pct"/>
            <w:noWrap w:val="0"/>
            <w:vAlign w:val="center"/>
          </w:tcPr>
          <w:p w14:paraId="6906769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399" w:type="pct"/>
            <w:noWrap w:val="0"/>
            <w:vAlign w:val="center"/>
          </w:tcPr>
          <w:p w14:paraId="5F03FB5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&lt;0.5</w:t>
            </w:r>
          </w:p>
        </w:tc>
        <w:tc>
          <w:tcPr>
            <w:tcW w:w="423" w:type="pct"/>
            <w:noWrap w:val="0"/>
            <w:vAlign w:val="center"/>
          </w:tcPr>
          <w:p w14:paraId="51B3B95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5.7</w:t>
            </w:r>
          </w:p>
        </w:tc>
      </w:tr>
      <w:tr w14:paraId="4745E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775BB222">
            <w:pPr>
              <w:pStyle w:val="663"/>
              <w:keepNext w:val="0"/>
              <w:keepLines w:val="0"/>
              <w:suppressLineNumbers w:val="0"/>
              <w:spacing w:before="0" w:beforeAutospacing="0" w:after="0" w:afterAutospacing="0" w:line="360" w:lineRule="exact"/>
              <w:ind w:left="0"/>
              <w:jc w:val="center"/>
              <w:rPr>
                <w:rFonts w:hint="default" w:ascii="Times New Roman" w:hAnsi="Times New Roman" w:cs="Calibri"/>
                <w:color w:val="000000" w:themeColor="text1"/>
                <w:kern w:val="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421" w:type="pct"/>
            <w:noWrap w:val="0"/>
            <w:vAlign w:val="center"/>
          </w:tcPr>
          <w:p w14:paraId="153A6AA5">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mg/kg</w:t>
            </w:r>
          </w:p>
        </w:tc>
        <w:tc>
          <w:tcPr>
            <w:tcW w:w="399" w:type="pct"/>
            <w:noWrap w:val="0"/>
            <w:vAlign w:val="center"/>
          </w:tcPr>
          <w:p w14:paraId="0BA9227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5.8</w:t>
            </w:r>
          </w:p>
        </w:tc>
        <w:tc>
          <w:tcPr>
            <w:tcW w:w="399" w:type="pct"/>
            <w:noWrap w:val="0"/>
            <w:vAlign w:val="center"/>
          </w:tcPr>
          <w:p w14:paraId="72E71E1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6.2</w:t>
            </w:r>
          </w:p>
        </w:tc>
        <w:tc>
          <w:tcPr>
            <w:tcW w:w="399" w:type="pct"/>
            <w:noWrap w:val="0"/>
            <w:vAlign w:val="center"/>
          </w:tcPr>
          <w:p w14:paraId="4DD93B3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6.4</w:t>
            </w:r>
          </w:p>
        </w:tc>
        <w:tc>
          <w:tcPr>
            <w:tcW w:w="399" w:type="pct"/>
            <w:noWrap w:val="0"/>
            <w:vAlign w:val="center"/>
          </w:tcPr>
          <w:p w14:paraId="412CD3F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5.9</w:t>
            </w:r>
          </w:p>
        </w:tc>
        <w:tc>
          <w:tcPr>
            <w:tcW w:w="399" w:type="pct"/>
            <w:noWrap w:val="0"/>
            <w:vAlign w:val="center"/>
          </w:tcPr>
          <w:p w14:paraId="589FD8A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6.2</w:t>
            </w:r>
          </w:p>
        </w:tc>
        <w:tc>
          <w:tcPr>
            <w:tcW w:w="399" w:type="pct"/>
            <w:noWrap w:val="0"/>
            <w:vAlign w:val="center"/>
          </w:tcPr>
          <w:p w14:paraId="36E3AA6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6.9</w:t>
            </w:r>
          </w:p>
        </w:tc>
        <w:tc>
          <w:tcPr>
            <w:tcW w:w="399" w:type="pct"/>
            <w:noWrap w:val="0"/>
            <w:vAlign w:val="center"/>
          </w:tcPr>
          <w:p w14:paraId="4347AF8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6.3</w:t>
            </w:r>
          </w:p>
        </w:tc>
        <w:tc>
          <w:tcPr>
            <w:tcW w:w="399" w:type="pct"/>
            <w:noWrap w:val="0"/>
            <w:vAlign w:val="center"/>
          </w:tcPr>
          <w:p w14:paraId="53D034B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6.7</w:t>
            </w:r>
          </w:p>
        </w:tc>
        <w:tc>
          <w:tcPr>
            <w:tcW w:w="399" w:type="pct"/>
            <w:noWrap w:val="0"/>
            <w:vAlign w:val="center"/>
          </w:tcPr>
          <w:p w14:paraId="33FCCAD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8.0</w:t>
            </w:r>
          </w:p>
        </w:tc>
        <w:tc>
          <w:tcPr>
            <w:tcW w:w="423" w:type="pct"/>
            <w:noWrap w:val="0"/>
            <w:vAlign w:val="center"/>
          </w:tcPr>
          <w:p w14:paraId="75A7E3E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800</w:t>
            </w:r>
          </w:p>
        </w:tc>
      </w:tr>
      <w:tr w14:paraId="0B688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0CA063E1">
            <w:pPr>
              <w:pStyle w:val="663"/>
              <w:keepNext w:val="0"/>
              <w:keepLines w:val="0"/>
              <w:suppressLineNumbers w:val="0"/>
              <w:spacing w:before="0" w:beforeAutospacing="0" w:after="0" w:afterAutospacing="0" w:line="360" w:lineRule="exact"/>
              <w:ind w:left="0"/>
              <w:jc w:val="center"/>
              <w:rPr>
                <w:rFonts w:hint="default" w:ascii="Times New Roman" w:hAnsi="Times New Roman" w:cs="Calibri"/>
                <w:color w:val="000000" w:themeColor="text1"/>
                <w:kern w:val="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421" w:type="pct"/>
            <w:noWrap w:val="0"/>
            <w:vAlign w:val="center"/>
          </w:tcPr>
          <w:p w14:paraId="7890F42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mg/kg</w:t>
            </w:r>
          </w:p>
        </w:tc>
        <w:tc>
          <w:tcPr>
            <w:tcW w:w="399" w:type="pct"/>
            <w:noWrap w:val="0"/>
            <w:vAlign w:val="center"/>
          </w:tcPr>
          <w:p w14:paraId="43EA8B1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0.20</w:t>
            </w:r>
          </w:p>
        </w:tc>
        <w:tc>
          <w:tcPr>
            <w:tcW w:w="399" w:type="pct"/>
            <w:noWrap w:val="0"/>
            <w:vAlign w:val="center"/>
          </w:tcPr>
          <w:p w14:paraId="0DE24C3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0.19</w:t>
            </w:r>
          </w:p>
        </w:tc>
        <w:tc>
          <w:tcPr>
            <w:tcW w:w="399" w:type="pct"/>
            <w:noWrap w:val="0"/>
            <w:vAlign w:val="center"/>
          </w:tcPr>
          <w:p w14:paraId="4A2ED8A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0.19</w:t>
            </w:r>
          </w:p>
        </w:tc>
        <w:tc>
          <w:tcPr>
            <w:tcW w:w="399" w:type="pct"/>
            <w:noWrap w:val="0"/>
            <w:vAlign w:val="center"/>
          </w:tcPr>
          <w:p w14:paraId="22597BA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0.19</w:t>
            </w:r>
          </w:p>
        </w:tc>
        <w:tc>
          <w:tcPr>
            <w:tcW w:w="399" w:type="pct"/>
            <w:noWrap w:val="0"/>
            <w:vAlign w:val="center"/>
          </w:tcPr>
          <w:p w14:paraId="5A97106F">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0.15</w:t>
            </w:r>
          </w:p>
        </w:tc>
        <w:tc>
          <w:tcPr>
            <w:tcW w:w="399" w:type="pct"/>
            <w:noWrap w:val="0"/>
            <w:vAlign w:val="center"/>
          </w:tcPr>
          <w:p w14:paraId="41DF292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0.17</w:t>
            </w:r>
          </w:p>
        </w:tc>
        <w:tc>
          <w:tcPr>
            <w:tcW w:w="399" w:type="pct"/>
            <w:noWrap w:val="0"/>
            <w:vAlign w:val="center"/>
          </w:tcPr>
          <w:p w14:paraId="4AB4C08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0.27</w:t>
            </w:r>
          </w:p>
        </w:tc>
        <w:tc>
          <w:tcPr>
            <w:tcW w:w="399" w:type="pct"/>
            <w:noWrap w:val="0"/>
            <w:vAlign w:val="center"/>
          </w:tcPr>
          <w:p w14:paraId="3F57C56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0.20</w:t>
            </w:r>
          </w:p>
        </w:tc>
        <w:tc>
          <w:tcPr>
            <w:tcW w:w="399" w:type="pct"/>
            <w:noWrap w:val="0"/>
            <w:vAlign w:val="center"/>
          </w:tcPr>
          <w:p w14:paraId="0AFC5B4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0.16</w:t>
            </w:r>
          </w:p>
        </w:tc>
        <w:tc>
          <w:tcPr>
            <w:tcW w:w="423" w:type="pct"/>
            <w:noWrap w:val="0"/>
            <w:vAlign w:val="center"/>
          </w:tcPr>
          <w:p w14:paraId="6791705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65</w:t>
            </w:r>
          </w:p>
        </w:tc>
      </w:tr>
      <w:tr w14:paraId="20AC7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218CB5E1">
            <w:pPr>
              <w:pStyle w:val="663"/>
              <w:keepNext w:val="0"/>
              <w:keepLines w:val="0"/>
              <w:suppressLineNumbers w:val="0"/>
              <w:spacing w:before="0" w:beforeAutospacing="0" w:after="0" w:afterAutospacing="0" w:line="360" w:lineRule="exact"/>
              <w:ind w:left="0"/>
              <w:jc w:val="center"/>
              <w:rPr>
                <w:rFonts w:hint="default" w:ascii="Times New Roman" w:hAnsi="Times New Roman" w:cs="Calibri"/>
                <w:color w:val="000000" w:themeColor="text1"/>
                <w:kern w:val="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421" w:type="pct"/>
            <w:noWrap w:val="0"/>
            <w:vAlign w:val="center"/>
          </w:tcPr>
          <w:p w14:paraId="22D7EE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mg/kg</w:t>
            </w:r>
          </w:p>
        </w:tc>
        <w:tc>
          <w:tcPr>
            <w:tcW w:w="399" w:type="pct"/>
            <w:noWrap w:val="0"/>
            <w:vAlign w:val="center"/>
          </w:tcPr>
          <w:p w14:paraId="1509D0F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0.556</w:t>
            </w:r>
          </w:p>
        </w:tc>
        <w:tc>
          <w:tcPr>
            <w:tcW w:w="399" w:type="pct"/>
            <w:noWrap w:val="0"/>
            <w:vAlign w:val="center"/>
          </w:tcPr>
          <w:p w14:paraId="6826B53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0.988</w:t>
            </w:r>
          </w:p>
        </w:tc>
        <w:tc>
          <w:tcPr>
            <w:tcW w:w="399" w:type="pct"/>
            <w:noWrap w:val="0"/>
            <w:vAlign w:val="center"/>
          </w:tcPr>
          <w:p w14:paraId="07BE4F8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1.02</w:t>
            </w:r>
          </w:p>
        </w:tc>
        <w:tc>
          <w:tcPr>
            <w:tcW w:w="399" w:type="pct"/>
            <w:noWrap w:val="0"/>
            <w:vAlign w:val="center"/>
          </w:tcPr>
          <w:p w14:paraId="30DF951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0.375</w:t>
            </w:r>
          </w:p>
        </w:tc>
        <w:tc>
          <w:tcPr>
            <w:tcW w:w="399" w:type="pct"/>
            <w:noWrap w:val="0"/>
            <w:vAlign w:val="center"/>
          </w:tcPr>
          <w:p w14:paraId="56348AB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0.938</w:t>
            </w:r>
          </w:p>
        </w:tc>
        <w:tc>
          <w:tcPr>
            <w:tcW w:w="399" w:type="pct"/>
            <w:noWrap w:val="0"/>
            <w:vAlign w:val="center"/>
          </w:tcPr>
          <w:p w14:paraId="10808AE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0.672</w:t>
            </w:r>
          </w:p>
        </w:tc>
        <w:tc>
          <w:tcPr>
            <w:tcW w:w="399" w:type="pct"/>
            <w:noWrap w:val="0"/>
            <w:vAlign w:val="center"/>
          </w:tcPr>
          <w:p w14:paraId="3BCC4A2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0.457</w:t>
            </w:r>
          </w:p>
        </w:tc>
        <w:tc>
          <w:tcPr>
            <w:tcW w:w="399" w:type="pct"/>
            <w:noWrap w:val="0"/>
            <w:vAlign w:val="center"/>
          </w:tcPr>
          <w:p w14:paraId="45B9CD8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0.436</w:t>
            </w:r>
          </w:p>
        </w:tc>
        <w:tc>
          <w:tcPr>
            <w:tcW w:w="399" w:type="pct"/>
            <w:noWrap w:val="0"/>
            <w:vAlign w:val="center"/>
          </w:tcPr>
          <w:p w14:paraId="0EEAFCE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0.423</w:t>
            </w:r>
          </w:p>
        </w:tc>
        <w:tc>
          <w:tcPr>
            <w:tcW w:w="423" w:type="pct"/>
            <w:noWrap w:val="0"/>
            <w:vAlign w:val="center"/>
          </w:tcPr>
          <w:p w14:paraId="48E7A90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38</w:t>
            </w:r>
          </w:p>
        </w:tc>
      </w:tr>
      <w:tr w14:paraId="5F2E4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7939CED6">
            <w:pPr>
              <w:pStyle w:val="663"/>
              <w:keepNext w:val="0"/>
              <w:keepLines w:val="0"/>
              <w:suppressLineNumbers w:val="0"/>
              <w:spacing w:before="0" w:beforeAutospacing="0" w:after="0" w:afterAutospacing="0" w:line="360" w:lineRule="exact"/>
              <w:ind w:left="0"/>
              <w:jc w:val="center"/>
              <w:rPr>
                <w:rFonts w:hint="default" w:ascii="Times New Roman" w:hAnsi="Times New Roman" w:cs="Calibri"/>
                <w:color w:val="000000" w:themeColor="text1"/>
                <w:kern w:val="2"/>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421" w:type="pct"/>
            <w:noWrap w:val="0"/>
            <w:vAlign w:val="center"/>
          </w:tcPr>
          <w:p w14:paraId="1CA31A9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highlight w:val="none"/>
                <w:lang w:bidi="ar"/>
                <w14:textFill>
                  <w14:solidFill>
                    <w14:schemeClr w14:val="tx1"/>
                  </w14:solidFill>
                </w14:textFill>
              </w:rPr>
            </w:pPr>
            <w:r>
              <w:rPr>
                <w:rFonts w:hint="default" w:ascii="Times New Roman" w:hAnsi="Times New Roman" w:cs="Times New Roman"/>
                <w:bCs/>
                <w:color w:val="000000" w:themeColor="text1"/>
                <w:kern w:val="0"/>
                <w:szCs w:val="21"/>
                <w:highlight w:val="none"/>
                <w:lang w:bidi="ar"/>
                <w14:textFill>
                  <w14:solidFill>
                    <w14:schemeClr w14:val="tx1"/>
                  </w14:solidFill>
                </w14:textFill>
              </w:rPr>
              <w:t>mg/kg</w:t>
            </w:r>
          </w:p>
        </w:tc>
        <w:tc>
          <w:tcPr>
            <w:tcW w:w="399" w:type="pct"/>
            <w:noWrap w:val="0"/>
            <w:vAlign w:val="center"/>
          </w:tcPr>
          <w:p w14:paraId="03EE745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9.02</w:t>
            </w:r>
          </w:p>
        </w:tc>
        <w:tc>
          <w:tcPr>
            <w:tcW w:w="399" w:type="pct"/>
            <w:noWrap w:val="0"/>
            <w:vAlign w:val="center"/>
          </w:tcPr>
          <w:p w14:paraId="55350E1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12.9</w:t>
            </w:r>
          </w:p>
        </w:tc>
        <w:tc>
          <w:tcPr>
            <w:tcW w:w="399" w:type="pct"/>
            <w:noWrap w:val="0"/>
            <w:vAlign w:val="center"/>
          </w:tcPr>
          <w:p w14:paraId="1CA2293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7.64</w:t>
            </w:r>
          </w:p>
        </w:tc>
        <w:tc>
          <w:tcPr>
            <w:tcW w:w="399" w:type="pct"/>
            <w:noWrap w:val="0"/>
            <w:vAlign w:val="center"/>
          </w:tcPr>
          <w:p w14:paraId="377F5FB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9.35</w:t>
            </w:r>
          </w:p>
        </w:tc>
        <w:tc>
          <w:tcPr>
            <w:tcW w:w="399" w:type="pct"/>
            <w:noWrap w:val="0"/>
            <w:vAlign w:val="center"/>
          </w:tcPr>
          <w:p w14:paraId="6F8827C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8.49</w:t>
            </w:r>
          </w:p>
        </w:tc>
        <w:tc>
          <w:tcPr>
            <w:tcW w:w="399" w:type="pct"/>
            <w:noWrap w:val="0"/>
            <w:vAlign w:val="center"/>
          </w:tcPr>
          <w:p w14:paraId="01A16F8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5.47</w:t>
            </w:r>
          </w:p>
        </w:tc>
        <w:tc>
          <w:tcPr>
            <w:tcW w:w="399" w:type="pct"/>
            <w:noWrap w:val="0"/>
            <w:vAlign w:val="center"/>
          </w:tcPr>
          <w:p w14:paraId="12333BE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9.15</w:t>
            </w:r>
          </w:p>
        </w:tc>
        <w:tc>
          <w:tcPr>
            <w:tcW w:w="399" w:type="pct"/>
            <w:noWrap w:val="0"/>
            <w:vAlign w:val="center"/>
          </w:tcPr>
          <w:p w14:paraId="080D7F3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9.74</w:t>
            </w:r>
          </w:p>
        </w:tc>
        <w:tc>
          <w:tcPr>
            <w:tcW w:w="399" w:type="pct"/>
            <w:noWrap w:val="0"/>
            <w:vAlign w:val="center"/>
          </w:tcPr>
          <w:p w14:paraId="07CBA25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8.96</w:t>
            </w:r>
          </w:p>
        </w:tc>
        <w:tc>
          <w:tcPr>
            <w:tcW w:w="423" w:type="pct"/>
            <w:noWrap w:val="0"/>
            <w:vAlign w:val="center"/>
          </w:tcPr>
          <w:p w14:paraId="28008D4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60</w:t>
            </w:r>
          </w:p>
        </w:tc>
      </w:tr>
      <w:tr w14:paraId="29855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1A3974EC">
            <w:pPr>
              <w:pStyle w:val="663"/>
              <w:keepNext w:val="0"/>
              <w:keepLines w:val="0"/>
              <w:suppressLineNumbers w:val="0"/>
              <w:spacing w:before="0" w:beforeAutospacing="0" w:after="0" w:afterAutospacing="0" w:line="360" w:lineRule="exact"/>
              <w:ind w:left="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锌</w:t>
            </w:r>
          </w:p>
        </w:tc>
        <w:tc>
          <w:tcPr>
            <w:tcW w:w="421" w:type="pct"/>
            <w:noWrap w:val="0"/>
            <w:vAlign w:val="center"/>
          </w:tcPr>
          <w:p w14:paraId="6D3694D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highlight w:val="none"/>
                <w:lang w:bidi="ar"/>
                <w14:textFill>
                  <w14:solidFill>
                    <w14:schemeClr w14:val="tx1"/>
                  </w14:solidFill>
                </w14:textFill>
              </w:rPr>
            </w:pPr>
            <w:r>
              <w:rPr>
                <w:rFonts w:hint="default" w:ascii="Times New Roman" w:hAnsi="Times New Roman" w:cs="Times New Roman"/>
                <w:bCs/>
                <w:color w:val="000000" w:themeColor="text1"/>
                <w:kern w:val="0"/>
                <w:szCs w:val="21"/>
                <w:highlight w:val="none"/>
                <w:lang w:bidi="ar"/>
                <w14:textFill>
                  <w14:solidFill>
                    <w14:schemeClr w14:val="tx1"/>
                  </w14:solidFill>
                </w14:textFill>
              </w:rPr>
              <w:t>mg/kg</w:t>
            </w:r>
          </w:p>
        </w:tc>
        <w:tc>
          <w:tcPr>
            <w:tcW w:w="399" w:type="pct"/>
            <w:noWrap w:val="0"/>
            <w:vAlign w:val="center"/>
          </w:tcPr>
          <w:p w14:paraId="6E00095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34</w:t>
            </w:r>
          </w:p>
        </w:tc>
        <w:tc>
          <w:tcPr>
            <w:tcW w:w="399" w:type="pct"/>
            <w:noWrap w:val="0"/>
            <w:vAlign w:val="center"/>
          </w:tcPr>
          <w:p w14:paraId="745EE23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54</w:t>
            </w:r>
          </w:p>
        </w:tc>
        <w:tc>
          <w:tcPr>
            <w:tcW w:w="399" w:type="pct"/>
            <w:noWrap w:val="0"/>
            <w:vAlign w:val="center"/>
          </w:tcPr>
          <w:p w14:paraId="674DC4E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36</w:t>
            </w:r>
          </w:p>
        </w:tc>
        <w:tc>
          <w:tcPr>
            <w:tcW w:w="399" w:type="pct"/>
            <w:noWrap w:val="0"/>
            <w:vAlign w:val="center"/>
          </w:tcPr>
          <w:p w14:paraId="4D745CB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31</w:t>
            </w:r>
          </w:p>
        </w:tc>
        <w:tc>
          <w:tcPr>
            <w:tcW w:w="399" w:type="pct"/>
            <w:noWrap w:val="0"/>
            <w:vAlign w:val="center"/>
          </w:tcPr>
          <w:p w14:paraId="7451EEC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35</w:t>
            </w:r>
          </w:p>
        </w:tc>
        <w:tc>
          <w:tcPr>
            <w:tcW w:w="399" w:type="pct"/>
            <w:noWrap w:val="0"/>
            <w:vAlign w:val="center"/>
          </w:tcPr>
          <w:p w14:paraId="414BA55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30</w:t>
            </w:r>
          </w:p>
        </w:tc>
        <w:tc>
          <w:tcPr>
            <w:tcW w:w="399" w:type="pct"/>
            <w:noWrap w:val="0"/>
            <w:vAlign w:val="center"/>
          </w:tcPr>
          <w:p w14:paraId="5028EFE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35</w:t>
            </w:r>
          </w:p>
        </w:tc>
        <w:tc>
          <w:tcPr>
            <w:tcW w:w="399" w:type="pct"/>
            <w:noWrap w:val="0"/>
            <w:vAlign w:val="center"/>
          </w:tcPr>
          <w:p w14:paraId="3DAB01B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38</w:t>
            </w:r>
          </w:p>
        </w:tc>
        <w:tc>
          <w:tcPr>
            <w:tcW w:w="399" w:type="pct"/>
            <w:noWrap w:val="0"/>
            <w:vAlign w:val="center"/>
          </w:tcPr>
          <w:p w14:paraId="146BDC0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41</w:t>
            </w:r>
          </w:p>
        </w:tc>
        <w:tc>
          <w:tcPr>
            <w:tcW w:w="423" w:type="pct"/>
            <w:noWrap w:val="0"/>
            <w:vAlign w:val="center"/>
          </w:tcPr>
          <w:p w14:paraId="74E928D4">
            <w:pPr>
              <w:keepNext w:val="0"/>
              <w:keepLines w:val="0"/>
              <w:suppressLineNumbers w:val="0"/>
              <w:spacing w:before="0" w:beforeAutospacing="0" w:after="0" w:afterAutospacing="0" w:line="360" w:lineRule="exact"/>
              <w:ind w:left="0" w:right="0"/>
              <w:jc w:val="center"/>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r>
      <w:tr w14:paraId="1CC15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0874A7D7">
            <w:pPr>
              <w:pStyle w:val="663"/>
              <w:keepNext w:val="0"/>
              <w:keepLines w:val="0"/>
              <w:suppressLineNumbers w:val="0"/>
              <w:spacing w:before="0" w:beforeAutospacing="0" w:after="0" w:afterAutospacing="0" w:line="360" w:lineRule="exact"/>
              <w:ind w:left="0"/>
              <w:jc w:val="center"/>
              <w:rPr>
                <w:rFonts w:hint="default" w:ascii="Times New Roman" w:hAnsi="Times New Roman" w:cs="Calibri"/>
                <w:color w:val="000000" w:themeColor="text1"/>
                <w:kern w:val="2"/>
                <w:lang w:val="en-US" w:eastAsia="zh-CN"/>
                <w14:textFill>
                  <w14:solidFill>
                    <w14:schemeClr w14:val="tx1"/>
                  </w14:solidFill>
                </w14:textFill>
              </w:rPr>
            </w:pPr>
            <w:r>
              <w:rPr>
                <w:rFonts w:hint="eastAsia" w:ascii="Times New Roman" w:hAnsi="Times New Roman" w:cs="Calibri"/>
                <w:color w:val="000000" w:themeColor="text1"/>
                <w:kern w:val="2"/>
                <w:lang w:val="en-US" w:eastAsia="zh-CN"/>
                <w14:textFill>
                  <w14:solidFill>
                    <w14:schemeClr w14:val="tx1"/>
                  </w14:solidFill>
                </w14:textFill>
              </w:rPr>
              <w:t>pH</w:t>
            </w:r>
          </w:p>
        </w:tc>
        <w:tc>
          <w:tcPr>
            <w:tcW w:w="421" w:type="pct"/>
            <w:noWrap w:val="0"/>
            <w:vAlign w:val="center"/>
          </w:tcPr>
          <w:p w14:paraId="32D1558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eastAsia" w:ascii="Times New Roman" w:hAnsi="Times New Roman" w:cs="Times New Roman"/>
                <w:bCs/>
                <w:color w:val="000000" w:themeColor="text1"/>
                <w:kern w:val="0"/>
                <w:szCs w:val="21"/>
                <w:lang w:val="en-US" w:eastAsia="zh-CN" w:bidi="ar"/>
                <w14:textFill>
                  <w14:solidFill>
                    <w14:schemeClr w14:val="tx1"/>
                  </w14:solidFill>
                </w14:textFill>
              </w:rPr>
              <w:t>无量纲</w:t>
            </w:r>
          </w:p>
        </w:tc>
        <w:tc>
          <w:tcPr>
            <w:tcW w:w="399" w:type="pct"/>
            <w:noWrap w:val="0"/>
            <w:vAlign w:val="center"/>
          </w:tcPr>
          <w:p w14:paraId="5AEB0903">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8.57</w:t>
            </w:r>
          </w:p>
        </w:tc>
        <w:tc>
          <w:tcPr>
            <w:tcW w:w="399" w:type="pct"/>
            <w:noWrap w:val="0"/>
            <w:vAlign w:val="center"/>
          </w:tcPr>
          <w:p w14:paraId="254D756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8.27</w:t>
            </w:r>
          </w:p>
        </w:tc>
        <w:tc>
          <w:tcPr>
            <w:tcW w:w="399" w:type="pct"/>
            <w:noWrap w:val="0"/>
            <w:vAlign w:val="center"/>
          </w:tcPr>
          <w:p w14:paraId="2F75700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8.43</w:t>
            </w:r>
          </w:p>
        </w:tc>
        <w:tc>
          <w:tcPr>
            <w:tcW w:w="399" w:type="pct"/>
            <w:shd w:val="clear" w:color="auto" w:fill="auto"/>
            <w:noWrap w:val="0"/>
            <w:vAlign w:val="center"/>
          </w:tcPr>
          <w:p w14:paraId="74C76F9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8.37</w:t>
            </w:r>
          </w:p>
        </w:tc>
        <w:tc>
          <w:tcPr>
            <w:tcW w:w="399" w:type="pct"/>
            <w:shd w:val="clear" w:color="auto" w:fill="auto"/>
            <w:noWrap w:val="0"/>
            <w:vAlign w:val="center"/>
          </w:tcPr>
          <w:p w14:paraId="5522E6F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8.54</w:t>
            </w:r>
          </w:p>
        </w:tc>
        <w:tc>
          <w:tcPr>
            <w:tcW w:w="399" w:type="pct"/>
            <w:shd w:val="clear" w:color="auto" w:fill="auto"/>
            <w:noWrap w:val="0"/>
            <w:vAlign w:val="center"/>
          </w:tcPr>
          <w:p w14:paraId="72D3727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8.45</w:t>
            </w:r>
          </w:p>
        </w:tc>
        <w:tc>
          <w:tcPr>
            <w:tcW w:w="399" w:type="pct"/>
            <w:noWrap w:val="0"/>
            <w:vAlign w:val="center"/>
          </w:tcPr>
          <w:p w14:paraId="242ECDA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8.55</w:t>
            </w:r>
          </w:p>
        </w:tc>
        <w:tc>
          <w:tcPr>
            <w:tcW w:w="399" w:type="pct"/>
            <w:noWrap w:val="0"/>
            <w:vAlign w:val="center"/>
          </w:tcPr>
          <w:p w14:paraId="6516339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8.61</w:t>
            </w:r>
          </w:p>
        </w:tc>
        <w:tc>
          <w:tcPr>
            <w:tcW w:w="399" w:type="pct"/>
            <w:noWrap w:val="0"/>
            <w:vAlign w:val="center"/>
          </w:tcPr>
          <w:p w14:paraId="3936F52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8.57</w:t>
            </w:r>
          </w:p>
        </w:tc>
        <w:tc>
          <w:tcPr>
            <w:tcW w:w="423" w:type="pct"/>
            <w:noWrap w:val="0"/>
            <w:vAlign w:val="center"/>
          </w:tcPr>
          <w:p w14:paraId="070A2EC3">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w:t>
            </w:r>
          </w:p>
        </w:tc>
      </w:tr>
      <w:tr w14:paraId="2D845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58" w:type="pct"/>
            <w:noWrap w:val="0"/>
            <w:vAlign w:val="center"/>
          </w:tcPr>
          <w:p w14:paraId="4C96D2D8">
            <w:pPr>
              <w:pStyle w:val="663"/>
              <w:keepNext w:val="0"/>
              <w:keepLines w:val="0"/>
              <w:suppressLineNumbers w:val="0"/>
              <w:spacing w:before="0" w:beforeAutospacing="0" w:after="0" w:afterAutospacing="0" w:line="360" w:lineRule="exact"/>
              <w:ind w:left="0"/>
              <w:jc w:val="center"/>
              <w:rPr>
                <w:rFonts w:hint="default" w:ascii="Times New Roman" w:hAnsi="Times New Roman" w:cs="Calibri"/>
                <w:color w:val="000000" w:themeColor="text1"/>
                <w:kern w:val="2"/>
                <w:lang w:val="en-US" w:eastAsia="zh-CN"/>
                <w14:textFill>
                  <w14:solidFill>
                    <w14:schemeClr w14:val="tx1"/>
                  </w14:solidFill>
                </w14:textFill>
              </w:rPr>
            </w:pPr>
            <w:r>
              <w:rPr>
                <w:rFonts w:hint="eastAsia" w:ascii="Times New Roman" w:hAnsi="Times New Roman" w:cs="Calibri"/>
                <w:color w:val="000000" w:themeColor="text1"/>
                <w:kern w:val="2"/>
                <w:lang w:val="en-US" w:eastAsia="zh-CN"/>
                <w14:textFill>
                  <w14:solidFill>
                    <w14:schemeClr w14:val="tx1"/>
                  </w14:solidFill>
                </w14:textFill>
              </w:rPr>
              <w:t>含盐量</w:t>
            </w:r>
          </w:p>
        </w:tc>
        <w:tc>
          <w:tcPr>
            <w:tcW w:w="421" w:type="pct"/>
            <w:noWrap w:val="0"/>
            <w:vAlign w:val="center"/>
          </w:tcPr>
          <w:p w14:paraId="37AEBE9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color w:val="000000" w:themeColor="text1"/>
                <w:kern w:val="0"/>
                <w:szCs w:val="21"/>
                <w:lang w:val="en-US" w:eastAsia="zh-CN" w:bidi="ar"/>
                <w14:textFill>
                  <w14:solidFill>
                    <w14:schemeClr w14:val="tx1"/>
                  </w14:solidFill>
                </w14:textFill>
              </w:rPr>
            </w:pPr>
            <w:r>
              <w:rPr>
                <w:rFonts w:hint="eastAsia" w:ascii="Times New Roman" w:hAnsi="Times New Roman" w:cs="Times New Roman"/>
                <w:bCs/>
                <w:color w:val="000000" w:themeColor="text1"/>
                <w:kern w:val="0"/>
                <w:szCs w:val="21"/>
                <w:lang w:val="en-US" w:eastAsia="zh-CN" w:bidi="ar"/>
                <w14:textFill>
                  <w14:solidFill>
                    <w14:schemeClr w14:val="tx1"/>
                  </w14:solidFill>
                </w14:textFill>
              </w:rPr>
              <w:t>G/kg</w:t>
            </w:r>
          </w:p>
        </w:tc>
        <w:tc>
          <w:tcPr>
            <w:tcW w:w="399" w:type="pct"/>
            <w:noWrap w:val="0"/>
            <w:vAlign w:val="center"/>
          </w:tcPr>
          <w:p w14:paraId="535BE6F6">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4.6</w:t>
            </w:r>
          </w:p>
        </w:tc>
        <w:tc>
          <w:tcPr>
            <w:tcW w:w="399" w:type="pct"/>
            <w:noWrap w:val="0"/>
            <w:vAlign w:val="center"/>
          </w:tcPr>
          <w:p w14:paraId="23613ED9">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4.0</w:t>
            </w:r>
          </w:p>
        </w:tc>
        <w:tc>
          <w:tcPr>
            <w:tcW w:w="399" w:type="pct"/>
            <w:noWrap w:val="0"/>
            <w:vAlign w:val="center"/>
          </w:tcPr>
          <w:p w14:paraId="64E46C8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3.8</w:t>
            </w:r>
          </w:p>
        </w:tc>
        <w:tc>
          <w:tcPr>
            <w:tcW w:w="399" w:type="pct"/>
            <w:shd w:val="clear" w:color="auto" w:fill="auto"/>
            <w:noWrap w:val="0"/>
            <w:vAlign w:val="center"/>
          </w:tcPr>
          <w:p w14:paraId="2CB09E7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1.9</w:t>
            </w:r>
          </w:p>
        </w:tc>
        <w:tc>
          <w:tcPr>
            <w:tcW w:w="399" w:type="pct"/>
            <w:shd w:val="clear" w:color="auto" w:fill="auto"/>
            <w:noWrap w:val="0"/>
            <w:vAlign w:val="center"/>
          </w:tcPr>
          <w:p w14:paraId="782F640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1.9</w:t>
            </w:r>
          </w:p>
        </w:tc>
        <w:tc>
          <w:tcPr>
            <w:tcW w:w="399" w:type="pct"/>
            <w:shd w:val="clear" w:color="auto" w:fill="auto"/>
            <w:noWrap w:val="0"/>
            <w:vAlign w:val="center"/>
          </w:tcPr>
          <w:p w14:paraId="0A0CD80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1.5</w:t>
            </w:r>
          </w:p>
        </w:tc>
        <w:tc>
          <w:tcPr>
            <w:tcW w:w="399" w:type="pct"/>
            <w:noWrap w:val="0"/>
            <w:vAlign w:val="center"/>
          </w:tcPr>
          <w:p w14:paraId="0142CD2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1.8</w:t>
            </w:r>
          </w:p>
        </w:tc>
        <w:tc>
          <w:tcPr>
            <w:tcW w:w="399" w:type="pct"/>
            <w:noWrap w:val="0"/>
            <w:vAlign w:val="center"/>
          </w:tcPr>
          <w:p w14:paraId="07D0D77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1.6</w:t>
            </w:r>
          </w:p>
        </w:tc>
        <w:tc>
          <w:tcPr>
            <w:tcW w:w="399" w:type="pct"/>
            <w:noWrap w:val="0"/>
            <w:vAlign w:val="center"/>
          </w:tcPr>
          <w:p w14:paraId="600A389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1.4</w:t>
            </w:r>
          </w:p>
        </w:tc>
        <w:tc>
          <w:tcPr>
            <w:tcW w:w="423" w:type="pct"/>
            <w:noWrap w:val="0"/>
            <w:vAlign w:val="center"/>
          </w:tcPr>
          <w:p w14:paraId="3B05C7AC">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w:t>
            </w:r>
          </w:p>
        </w:tc>
      </w:tr>
    </w:tbl>
    <w:p w14:paraId="5A4E1638">
      <w:pPr>
        <w:tabs>
          <w:tab w:val="left" w:pos="1129"/>
        </w:tabs>
        <w:spacing w:line="480" w:lineRule="exact"/>
        <w:jc w:val="center"/>
        <w:rPr>
          <w:rFonts w:ascii="Times New Roman" w:hAnsi="Times New Roman" w:eastAsia="宋体" w:cs="Times New Roman"/>
          <w:b/>
          <w:bCs/>
          <w:color w:val="000000" w:themeColor="text1"/>
          <w:spacing w:val="0"/>
          <w:sz w:val="24"/>
          <w:szCs w:val="24"/>
          <w14:textFill>
            <w14:solidFill>
              <w14:schemeClr w14:val="tx1"/>
            </w14:solidFill>
          </w14:textFill>
        </w:rPr>
      </w:pPr>
      <w:r>
        <w:rPr>
          <w:rFonts w:ascii="Times New Roman" w:hAnsi="Times New Roman" w:eastAsia="宋体" w:cs="Times New Roman"/>
          <w:b/>
          <w:bCs/>
          <w:color w:val="000000" w:themeColor="text1"/>
          <w:spacing w:val="0"/>
          <w:sz w:val="24"/>
          <w:szCs w:val="24"/>
          <w14:textFill>
            <w14:solidFill>
              <w14:schemeClr w14:val="tx1"/>
            </w14:solidFill>
          </w14:textFill>
        </w:rPr>
        <w:t>表4.2-</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10</w:t>
      </w:r>
      <w:r>
        <w:rPr>
          <w:rFonts w:ascii="Times New Roman" w:hAnsi="Times New Roman" w:eastAsia="宋体" w:cs="Times New Roman"/>
          <w:b/>
          <w:bCs/>
          <w:color w:val="000000" w:themeColor="text1"/>
          <w:spacing w:val="0"/>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sz w:val="24"/>
          <w:szCs w:val="24"/>
          <w14:textFill>
            <w14:solidFill>
              <w14:schemeClr w14:val="tx1"/>
            </w14:solidFill>
          </w14:textFill>
        </w:rPr>
        <w:t>项目区</w:t>
      </w:r>
      <w:r>
        <w:rPr>
          <w:rFonts w:ascii="Times New Roman" w:hAnsi="Times New Roman" w:eastAsia="宋体" w:cs="Times New Roman"/>
          <w:b/>
          <w:bCs/>
          <w:color w:val="000000" w:themeColor="text1"/>
          <w:spacing w:val="0"/>
          <w:sz w:val="24"/>
          <w:szCs w:val="24"/>
          <w14:textFill>
            <w14:solidFill>
              <w14:schemeClr w14:val="tx1"/>
            </w14:solidFill>
          </w14:textFill>
        </w:rPr>
        <w:t>内</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4-T6</w:t>
      </w:r>
      <w:r>
        <w:rPr>
          <w:rFonts w:hint="eastAsia" w:ascii="Times New Roman" w:hAnsi="Times New Roman" w:eastAsia="宋体" w:cs="Times New Roman"/>
          <w:b/>
          <w:bCs/>
          <w:color w:val="000000" w:themeColor="text1"/>
          <w:spacing w:val="0"/>
          <w:sz w:val="24"/>
          <w:szCs w:val="24"/>
          <w14:textFill>
            <w14:solidFill>
              <w14:schemeClr w14:val="tx1"/>
            </w14:solidFill>
          </w14:textFill>
        </w:rPr>
        <w:t>）</w:t>
      </w:r>
      <w:r>
        <w:rPr>
          <w:rFonts w:ascii="Times New Roman" w:hAnsi="Times New Roman" w:eastAsia="宋体" w:cs="Times New Roman"/>
          <w:b/>
          <w:bCs/>
          <w:color w:val="000000" w:themeColor="text1"/>
          <w:spacing w:val="0"/>
          <w:sz w:val="24"/>
          <w:szCs w:val="24"/>
          <w14:textFill>
            <w14:solidFill>
              <w14:schemeClr w14:val="tx1"/>
            </w14:solidFill>
          </w14:textFill>
        </w:rPr>
        <w:t>土壤环境质量现状监测及评价结果</w:t>
      </w:r>
    </w:p>
    <w:tbl>
      <w:tblPr>
        <w:tblStyle w:val="79"/>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176"/>
        <w:gridCol w:w="1200"/>
        <w:gridCol w:w="1004"/>
        <w:gridCol w:w="1216"/>
        <w:gridCol w:w="1767"/>
      </w:tblGrid>
      <w:tr w14:paraId="0A6C4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99" w:type="pct"/>
            <w:vMerge w:val="restart"/>
            <w:noWrap w:val="0"/>
            <w:vAlign w:val="center"/>
          </w:tcPr>
          <w:p w14:paraId="3F2A729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监测项目</w:t>
            </w:r>
          </w:p>
        </w:tc>
        <w:tc>
          <w:tcPr>
            <w:tcW w:w="2044" w:type="pct"/>
            <w:gridSpan w:val="3"/>
            <w:noWrap w:val="0"/>
            <w:vAlign w:val="center"/>
          </w:tcPr>
          <w:p w14:paraId="66C970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检测结果</w:t>
            </w:r>
          </w:p>
        </w:tc>
        <w:tc>
          <w:tcPr>
            <w:tcW w:w="1056" w:type="pct"/>
            <w:vMerge w:val="restart"/>
            <w:noWrap w:val="0"/>
            <w:vAlign w:val="center"/>
          </w:tcPr>
          <w:p w14:paraId="3D866F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标准值</w:t>
            </w:r>
          </w:p>
        </w:tc>
      </w:tr>
      <w:tr w14:paraId="57E67F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99" w:type="pct"/>
            <w:vMerge w:val="continue"/>
            <w:noWrap w:val="0"/>
            <w:vAlign w:val="center"/>
          </w:tcPr>
          <w:p w14:paraId="3615FC4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717" w:type="pct"/>
            <w:noWrap w:val="0"/>
            <w:vAlign w:val="center"/>
          </w:tcPr>
          <w:p w14:paraId="73F493C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T</w:t>
            </w:r>
            <w:r>
              <w:rPr>
                <w:rFonts w:hint="eastAsia" w:cs="Times New Roman"/>
                <w:b/>
                <w:bCs/>
                <w:color w:val="000000" w:themeColor="text1"/>
                <w:szCs w:val="21"/>
                <w:lang w:val="en-US" w:eastAsia="zh-CN"/>
                <w14:textFill>
                  <w14:solidFill>
                    <w14:schemeClr w14:val="tx1"/>
                  </w14:solidFill>
                </w14:textFill>
              </w:rPr>
              <w:t>4</w:t>
            </w:r>
          </w:p>
        </w:tc>
        <w:tc>
          <w:tcPr>
            <w:tcW w:w="600" w:type="pct"/>
            <w:noWrap w:val="0"/>
            <w:vAlign w:val="center"/>
          </w:tcPr>
          <w:p w14:paraId="6DA2F1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T5</w:t>
            </w:r>
          </w:p>
        </w:tc>
        <w:tc>
          <w:tcPr>
            <w:tcW w:w="727" w:type="pct"/>
            <w:noWrap w:val="0"/>
            <w:vAlign w:val="center"/>
          </w:tcPr>
          <w:p w14:paraId="6CE97EF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T6</w:t>
            </w:r>
          </w:p>
        </w:tc>
        <w:tc>
          <w:tcPr>
            <w:tcW w:w="1056" w:type="pct"/>
            <w:vMerge w:val="continue"/>
            <w:noWrap w:val="0"/>
            <w:vAlign w:val="center"/>
          </w:tcPr>
          <w:p w14:paraId="1C223E5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p>
        </w:tc>
      </w:tr>
      <w:tr w14:paraId="5BBF6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4137B02C">
            <w:pPr>
              <w:keepNext w:val="0"/>
              <w:keepLines w:val="0"/>
              <w:widowControl/>
              <w:suppressLineNumbers w:val="0"/>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pH</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无量纲</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4A95A0A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8.02</w:t>
            </w:r>
          </w:p>
        </w:tc>
        <w:tc>
          <w:tcPr>
            <w:tcW w:w="600" w:type="pct"/>
            <w:shd w:val="clear" w:color="auto" w:fill="auto"/>
            <w:noWrap w:val="0"/>
            <w:vAlign w:val="center"/>
          </w:tcPr>
          <w:p w14:paraId="2DD7FCB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8.28</w:t>
            </w:r>
          </w:p>
        </w:tc>
        <w:tc>
          <w:tcPr>
            <w:tcW w:w="727" w:type="pct"/>
            <w:shd w:val="clear" w:color="auto" w:fill="auto"/>
            <w:noWrap w:val="0"/>
            <w:vAlign w:val="center"/>
          </w:tcPr>
          <w:p w14:paraId="28F02B5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8.18</w:t>
            </w:r>
          </w:p>
        </w:tc>
        <w:tc>
          <w:tcPr>
            <w:tcW w:w="1056" w:type="pct"/>
            <w:shd w:val="clear" w:color="auto" w:fill="auto"/>
            <w:noWrap w:val="0"/>
            <w:vAlign w:val="center"/>
          </w:tcPr>
          <w:p w14:paraId="08471D04">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r>
      <w:tr w14:paraId="4030B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4B3DC23E">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含盐量</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43C17E6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3.2</w:t>
            </w:r>
          </w:p>
        </w:tc>
        <w:tc>
          <w:tcPr>
            <w:tcW w:w="600" w:type="pct"/>
            <w:shd w:val="clear" w:color="auto" w:fill="auto"/>
            <w:noWrap w:val="0"/>
            <w:vAlign w:val="center"/>
          </w:tcPr>
          <w:p w14:paraId="00F0FC2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4.0</w:t>
            </w:r>
          </w:p>
        </w:tc>
        <w:tc>
          <w:tcPr>
            <w:tcW w:w="727" w:type="pct"/>
            <w:shd w:val="clear" w:color="auto" w:fill="auto"/>
            <w:noWrap w:val="0"/>
            <w:vAlign w:val="center"/>
          </w:tcPr>
          <w:p w14:paraId="4676138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3.8</w:t>
            </w:r>
          </w:p>
        </w:tc>
        <w:tc>
          <w:tcPr>
            <w:tcW w:w="1056" w:type="pct"/>
            <w:shd w:val="clear" w:color="auto" w:fill="auto"/>
            <w:noWrap w:val="0"/>
            <w:vAlign w:val="center"/>
          </w:tcPr>
          <w:p w14:paraId="4C9C268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r w14:paraId="672F3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7DF79C49">
            <w:pPr>
              <w:keepNext w:val="0"/>
              <w:keepLines w:val="0"/>
              <w:widowControl/>
              <w:suppressLineNumbers w:val="0"/>
              <w:spacing w:before="0" w:beforeAutospacing="0" w:after="0" w:afterAutospacing="0" w:line="360" w:lineRule="exact"/>
              <w:ind w:left="0" w:leftChars="0" w:right="0" w:rightChars="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砷</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2B9B686F">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17.7</w:t>
            </w:r>
          </w:p>
        </w:tc>
        <w:tc>
          <w:tcPr>
            <w:tcW w:w="600" w:type="pct"/>
            <w:shd w:val="clear" w:color="auto" w:fill="auto"/>
            <w:noWrap w:val="0"/>
            <w:vAlign w:val="center"/>
          </w:tcPr>
          <w:p w14:paraId="71B2FD4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9.13</w:t>
            </w:r>
          </w:p>
        </w:tc>
        <w:tc>
          <w:tcPr>
            <w:tcW w:w="727" w:type="pct"/>
            <w:shd w:val="clear" w:color="auto" w:fill="auto"/>
            <w:noWrap w:val="0"/>
            <w:vAlign w:val="center"/>
          </w:tcPr>
          <w:p w14:paraId="2B38680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11.7</w:t>
            </w:r>
          </w:p>
        </w:tc>
        <w:tc>
          <w:tcPr>
            <w:tcW w:w="1056" w:type="pct"/>
            <w:shd w:val="clear" w:color="auto" w:fill="auto"/>
            <w:noWrap w:val="0"/>
            <w:vAlign w:val="center"/>
          </w:tcPr>
          <w:p w14:paraId="6F0CD96B">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60</w:t>
            </w:r>
          </w:p>
        </w:tc>
      </w:tr>
      <w:tr w14:paraId="74CD5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1544058F">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镉</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248BDF9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0.41</w:t>
            </w:r>
          </w:p>
        </w:tc>
        <w:tc>
          <w:tcPr>
            <w:tcW w:w="600" w:type="pct"/>
            <w:shd w:val="clear" w:color="auto" w:fill="auto"/>
            <w:noWrap w:val="0"/>
            <w:vAlign w:val="center"/>
          </w:tcPr>
          <w:p w14:paraId="273B075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0.12</w:t>
            </w:r>
          </w:p>
        </w:tc>
        <w:tc>
          <w:tcPr>
            <w:tcW w:w="727" w:type="pct"/>
            <w:shd w:val="clear" w:color="auto" w:fill="auto"/>
            <w:noWrap w:val="0"/>
            <w:vAlign w:val="center"/>
          </w:tcPr>
          <w:p w14:paraId="1095892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0.21</w:t>
            </w:r>
          </w:p>
        </w:tc>
        <w:tc>
          <w:tcPr>
            <w:tcW w:w="1056" w:type="pct"/>
            <w:shd w:val="clear" w:color="auto" w:fill="auto"/>
            <w:noWrap w:val="0"/>
            <w:vAlign w:val="center"/>
          </w:tcPr>
          <w:p w14:paraId="551FCCA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6</w:t>
            </w:r>
            <w:r>
              <w:rPr>
                <w:rFonts w:hint="default" w:ascii="Times New Roman" w:hAnsi="Times New Roman" w:cs="Times New Roman"/>
                <w:bCs/>
                <w:color w:val="000000" w:themeColor="text1"/>
                <w:szCs w:val="21"/>
                <w14:textFill>
                  <w14:solidFill>
                    <w14:schemeClr w14:val="tx1"/>
                  </w14:solidFill>
                </w14:textFill>
              </w:rPr>
              <w:t>5</w:t>
            </w:r>
          </w:p>
        </w:tc>
      </w:tr>
      <w:tr w14:paraId="6C83A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814BB7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六价铬</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2F0E164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&lt;0.5</w:t>
            </w:r>
          </w:p>
        </w:tc>
        <w:tc>
          <w:tcPr>
            <w:tcW w:w="600" w:type="pct"/>
            <w:shd w:val="clear" w:color="auto" w:fill="auto"/>
            <w:noWrap w:val="0"/>
            <w:vAlign w:val="center"/>
          </w:tcPr>
          <w:p w14:paraId="676B55A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&lt;0.5</w:t>
            </w:r>
          </w:p>
        </w:tc>
        <w:tc>
          <w:tcPr>
            <w:tcW w:w="727" w:type="pct"/>
            <w:shd w:val="clear" w:color="auto" w:fill="auto"/>
            <w:noWrap w:val="0"/>
            <w:vAlign w:val="center"/>
          </w:tcPr>
          <w:p w14:paraId="2D41B39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&lt;0.5</w:t>
            </w:r>
          </w:p>
        </w:tc>
        <w:tc>
          <w:tcPr>
            <w:tcW w:w="1056" w:type="pct"/>
            <w:shd w:val="clear" w:color="auto" w:fill="auto"/>
            <w:noWrap w:val="0"/>
            <w:vAlign w:val="center"/>
          </w:tcPr>
          <w:p w14:paraId="49FE29E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.7</w:t>
            </w:r>
          </w:p>
        </w:tc>
      </w:tr>
      <w:tr w14:paraId="7A8E7A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4692A17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铜</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01E7F33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34</w:t>
            </w:r>
          </w:p>
        </w:tc>
        <w:tc>
          <w:tcPr>
            <w:tcW w:w="600" w:type="pct"/>
            <w:shd w:val="clear" w:color="auto" w:fill="auto"/>
            <w:noWrap w:val="0"/>
            <w:vAlign w:val="center"/>
          </w:tcPr>
          <w:p w14:paraId="7EA0E5E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13</w:t>
            </w:r>
          </w:p>
        </w:tc>
        <w:tc>
          <w:tcPr>
            <w:tcW w:w="727" w:type="pct"/>
            <w:shd w:val="clear" w:color="auto" w:fill="auto"/>
            <w:noWrap w:val="0"/>
            <w:vAlign w:val="center"/>
          </w:tcPr>
          <w:p w14:paraId="0F7B53A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18</w:t>
            </w:r>
          </w:p>
        </w:tc>
        <w:tc>
          <w:tcPr>
            <w:tcW w:w="1056" w:type="pct"/>
            <w:shd w:val="clear" w:color="auto" w:fill="auto"/>
            <w:noWrap w:val="0"/>
            <w:vAlign w:val="center"/>
          </w:tcPr>
          <w:p w14:paraId="2495EA46">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18000</w:t>
            </w:r>
          </w:p>
        </w:tc>
      </w:tr>
      <w:tr w14:paraId="1A77C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331037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铅</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1C2596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6.7</w:t>
            </w:r>
          </w:p>
        </w:tc>
        <w:tc>
          <w:tcPr>
            <w:tcW w:w="600" w:type="pct"/>
            <w:shd w:val="clear" w:color="auto" w:fill="auto"/>
            <w:noWrap w:val="0"/>
            <w:vAlign w:val="center"/>
          </w:tcPr>
          <w:p w14:paraId="25016E3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8.5</w:t>
            </w:r>
          </w:p>
        </w:tc>
        <w:tc>
          <w:tcPr>
            <w:tcW w:w="727" w:type="pct"/>
            <w:shd w:val="clear" w:color="auto" w:fill="auto"/>
            <w:noWrap w:val="0"/>
            <w:vAlign w:val="center"/>
          </w:tcPr>
          <w:p w14:paraId="6FD9800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14.4</w:t>
            </w:r>
          </w:p>
        </w:tc>
        <w:tc>
          <w:tcPr>
            <w:tcW w:w="1056" w:type="pct"/>
            <w:shd w:val="clear" w:color="auto" w:fill="auto"/>
            <w:noWrap w:val="0"/>
            <w:vAlign w:val="center"/>
          </w:tcPr>
          <w:p w14:paraId="51C71F36">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8</w:t>
            </w:r>
            <w:r>
              <w:rPr>
                <w:rFonts w:hint="default" w:ascii="Times New Roman" w:hAnsi="Times New Roman" w:cs="Times New Roman"/>
                <w:bCs/>
                <w:color w:val="000000" w:themeColor="text1"/>
                <w:szCs w:val="21"/>
                <w14:textFill>
                  <w14:solidFill>
                    <w14:schemeClr w14:val="tx1"/>
                  </w14:solidFill>
                </w14:textFill>
              </w:rPr>
              <w:t>00</w:t>
            </w:r>
          </w:p>
        </w:tc>
      </w:tr>
      <w:tr w14:paraId="1EA167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154E01B3">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汞</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D73EBE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0.840</w:t>
            </w:r>
          </w:p>
        </w:tc>
        <w:tc>
          <w:tcPr>
            <w:tcW w:w="600" w:type="pct"/>
            <w:shd w:val="clear" w:color="auto" w:fill="auto"/>
            <w:noWrap w:val="0"/>
            <w:vAlign w:val="center"/>
          </w:tcPr>
          <w:p w14:paraId="5AF90E8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0.550</w:t>
            </w:r>
          </w:p>
        </w:tc>
        <w:tc>
          <w:tcPr>
            <w:tcW w:w="727" w:type="pct"/>
            <w:shd w:val="clear" w:color="auto" w:fill="auto"/>
            <w:noWrap w:val="0"/>
            <w:vAlign w:val="center"/>
          </w:tcPr>
          <w:p w14:paraId="4F87552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1.07</w:t>
            </w:r>
          </w:p>
        </w:tc>
        <w:tc>
          <w:tcPr>
            <w:tcW w:w="1056" w:type="pct"/>
            <w:shd w:val="clear" w:color="auto" w:fill="auto"/>
            <w:noWrap w:val="0"/>
            <w:vAlign w:val="center"/>
          </w:tcPr>
          <w:p w14:paraId="3AD33E24">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3</w:t>
            </w:r>
            <w:r>
              <w:rPr>
                <w:rFonts w:hint="default" w:ascii="Times New Roman" w:hAnsi="Times New Roman" w:cs="Times New Roman"/>
                <w:bCs/>
                <w:color w:val="000000" w:themeColor="text1"/>
                <w:szCs w:val="21"/>
                <w14:textFill>
                  <w14:solidFill>
                    <w14:schemeClr w14:val="tx1"/>
                  </w14:solidFill>
                </w14:textFill>
              </w:rPr>
              <w:t>8</w:t>
            </w:r>
          </w:p>
        </w:tc>
      </w:tr>
      <w:tr w14:paraId="2F3632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4CB1193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镍</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6B2044B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18</w:t>
            </w:r>
          </w:p>
        </w:tc>
        <w:tc>
          <w:tcPr>
            <w:tcW w:w="600" w:type="pct"/>
            <w:shd w:val="clear" w:color="auto" w:fill="auto"/>
            <w:noWrap w:val="0"/>
            <w:vAlign w:val="center"/>
          </w:tcPr>
          <w:p w14:paraId="3CB4CEE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727" w:type="pct"/>
            <w:shd w:val="clear" w:color="auto" w:fill="auto"/>
            <w:noWrap w:val="0"/>
            <w:vAlign w:val="center"/>
          </w:tcPr>
          <w:p w14:paraId="4AC62AF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23</w:t>
            </w:r>
          </w:p>
        </w:tc>
        <w:tc>
          <w:tcPr>
            <w:tcW w:w="1056" w:type="pct"/>
            <w:shd w:val="clear" w:color="auto" w:fill="auto"/>
            <w:noWrap w:val="0"/>
            <w:vAlign w:val="center"/>
          </w:tcPr>
          <w:p w14:paraId="72D2A10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00</w:t>
            </w:r>
          </w:p>
        </w:tc>
      </w:tr>
      <w:tr w14:paraId="7B583F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74442AD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四氯化碳</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D29071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1.3</w:t>
            </w:r>
          </w:p>
        </w:tc>
        <w:tc>
          <w:tcPr>
            <w:tcW w:w="600" w:type="pct"/>
            <w:shd w:val="clear" w:color="auto" w:fill="auto"/>
            <w:noWrap w:val="0"/>
            <w:vAlign w:val="center"/>
          </w:tcPr>
          <w:p w14:paraId="3B179AC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33A88A2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7A57449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r>
      <w:tr w14:paraId="390DAA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899" w:type="pct"/>
            <w:shd w:val="clear" w:color="auto" w:fill="auto"/>
            <w:noWrap w:val="0"/>
            <w:vAlign w:val="center"/>
          </w:tcPr>
          <w:p w14:paraId="6973521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氯仿</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534616C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1.1</w:t>
            </w:r>
          </w:p>
        </w:tc>
        <w:tc>
          <w:tcPr>
            <w:tcW w:w="600" w:type="pct"/>
            <w:shd w:val="clear" w:color="auto" w:fill="auto"/>
            <w:noWrap w:val="0"/>
            <w:vAlign w:val="center"/>
          </w:tcPr>
          <w:p w14:paraId="0D73B4C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7BC8DB7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32225E4F">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0.9</w:t>
            </w:r>
          </w:p>
        </w:tc>
      </w:tr>
      <w:tr w14:paraId="0AC68C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noWrap w:val="0"/>
            <w:vAlign w:val="center"/>
          </w:tcPr>
          <w:p w14:paraId="0034BBFB">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氯甲烷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0AF9CA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1.0</w:t>
            </w:r>
          </w:p>
        </w:tc>
        <w:tc>
          <w:tcPr>
            <w:tcW w:w="600" w:type="pct"/>
            <w:shd w:val="clear" w:color="auto" w:fill="auto"/>
            <w:noWrap w:val="0"/>
            <w:vAlign w:val="center"/>
          </w:tcPr>
          <w:p w14:paraId="05260DC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6731F2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noWrap w:val="0"/>
            <w:vAlign w:val="center"/>
          </w:tcPr>
          <w:p w14:paraId="1D0F9C7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37</w:t>
            </w:r>
          </w:p>
        </w:tc>
      </w:tr>
      <w:tr w14:paraId="68837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noWrap w:val="0"/>
            <w:vAlign w:val="center"/>
          </w:tcPr>
          <w:p w14:paraId="56871CB9">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氯乙烯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29BEC53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1.0</w:t>
            </w:r>
          </w:p>
        </w:tc>
        <w:tc>
          <w:tcPr>
            <w:tcW w:w="600" w:type="pct"/>
            <w:shd w:val="clear" w:color="auto" w:fill="auto"/>
            <w:noWrap w:val="0"/>
            <w:vAlign w:val="center"/>
          </w:tcPr>
          <w:p w14:paraId="60FD248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3FACB4F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noWrap w:val="0"/>
            <w:vAlign w:val="center"/>
          </w:tcPr>
          <w:p w14:paraId="32C6DCB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0.43</w:t>
            </w:r>
          </w:p>
        </w:tc>
      </w:tr>
      <w:tr w14:paraId="301ABE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noWrap w:val="0"/>
            <w:vAlign w:val="center"/>
          </w:tcPr>
          <w:p w14:paraId="39BC4E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1，1-二氯乙烯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2701EAB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1.0</w:t>
            </w:r>
          </w:p>
        </w:tc>
        <w:tc>
          <w:tcPr>
            <w:tcW w:w="600" w:type="pct"/>
            <w:shd w:val="clear" w:color="auto" w:fill="auto"/>
            <w:noWrap w:val="0"/>
            <w:vAlign w:val="center"/>
          </w:tcPr>
          <w:p w14:paraId="3E2CE81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72949F1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noWrap w:val="0"/>
            <w:vAlign w:val="center"/>
          </w:tcPr>
          <w:p w14:paraId="371326F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66</w:t>
            </w:r>
          </w:p>
        </w:tc>
      </w:tr>
      <w:tr w14:paraId="68BD8A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noWrap w:val="0"/>
            <w:vAlign w:val="center"/>
          </w:tcPr>
          <w:p w14:paraId="40904038">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二氯甲烷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605A4C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1.5</w:t>
            </w:r>
          </w:p>
        </w:tc>
        <w:tc>
          <w:tcPr>
            <w:tcW w:w="600" w:type="pct"/>
            <w:shd w:val="clear" w:color="auto" w:fill="auto"/>
            <w:noWrap w:val="0"/>
            <w:vAlign w:val="center"/>
          </w:tcPr>
          <w:p w14:paraId="5CD3687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6F87617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noWrap w:val="0"/>
            <w:vAlign w:val="center"/>
          </w:tcPr>
          <w:p w14:paraId="062B58D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616</w:t>
            </w:r>
          </w:p>
        </w:tc>
      </w:tr>
      <w:tr w14:paraId="72EC44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noWrap w:val="0"/>
            <w:vAlign w:val="center"/>
          </w:tcPr>
          <w:p w14:paraId="34B25CE5">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反-1,2-二氯乙烯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7B98285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1.4</w:t>
            </w:r>
          </w:p>
        </w:tc>
        <w:tc>
          <w:tcPr>
            <w:tcW w:w="600" w:type="pct"/>
            <w:shd w:val="clear" w:color="auto" w:fill="auto"/>
            <w:noWrap w:val="0"/>
            <w:vAlign w:val="center"/>
          </w:tcPr>
          <w:p w14:paraId="2F91CB8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69B14DE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noWrap w:val="0"/>
            <w:vAlign w:val="center"/>
          </w:tcPr>
          <w:p w14:paraId="7A8ABC2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54</w:t>
            </w:r>
          </w:p>
        </w:tc>
      </w:tr>
      <w:tr w14:paraId="14C109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noWrap w:val="0"/>
            <w:vAlign w:val="center"/>
          </w:tcPr>
          <w:p w14:paraId="57A864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1,1-二氯乙烷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072BA1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1C37F74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1E2691E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noWrap w:val="0"/>
            <w:vAlign w:val="center"/>
          </w:tcPr>
          <w:p w14:paraId="1755D60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w:t>
            </w:r>
          </w:p>
        </w:tc>
      </w:tr>
      <w:tr w14:paraId="748AEA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noWrap w:val="0"/>
            <w:vAlign w:val="center"/>
          </w:tcPr>
          <w:p w14:paraId="52EC17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顺-1,2-二氯乙烯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6E2A73D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1.3</w:t>
            </w:r>
          </w:p>
        </w:tc>
        <w:tc>
          <w:tcPr>
            <w:tcW w:w="600" w:type="pct"/>
            <w:shd w:val="clear" w:color="auto" w:fill="auto"/>
            <w:noWrap w:val="0"/>
            <w:vAlign w:val="center"/>
          </w:tcPr>
          <w:p w14:paraId="0B84298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8BF4A1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noWrap w:val="0"/>
            <w:vAlign w:val="center"/>
          </w:tcPr>
          <w:p w14:paraId="50D73D8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596</w:t>
            </w:r>
          </w:p>
        </w:tc>
      </w:tr>
      <w:tr w14:paraId="0019DA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53ADB073">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1,1,1-三氯乙烷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67F4102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1.3</w:t>
            </w:r>
          </w:p>
        </w:tc>
        <w:tc>
          <w:tcPr>
            <w:tcW w:w="600" w:type="pct"/>
            <w:shd w:val="clear" w:color="auto" w:fill="auto"/>
            <w:noWrap w:val="0"/>
            <w:vAlign w:val="center"/>
          </w:tcPr>
          <w:p w14:paraId="0D8C3C8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636E616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70FE75F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840</w:t>
            </w:r>
          </w:p>
        </w:tc>
      </w:tr>
      <w:tr w14:paraId="041E0A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6E4F9B9">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6D30698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1.9</w:t>
            </w:r>
          </w:p>
        </w:tc>
        <w:tc>
          <w:tcPr>
            <w:tcW w:w="600" w:type="pct"/>
            <w:shd w:val="clear" w:color="auto" w:fill="auto"/>
            <w:noWrap w:val="0"/>
            <w:vAlign w:val="center"/>
          </w:tcPr>
          <w:p w14:paraId="419742E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597F77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32A1F56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w:t>
            </w:r>
          </w:p>
        </w:tc>
      </w:tr>
      <w:tr w14:paraId="6AE64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404015A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1,2-二氯乙烷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57B3EAA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1.3</w:t>
            </w:r>
          </w:p>
        </w:tc>
        <w:tc>
          <w:tcPr>
            <w:tcW w:w="600" w:type="pct"/>
            <w:shd w:val="clear" w:color="auto" w:fill="auto"/>
            <w:noWrap w:val="0"/>
            <w:vAlign w:val="center"/>
          </w:tcPr>
          <w:p w14:paraId="7DF7D4D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492B144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51F035A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w:t>
            </w:r>
          </w:p>
        </w:tc>
      </w:tr>
      <w:tr w14:paraId="72CE8F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DF56872">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三氯乙烯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4E5979A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5343917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0BBA654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678D552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r>
      <w:tr w14:paraId="70AF2A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59AC1DF">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甲苯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BB8822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1.3</w:t>
            </w:r>
          </w:p>
        </w:tc>
        <w:tc>
          <w:tcPr>
            <w:tcW w:w="600" w:type="pct"/>
            <w:shd w:val="clear" w:color="auto" w:fill="auto"/>
            <w:noWrap w:val="0"/>
            <w:vAlign w:val="center"/>
          </w:tcPr>
          <w:p w14:paraId="09EE7ED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4FE34E7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32CD288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1200</w:t>
            </w:r>
          </w:p>
        </w:tc>
      </w:tr>
      <w:tr w14:paraId="6A0207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5C062F85">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1,2-二氯丙烷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F7C335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1.1</w:t>
            </w:r>
          </w:p>
        </w:tc>
        <w:tc>
          <w:tcPr>
            <w:tcW w:w="600" w:type="pct"/>
            <w:shd w:val="clear" w:color="auto" w:fill="auto"/>
            <w:noWrap w:val="0"/>
            <w:vAlign w:val="center"/>
          </w:tcPr>
          <w:p w14:paraId="04C208C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58B98BF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5C7A3BB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w:t>
            </w:r>
          </w:p>
        </w:tc>
      </w:tr>
      <w:tr w14:paraId="076695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5F9FD09">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四氯乙烯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78096A8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1.4</w:t>
            </w:r>
          </w:p>
        </w:tc>
        <w:tc>
          <w:tcPr>
            <w:tcW w:w="600" w:type="pct"/>
            <w:shd w:val="clear" w:color="auto" w:fill="auto"/>
            <w:noWrap w:val="0"/>
            <w:vAlign w:val="center"/>
          </w:tcPr>
          <w:p w14:paraId="7C9B9F7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31338EA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5F5513A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53</w:t>
            </w:r>
          </w:p>
        </w:tc>
      </w:tr>
      <w:tr w14:paraId="7A0C91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06B0E0B">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1,1,2-三氯乙烷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2DF5DD5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0865A6B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DF1D46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7CEDA26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r>
      <w:tr w14:paraId="3E1E40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2F82B319">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氯苯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3E7707A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2F9B588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509C302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4886C1B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270</w:t>
            </w:r>
          </w:p>
        </w:tc>
      </w:tr>
      <w:tr w14:paraId="300579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7006C68">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1,1,1,2-四氯乙烷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4890EAE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536C6EF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78F200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760003A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10</w:t>
            </w:r>
          </w:p>
        </w:tc>
      </w:tr>
      <w:tr w14:paraId="6D7766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25A84BCE">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乙苯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277A955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1F3176D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0D68B58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0584B4B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28</w:t>
            </w:r>
          </w:p>
        </w:tc>
      </w:tr>
      <w:tr w14:paraId="11656D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5CFC1EF9">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间二甲苯+对二甲苯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71B00D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76DD4C2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46A4B40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237EF4F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570</w:t>
            </w:r>
          </w:p>
        </w:tc>
      </w:tr>
      <w:tr w14:paraId="6BE2BD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6EE12F0E">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邻二甲苯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53097D6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79A9F68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566C7A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7B672B8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640</w:t>
            </w:r>
          </w:p>
        </w:tc>
      </w:tr>
      <w:tr w14:paraId="6003EA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4797C939">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苯乙烯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486C720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1.1</w:t>
            </w:r>
          </w:p>
        </w:tc>
        <w:tc>
          <w:tcPr>
            <w:tcW w:w="600" w:type="pct"/>
            <w:shd w:val="clear" w:color="auto" w:fill="auto"/>
            <w:noWrap w:val="0"/>
            <w:vAlign w:val="center"/>
          </w:tcPr>
          <w:p w14:paraId="65738CF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48E1F53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59CAA48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1290</w:t>
            </w:r>
          </w:p>
        </w:tc>
      </w:tr>
      <w:tr w14:paraId="6D2004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35E5DBF">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1,1,2,2-四氯乙烷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05FCE2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33B69DA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3009644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400B724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6.8</w:t>
            </w:r>
          </w:p>
        </w:tc>
      </w:tr>
      <w:tr w14:paraId="0DFC68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18F1924E">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1,2,3-三氯丙烷</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61DD98A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1.2</w:t>
            </w:r>
          </w:p>
        </w:tc>
        <w:tc>
          <w:tcPr>
            <w:tcW w:w="600" w:type="pct"/>
            <w:shd w:val="clear" w:color="auto" w:fill="auto"/>
            <w:noWrap w:val="0"/>
            <w:vAlign w:val="center"/>
          </w:tcPr>
          <w:p w14:paraId="5DB6443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B703DA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7792497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0.5</w:t>
            </w:r>
          </w:p>
        </w:tc>
      </w:tr>
      <w:tr w14:paraId="15ADF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6E6B3552">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1,4-二氯苯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61F7A9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1.5</w:t>
            </w:r>
          </w:p>
        </w:tc>
        <w:tc>
          <w:tcPr>
            <w:tcW w:w="600" w:type="pct"/>
            <w:shd w:val="clear" w:color="auto" w:fill="auto"/>
            <w:noWrap w:val="0"/>
            <w:vAlign w:val="center"/>
          </w:tcPr>
          <w:p w14:paraId="06852AD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0F16442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6A2FC47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w:t>
            </w:r>
          </w:p>
        </w:tc>
      </w:tr>
      <w:tr w14:paraId="2A39B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5E3B157F">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1,2-二氯苯</w:t>
            </w:r>
            <w:r>
              <w:rPr>
                <w:rFonts w:hint="eastAsia" w:cs="Times New Roman"/>
                <w:bCs/>
                <w:color w:val="000000" w:themeColor="text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13DB5C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Cs w:val="21"/>
                <w:lang w:val="en-US" w:eastAsia="zh-CN"/>
                <w14:textFill>
                  <w14:solidFill>
                    <w14:schemeClr w14:val="tx1"/>
                  </w14:solidFill>
                </w14:textFill>
              </w:rPr>
              <w:t>1.5</w:t>
            </w:r>
          </w:p>
        </w:tc>
        <w:tc>
          <w:tcPr>
            <w:tcW w:w="600" w:type="pct"/>
            <w:shd w:val="clear" w:color="auto" w:fill="auto"/>
            <w:noWrap w:val="0"/>
            <w:vAlign w:val="center"/>
          </w:tcPr>
          <w:p w14:paraId="5AC7D19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5FA4B6A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35A5FF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560</w:t>
            </w:r>
          </w:p>
        </w:tc>
      </w:tr>
      <w:tr w14:paraId="03F501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2FADBEE9">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苯胺</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B16106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&lt;0.08</w:t>
            </w:r>
          </w:p>
        </w:tc>
        <w:tc>
          <w:tcPr>
            <w:tcW w:w="600" w:type="pct"/>
            <w:shd w:val="clear" w:color="auto" w:fill="auto"/>
            <w:noWrap w:val="0"/>
            <w:vAlign w:val="center"/>
          </w:tcPr>
          <w:p w14:paraId="3308F75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55B0BEE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5C3B91D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260</w:t>
            </w:r>
          </w:p>
        </w:tc>
      </w:tr>
      <w:tr w14:paraId="67F708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51CA9D50">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2-氯酚</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7B95078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&lt;0.06</w:t>
            </w:r>
          </w:p>
        </w:tc>
        <w:tc>
          <w:tcPr>
            <w:tcW w:w="600" w:type="pct"/>
            <w:shd w:val="clear" w:color="auto" w:fill="auto"/>
            <w:noWrap w:val="0"/>
            <w:vAlign w:val="center"/>
          </w:tcPr>
          <w:p w14:paraId="7DC4B50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36E665F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558642A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2256</w:t>
            </w:r>
          </w:p>
        </w:tc>
      </w:tr>
      <w:tr w14:paraId="42FADB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25D5BDFF">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硝基苯</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624B423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&lt;0.09</w:t>
            </w:r>
          </w:p>
        </w:tc>
        <w:tc>
          <w:tcPr>
            <w:tcW w:w="600" w:type="pct"/>
            <w:shd w:val="clear" w:color="auto" w:fill="auto"/>
            <w:noWrap w:val="0"/>
            <w:vAlign w:val="center"/>
          </w:tcPr>
          <w:p w14:paraId="39507A0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B29F73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44AA4FB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76</w:t>
            </w:r>
          </w:p>
        </w:tc>
      </w:tr>
      <w:tr w14:paraId="7C46FF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21162948">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萘</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2D65276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&lt;0.09</w:t>
            </w:r>
          </w:p>
        </w:tc>
        <w:tc>
          <w:tcPr>
            <w:tcW w:w="600" w:type="pct"/>
            <w:shd w:val="clear" w:color="auto" w:fill="auto"/>
            <w:noWrap w:val="0"/>
            <w:vAlign w:val="center"/>
          </w:tcPr>
          <w:p w14:paraId="5E7EB4C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71A3DAA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30EB554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70</w:t>
            </w:r>
          </w:p>
        </w:tc>
      </w:tr>
      <w:tr w14:paraId="43637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0F1B3AF0">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苯并[a]蒽</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3919340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&lt;0.1</w:t>
            </w:r>
          </w:p>
        </w:tc>
        <w:tc>
          <w:tcPr>
            <w:tcW w:w="600" w:type="pct"/>
            <w:shd w:val="clear" w:color="auto" w:fill="auto"/>
            <w:noWrap w:val="0"/>
            <w:vAlign w:val="center"/>
          </w:tcPr>
          <w:p w14:paraId="769DF21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FF37BF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306F281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r>
      <w:tr w14:paraId="254D87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2B849B10">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䓛</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00A7D49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&lt;0.1</w:t>
            </w:r>
          </w:p>
        </w:tc>
        <w:tc>
          <w:tcPr>
            <w:tcW w:w="600" w:type="pct"/>
            <w:shd w:val="clear" w:color="auto" w:fill="auto"/>
            <w:noWrap w:val="0"/>
            <w:vAlign w:val="center"/>
          </w:tcPr>
          <w:p w14:paraId="7ACAFC5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66A5160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4129014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1293</w:t>
            </w:r>
          </w:p>
        </w:tc>
      </w:tr>
      <w:tr w14:paraId="5B613F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10745BD0">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苯并[b]荧蒽</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441F701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&lt;0.2</w:t>
            </w:r>
          </w:p>
        </w:tc>
        <w:tc>
          <w:tcPr>
            <w:tcW w:w="600" w:type="pct"/>
            <w:shd w:val="clear" w:color="auto" w:fill="auto"/>
            <w:noWrap w:val="0"/>
            <w:vAlign w:val="center"/>
          </w:tcPr>
          <w:p w14:paraId="6C050D0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381E214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617629A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r>
      <w:tr w14:paraId="71BA0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361349F6">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苯并[k]荧蒽</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4AA15E0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&lt;0.1</w:t>
            </w:r>
          </w:p>
        </w:tc>
        <w:tc>
          <w:tcPr>
            <w:tcW w:w="600" w:type="pct"/>
            <w:shd w:val="clear" w:color="auto" w:fill="auto"/>
            <w:noWrap w:val="0"/>
            <w:vAlign w:val="center"/>
          </w:tcPr>
          <w:p w14:paraId="3BCDF67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5A34745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3E15694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151</w:t>
            </w:r>
          </w:p>
        </w:tc>
      </w:tr>
      <w:tr w14:paraId="27697F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1FC49D84">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苯并[a]芘</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0FFCF87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&lt;0.1</w:t>
            </w:r>
          </w:p>
        </w:tc>
        <w:tc>
          <w:tcPr>
            <w:tcW w:w="600" w:type="pct"/>
            <w:shd w:val="clear" w:color="auto" w:fill="auto"/>
            <w:noWrap w:val="0"/>
            <w:vAlign w:val="center"/>
          </w:tcPr>
          <w:p w14:paraId="75535CE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6079E1D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5B5E2B8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r>
      <w:tr w14:paraId="18D8A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2F3B5A42">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茚并[1、2、3-cd]芘</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1711CCE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&lt;0.1</w:t>
            </w:r>
          </w:p>
        </w:tc>
        <w:tc>
          <w:tcPr>
            <w:tcW w:w="600" w:type="pct"/>
            <w:shd w:val="clear" w:color="auto" w:fill="auto"/>
            <w:noWrap w:val="0"/>
            <w:vAlign w:val="center"/>
          </w:tcPr>
          <w:p w14:paraId="11C7F16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346D126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6BD78EB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r>
      <w:tr w14:paraId="170D08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9" w:type="pct"/>
            <w:shd w:val="clear" w:color="auto" w:fill="auto"/>
            <w:noWrap w:val="0"/>
            <w:vAlign w:val="center"/>
          </w:tcPr>
          <w:p w14:paraId="370CD2B0">
            <w:pPr>
              <w:keepNext w:val="0"/>
              <w:keepLines w:val="0"/>
              <w:widowControl/>
              <w:suppressLineNumbers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二苯并</w:t>
            </w:r>
            <w:r>
              <w:rPr>
                <w:rFonts w:hint="default" w:ascii="Times New Roman" w:hAnsi="Times New Roman" w:cs="Times New Roman"/>
                <w:color w:val="000000" w:themeColor="text1"/>
                <w:szCs w:val="21"/>
                <w14:textFill>
                  <w14:solidFill>
                    <w14:schemeClr w14:val="tx1"/>
                  </w14:solidFill>
                </w14:textFill>
              </w:rPr>
              <w:t>[a，h]蒽</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717" w:type="pct"/>
            <w:shd w:val="clear" w:color="auto" w:fill="auto"/>
            <w:noWrap w:val="0"/>
            <w:vAlign w:val="center"/>
          </w:tcPr>
          <w:p w14:paraId="542DB92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&lt;0.1</w:t>
            </w:r>
          </w:p>
        </w:tc>
        <w:tc>
          <w:tcPr>
            <w:tcW w:w="600" w:type="pct"/>
            <w:shd w:val="clear" w:color="auto" w:fill="auto"/>
            <w:noWrap w:val="0"/>
            <w:vAlign w:val="center"/>
          </w:tcPr>
          <w:p w14:paraId="01E7619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727" w:type="pct"/>
            <w:shd w:val="clear" w:color="auto" w:fill="auto"/>
            <w:noWrap w:val="0"/>
            <w:vAlign w:val="center"/>
          </w:tcPr>
          <w:p w14:paraId="2FA0093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1056" w:type="pct"/>
            <w:shd w:val="clear" w:color="auto" w:fill="auto"/>
            <w:noWrap w:val="0"/>
            <w:vAlign w:val="center"/>
          </w:tcPr>
          <w:p w14:paraId="4952DD4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r>
    </w:tbl>
    <w:p w14:paraId="179073E9">
      <w:pPr>
        <w:tabs>
          <w:tab w:val="left" w:pos="1129"/>
        </w:tabs>
        <w:spacing w:line="480" w:lineRule="exact"/>
        <w:jc w:val="center"/>
        <w:rPr>
          <w:b/>
          <w:bCs/>
          <w:color w:val="000000" w:themeColor="text1"/>
          <w:spacing w:val="-10"/>
          <w:sz w:val="24"/>
          <w:szCs w:val="24"/>
          <w14:textFill>
            <w14:solidFill>
              <w14:schemeClr w14:val="tx1"/>
            </w14:solidFill>
          </w14:textFill>
        </w:rPr>
      </w:pPr>
    </w:p>
    <w:p w14:paraId="0A57EC1E">
      <w:pPr>
        <w:tabs>
          <w:tab w:val="left" w:pos="1129"/>
        </w:tabs>
        <w:spacing w:line="480" w:lineRule="exact"/>
        <w:jc w:val="center"/>
        <w:rPr>
          <w:b/>
          <w:bCs/>
          <w:color w:val="000000" w:themeColor="text1"/>
          <w:spacing w:val="-10"/>
          <w:sz w:val="24"/>
          <w:szCs w:val="24"/>
          <w14:textFill>
            <w14:solidFill>
              <w14:schemeClr w14:val="tx1"/>
            </w14:solidFill>
          </w14:textFill>
        </w:rPr>
      </w:pPr>
    </w:p>
    <w:p w14:paraId="115AB905">
      <w:pPr>
        <w:tabs>
          <w:tab w:val="left" w:pos="1129"/>
        </w:tabs>
        <w:spacing w:line="480" w:lineRule="exact"/>
        <w:jc w:val="center"/>
        <w:rPr>
          <w:color w:val="000000" w:themeColor="text1"/>
          <w:spacing w:val="0"/>
          <w:sz w:val="24"/>
          <w:szCs w:val="24"/>
          <w14:textFill>
            <w14:solidFill>
              <w14:schemeClr w14:val="tx1"/>
            </w14:solidFill>
          </w14:textFill>
        </w:rPr>
      </w:pPr>
      <w:r>
        <w:rPr>
          <w:b/>
          <w:bCs/>
          <w:color w:val="000000" w:themeColor="text1"/>
          <w:spacing w:val="0"/>
          <w:sz w:val="24"/>
          <w:szCs w:val="24"/>
          <w14:textFill>
            <w14:solidFill>
              <w14:schemeClr w14:val="tx1"/>
            </w14:solidFill>
          </w14:textFill>
        </w:rPr>
        <w:t>表</w:t>
      </w:r>
      <w:r>
        <w:rPr>
          <w:rFonts w:eastAsia="Cambria"/>
          <w:b/>
          <w:bCs/>
          <w:color w:val="000000" w:themeColor="text1"/>
          <w:spacing w:val="0"/>
          <w:sz w:val="24"/>
          <w:szCs w:val="24"/>
          <w14:textFill>
            <w14:solidFill>
              <w14:schemeClr w14:val="tx1"/>
            </w14:solidFill>
          </w14:textFill>
        </w:rPr>
        <w:t>4.</w:t>
      </w:r>
      <w:r>
        <w:rPr>
          <w:b/>
          <w:bCs/>
          <w:color w:val="000000" w:themeColor="text1"/>
          <w:spacing w:val="0"/>
          <w:sz w:val="24"/>
          <w:szCs w:val="24"/>
          <w14:textFill>
            <w14:solidFill>
              <w14:schemeClr w14:val="tx1"/>
            </w14:solidFill>
          </w14:textFill>
        </w:rPr>
        <w:t>2-</w:t>
      </w:r>
      <w:r>
        <w:rPr>
          <w:rFonts w:hint="eastAsia"/>
          <w:b/>
          <w:bCs/>
          <w:color w:val="000000" w:themeColor="text1"/>
          <w:spacing w:val="0"/>
          <w:sz w:val="24"/>
          <w:szCs w:val="24"/>
          <w14:textFill>
            <w14:solidFill>
              <w14:schemeClr w14:val="tx1"/>
            </w14:solidFill>
          </w14:textFill>
        </w:rPr>
        <w:t>1</w:t>
      </w:r>
      <w:r>
        <w:rPr>
          <w:b/>
          <w:bCs/>
          <w:color w:val="000000" w:themeColor="text1"/>
          <w:spacing w:val="0"/>
          <w:sz w:val="24"/>
          <w:szCs w:val="24"/>
          <w14:textFill>
            <w14:solidFill>
              <w14:schemeClr w14:val="tx1"/>
            </w14:solidFill>
          </w14:textFill>
        </w:rPr>
        <w:t xml:space="preserve">1    </w:t>
      </w:r>
      <w:r>
        <w:rPr>
          <w:rFonts w:hint="eastAsia"/>
          <w:b/>
          <w:bCs/>
          <w:color w:val="000000" w:themeColor="text1"/>
          <w:spacing w:val="0"/>
          <w:sz w:val="24"/>
          <w:szCs w:val="24"/>
          <w14:textFill>
            <w14:solidFill>
              <w14:schemeClr w14:val="tx1"/>
            </w14:solidFill>
          </w14:textFill>
        </w:rPr>
        <w:t>项目区</w:t>
      </w:r>
      <w:r>
        <w:rPr>
          <w:rFonts w:hint="eastAsia"/>
          <w:b/>
          <w:bCs/>
          <w:color w:val="000000" w:themeColor="text1"/>
          <w:spacing w:val="0"/>
          <w:sz w:val="24"/>
          <w:szCs w:val="24"/>
          <w:lang w:val="en-US" w:eastAsia="zh-CN"/>
          <w14:textFill>
            <w14:solidFill>
              <w14:schemeClr w14:val="tx1"/>
            </w14:solidFill>
          </w14:textFill>
        </w:rPr>
        <w:t>外</w:t>
      </w:r>
      <w:r>
        <w:rPr>
          <w:rFonts w:hint="eastAsia"/>
          <w:b/>
          <w:bCs/>
          <w:color w:val="000000" w:themeColor="text1"/>
          <w:spacing w:val="0"/>
          <w:sz w:val="24"/>
          <w:szCs w:val="24"/>
          <w14:textFill>
            <w14:solidFill>
              <w14:schemeClr w14:val="tx1"/>
            </w14:solidFill>
          </w14:textFill>
        </w:rPr>
        <w:t>（T</w:t>
      </w:r>
      <w:r>
        <w:rPr>
          <w:rFonts w:hint="eastAsia"/>
          <w:b/>
          <w:bCs/>
          <w:color w:val="000000" w:themeColor="text1"/>
          <w:spacing w:val="0"/>
          <w:sz w:val="24"/>
          <w:szCs w:val="24"/>
          <w:lang w:val="en-US" w:eastAsia="zh-CN"/>
          <w14:textFill>
            <w14:solidFill>
              <w14:schemeClr w14:val="tx1"/>
            </w14:solidFill>
          </w14:textFill>
        </w:rPr>
        <w:t>7</w:t>
      </w:r>
      <w:r>
        <w:rPr>
          <w:b/>
          <w:bCs/>
          <w:color w:val="000000" w:themeColor="text1"/>
          <w:spacing w:val="0"/>
          <w:sz w:val="24"/>
          <w:szCs w:val="24"/>
          <w14:textFill>
            <w14:solidFill>
              <w14:schemeClr w14:val="tx1"/>
            </w14:solidFill>
          </w14:textFill>
        </w:rPr>
        <w:t>-</w:t>
      </w:r>
      <w:r>
        <w:rPr>
          <w:rFonts w:hint="eastAsia"/>
          <w:b/>
          <w:bCs/>
          <w:color w:val="000000" w:themeColor="text1"/>
          <w:spacing w:val="0"/>
          <w:sz w:val="24"/>
          <w:szCs w:val="24"/>
          <w:lang w:val="en-US" w:eastAsia="zh-CN"/>
          <w14:textFill>
            <w14:solidFill>
              <w14:schemeClr w14:val="tx1"/>
            </w14:solidFill>
          </w14:textFill>
        </w:rPr>
        <w:t>T10</w:t>
      </w:r>
      <w:r>
        <w:rPr>
          <w:rFonts w:hint="eastAsia"/>
          <w:b/>
          <w:bCs/>
          <w:color w:val="000000" w:themeColor="text1"/>
          <w:spacing w:val="0"/>
          <w:sz w:val="24"/>
          <w:szCs w:val="24"/>
          <w14:textFill>
            <w14:solidFill>
              <w14:schemeClr w14:val="tx1"/>
            </w14:solidFill>
          </w14:textFill>
        </w:rPr>
        <w:t>）</w:t>
      </w:r>
      <w:r>
        <w:rPr>
          <w:b/>
          <w:bCs/>
          <w:color w:val="000000" w:themeColor="text1"/>
          <w:spacing w:val="0"/>
          <w:sz w:val="24"/>
          <w:szCs w:val="24"/>
          <w14:textFill>
            <w14:solidFill>
              <w14:schemeClr w14:val="tx1"/>
            </w14:solidFill>
          </w14:textFill>
        </w:rPr>
        <w:t>土壤环境质量现状监测及评价结果</w:t>
      </w:r>
    </w:p>
    <w:tbl>
      <w:tblPr>
        <w:tblStyle w:val="79"/>
        <w:tblW w:w="510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606"/>
        <w:gridCol w:w="1229"/>
        <w:gridCol w:w="1412"/>
        <w:gridCol w:w="1412"/>
        <w:gridCol w:w="1425"/>
        <w:gridCol w:w="1427"/>
      </w:tblGrid>
      <w:tr w14:paraId="556BE8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943" w:type="pct"/>
            <w:noWrap w:val="0"/>
            <w:vAlign w:val="center"/>
          </w:tcPr>
          <w:p w14:paraId="72EA61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color w:val="000000" w:themeColor="text1"/>
                <w:kern w:val="0"/>
                <w:szCs w:val="21"/>
                <w:lang w:bidi="ar"/>
                <w14:textFill>
                  <w14:solidFill>
                    <w14:schemeClr w14:val="tx1"/>
                  </w14:solidFill>
                </w14:textFill>
              </w:rPr>
              <w:t>样品编码</w:t>
            </w:r>
          </w:p>
        </w:tc>
        <w:tc>
          <w:tcPr>
            <w:tcW w:w="722" w:type="pct"/>
            <w:noWrap w:val="0"/>
            <w:vAlign w:val="center"/>
          </w:tcPr>
          <w:p w14:paraId="29E9A2AE">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T</w:t>
            </w:r>
            <w:r>
              <w:rPr>
                <w:rFonts w:hint="eastAsia" w:cs="Times New Roman"/>
                <w:b/>
                <w:bCs/>
                <w:color w:val="000000" w:themeColor="text1"/>
                <w:szCs w:val="21"/>
                <w:lang w:val="en-US" w:eastAsia="zh-CN"/>
                <w14:textFill>
                  <w14:solidFill>
                    <w14:schemeClr w14:val="tx1"/>
                  </w14:solidFill>
                </w14:textFill>
              </w:rPr>
              <w:t>7</w:t>
            </w:r>
          </w:p>
        </w:tc>
        <w:tc>
          <w:tcPr>
            <w:tcW w:w="829" w:type="pct"/>
            <w:noWrap w:val="0"/>
            <w:vAlign w:val="center"/>
          </w:tcPr>
          <w:p w14:paraId="5A473A4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T</w:t>
            </w:r>
            <w:r>
              <w:rPr>
                <w:rFonts w:hint="eastAsia" w:cs="Times New Roman"/>
                <w:b/>
                <w:bCs/>
                <w:color w:val="000000" w:themeColor="text1"/>
                <w:szCs w:val="21"/>
                <w:lang w:val="en-US" w:eastAsia="zh-CN"/>
                <w14:textFill>
                  <w14:solidFill>
                    <w14:schemeClr w14:val="tx1"/>
                  </w14:solidFill>
                </w14:textFill>
              </w:rPr>
              <w:t>8</w:t>
            </w:r>
          </w:p>
        </w:tc>
        <w:tc>
          <w:tcPr>
            <w:tcW w:w="829" w:type="pct"/>
            <w:noWrap w:val="0"/>
            <w:vAlign w:val="center"/>
          </w:tcPr>
          <w:p w14:paraId="6C3A1CD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T</w:t>
            </w:r>
            <w:r>
              <w:rPr>
                <w:rFonts w:hint="eastAsia" w:cs="Times New Roman"/>
                <w:b/>
                <w:bCs/>
                <w:color w:val="000000" w:themeColor="text1"/>
                <w:szCs w:val="21"/>
                <w:lang w:val="en-US" w:eastAsia="zh-CN"/>
                <w14:textFill>
                  <w14:solidFill>
                    <w14:schemeClr w14:val="tx1"/>
                  </w14:solidFill>
                </w14:textFill>
              </w:rPr>
              <w:t>9</w:t>
            </w:r>
          </w:p>
        </w:tc>
        <w:tc>
          <w:tcPr>
            <w:tcW w:w="836" w:type="pct"/>
            <w:noWrap w:val="0"/>
            <w:vAlign w:val="center"/>
          </w:tcPr>
          <w:p w14:paraId="0BB4B8C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T</w:t>
            </w:r>
            <w:r>
              <w:rPr>
                <w:rFonts w:hint="eastAsia" w:cs="Times New Roman"/>
                <w:b/>
                <w:bCs/>
                <w:color w:val="000000" w:themeColor="text1"/>
                <w:szCs w:val="21"/>
                <w:lang w:val="en-US" w:eastAsia="zh-CN"/>
                <w14:textFill>
                  <w14:solidFill>
                    <w14:schemeClr w14:val="tx1"/>
                  </w14:solidFill>
                </w14:textFill>
              </w:rPr>
              <w:t>10</w:t>
            </w:r>
          </w:p>
        </w:tc>
        <w:tc>
          <w:tcPr>
            <w:tcW w:w="838" w:type="pct"/>
            <w:vMerge w:val="restart"/>
            <w:noWrap w:val="0"/>
            <w:vAlign w:val="center"/>
          </w:tcPr>
          <w:p w14:paraId="5822DD7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标准值</w:t>
            </w:r>
          </w:p>
        </w:tc>
      </w:tr>
      <w:tr w14:paraId="403B1A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943" w:type="pct"/>
            <w:noWrap w:val="0"/>
            <w:vAlign w:val="center"/>
          </w:tcPr>
          <w:p w14:paraId="38E373F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cs="Times New Roman"/>
                <w:b/>
                <w:bCs/>
                <w:color w:val="000000" w:themeColor="text1"/>
                <w:szCs w:val="21"/>
                <w:lang w:eastAsia="zh-CN"/>
                <w14:textFill>
                  <w14:solidFill>
                    <w14:schemeClr w14:val="tx1"/>
                  </w14:solidFill>
                </w14:textFill>
              </w:rPr>
              <w:t>检</w:t>
            </w:r>
            <w:r>
              <w:rPr>
                <w:rFonts w:hint="default" w:ascii="Times New Roman" w:hAnsi="Times New Roman" w:cs="Times New Roman"/>
                <w:b/>
                <w:bCs/>
                <w:color w:val="000000" w:themeColor="text1"/>
                <w:szCs w:val="21"/>
                <w14:textFill>
                  <w14:solidFill>
                    <w14:schemeClr w14:val="tx1"/>
                  </w14:solidFill>
                </w14:textFill>
              </w:rPr>
              <w:t>测项目</w:t>
            </w:r>
          </w:p>
        </w:tc>
        <w:tc>
          <w:tcPr>
            <w:tcW w:w="3217" w:type="pct"/>
            <w:gridSpan w:val="4"/>
            <w:noWrap w:val="0"/>
            <w:vAlign w:val="center"/>
          </w:tcPr>
          <w:p w14:paraId="5721A9D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检测结果</w:t>
            </w:r>
          </w:p>
        </w:tc>
        <w:tc>
          <w:tcPr>
            <w:tcW w:w="838" w:type="pct"/>
            <w:vMerge w:val="continue"/>
            <w:noWrap w:val="0"/>
            <w:vAlign w:val="center"/>
          </w:tcPr>
          <w:p w14:paraId="4239191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p>
        </w:tc>
      </w:tr>
      <w:tr w14:paraId="47769F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7312E3FA">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砷</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17844C6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7.72</w:t>
            </w:r>
          </w:p>
        </w:tc>
        <w:tc>
          <w:tcPr>
            <w:tcW w:w="1412" w:type="dxa"/>
            <w:noWrap w:val="0"/>
            <w:vAlign w:val="center"/>
          </w:tcPr>
          <w:p w14:paraId="128CADD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8.59</w:t>
            </w:r>
          </w:p>
        </w:tc>
        <w:tc>
          <w:tcPr>
            <w:tcW w:w="1412" w:type="dxa"/>
            <w:noWrap w:val="0"/>
            <w:vAlign w:val="center"/>
          </w:tcPr>
          <w:p w14:paraId="580F36D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11.4</w:t>
            </w:r>
          </w:p>
        </w:tc>
        <w:tc>
          <w:tcPr>
            <w:tcW w:w="1425" w:type="dxa"/>
            <w:noWrap w:val="0"/>
            <w:vAlign w:val="center"/>
          </w:tcPr>
          <w:p w14:paraId="2E91ECB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8.28</w:t>
            </w:r>
          </w:p>
        </w:tc>
        <w:tc>
          <w:tcPr>
            <w:tcW w:w="838" w:type="pct"/>
            <w:noWrap w:val="0"/>
            <w:vAlign w:val="center"/>
          </w:tcPr>
          <w:p w14:paraId="6B2E36C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w:t>
            </w:r>
          </w:p>
        </w:tc>
      </w:tr>
      <w:tr w14:paraId="53DAC7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4090773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镉</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73BFBF2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0.20</w:t>
            </w:r>
          </w:p>
        </w:tc>
        <w:tc>
          <w:tcPr>
            <w:tcW w:w="1412" w:type="dxa"/>
            <w:noWrap w:val="0"/>
            <w:vAlign w:val="center"/>
          </w:tcPr>
          <w:p w14:paraId="4FEC50F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0.14</w:t>
            </w:r>
          </w:p>
        </w:tc>
        <w:tc>
          <w:tcPr>
            <w:tcW w:w="1412" w:type="dxa"/>
            <w:noWrap w:val="0"/>
            <w:vAlign w:val="center"/>
          </w:tcPr>
          <w:p w14:paraId="1168914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0.22</w:t>
            </w:r>
          </w:p>
        </w:tc>
        <w:tc>
          <w:tcPr>
            <w:tcW w:w="1425" w:type="dxa"/>
            <w:noWrap w:val="0"/>
            <w:vAlign w:val="center"/>
          </w:tcPr>
          <w:p w14:paraId="257C00F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0.14</w:t>
            </w:r>
          </w:p>
        </w:tc>
        <w:tc>
          <w:tcPr>
            <w:tcW w:w="838" w:type="pct"/>
            <w:noWrap w:val="0"/>
            <w:vAlign w:val="center"/>
          </w:tcPr>
          <w:p w14:paraId="2535C76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65</w:t>
            </w:r>
          </w:p>
        </w:tc>
      </w:tr>
      <w:tr w14:paraId="0EE95D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7EC437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铜</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4546C13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w:t>
            </w:r>
          </w:p>
        </w:tc>
        <w:tc>
          <w:tcPr>
            <w:tcW w:w="1412" w:type="dxa"/>
            <w:noWrap w:val="0"/>
            <w:vAlign w:val="center"/>
          </w:tcPr>
          <w:p w14:paraId="65ED3EE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w:t>
            </w:r>
          </w:p>
        </w:tc>
        <w:tc>
          <w:tcPr>
            <w:tcW w:w="1412" w:type="dxa"/>
            <w:noWrap w:val="0"/>
            <w:vAlign w:val="center"/>
          </w:tcPr>
          <w:p w14:paraId="11271FD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16</w:t>
            </w:r>
          </w:p>
        </w:tc>
        <w:tc>
          <w:tcPr>
            <w:tcW w:w="1425" w:type="dxa"/>
            <w:noWrap w:val="0"/>
            <w:vAlign w:val="center"/>
          </w:tcPr>
          <w:p w14:paraId="419FD29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w:t>
            </w:r>
          </w:p>
        </w:tc>
        <w:tc>
          <w:tcPr>
            <w:tcW w:w="838" w:type="pct"/>
            <w:noWrap w:val="0"/>
            <w:vAlign w:val="center"/>
          </w:tcPr>
          <w:p w14:paraId="07C54DC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18000</w:t>
            </w:r>
          </w:p>
        </w:tc>
      </w:tr>
      <w:tr w14:paraId="658A84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1679F7B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铅</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3C7C051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8.9</w:t>
            </w:r>
          </w:p>
        </w:tc>
        <w:tc>
          <w:tcPr>
            <w:tcW w:w="1412" w:type="dxa"/>
            <w:noWrap w:val="0"/>
            <w:vAlign w:val="center"/>
          </w:tcPr>
          <w:p w14:paraId="2DE3685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8.5</w:t>
            </w:r>
          </w:p>
        </w:tc>
        <w:tc>
          <w:tcPr>
            <w:tcW w:w="1412" w:type="dxa"/>
            <w:noWrap w:val="0"/>
            <w:vAlign w:val="center"/>
          </w:tcPr>
          <w:p w14:paraId="2115AF8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11.8</w:t>
            </w:r>
          </w:p>
        </w:tc>
        <w:tc>
          <w:tcPr>
            <w:tcW w:w="1425" w:type="dxa"/>
            <w:noWrap w:val="0"/>
            <w:vAlign w:val="center"/>
          </w:tcPr>
          <w:p w14:paraId="728AE08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9.0</w:t>
            </w:r>
          </w:p>
        </w:tc>
        <w:tc>
          <w:tcPr>
            <w:tcW w:w="838" w:type="pct"/>
            <w:noWrap w:val="0"/>
            <w:vAlign w:val="center"/>
          </w:tcPr>
          <w:p w14:paraId="0BCD57B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800</w:t>
            </w:r>
          </w:p>
        </w:tc>
      </w:tr>
      <w:tr w14:paraId="470798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2F34B574">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汞</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2D7BB5B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0.493</w:t>
            </w:r>
          </w:p>
        </w:tc>
        <w:tc>
          <w:tcPr>
            <w:tcW w:w="1412" w:type="dxa"/>
            <w:noWrap w:val="0"/>
            <w:vAlign w:val="center"/>
          </w:tcPr>
          <w:p w14:paraId="4371EAF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0.488</w:t>
            </w:r>
          </w:p>
        </w:tc>
        <w:tc>
          <w:tcPr>
            <w:tcW w:w="1412" w:type="dxa"/>
            <w:noWrap w:val="0"/>
            <w:vAlign w:val="center"/>
          </w:tcPr>
          <w:p w14:paraId="2DDFA13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0.671</w:t>
            </w:r>
          </w:p>
        </w:tc>
        <w:tc>
          <w:tcPr>
            <w:tcW w:w="1425" w:type="dxa"/>
            <w:noWrap w:val="0"/>
            <w:vAlign w:val="center"/>
          </w:tcPr>
          <w:p w14:paraId="6CCA65D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1.01</w:t>
            </w:r>
          </w:p>
        </w:tc>
        <w:tc>
          <w:tcPr>
            <w:tcW w:w="838" w:type="pct"/>
            <w:noWrap w:val="0"/>
            <w:vAlign w:val="center"/>
          </w:tcPr>
          <w:p w14:paraId="2E0FE60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w:t>
            </w:r>
          </w:p>
        </w:tc>
      </w:tr>
      <w:tr w14:paraId="4E0BA4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1FB1409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镍</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535C6E8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18</w:t>
            </w:r>
          </w:p>
        </w:tc>
        <w:tc>
          <w:tcPr>
            <w:tcW w:w="1412" w:type="dxa"/>
            <w:noWrap w:val="0"/>
            <w:vAlign w:val="center"/>
          </w:tcPr>
          <w:p w14:paraId="5FE5857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w:t>
            </w:r>
          </w:p>
        </w:tc>
        <w:tc>
          <w:tcPr>
            <w:tcW w:w="1412" w:type="dxa"/>
            <w:noWrap w:val="0"/>
            <w:vAlign w:val="center"/>
          </w:tcPr>
          <w:p w14:paraId="725D9A4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w:t>
            </w:r>
          </w:p>
        </w:tc>
        <w:tc>
          <w:tcPr>
            <w:tcW w:w="1425" w:type="dxa"/>
            <w:noWrap w:val="0"/>
            <w:vAlign w:val="center"/>
          </w:tcPr>
          <w:p w14:paraId="6590A60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16</w:t>
            </w:r>
          </w:p>
        </w:tc>
        <w:tc>
          <w:tcPr>
            <w:tcW w:w="838" w:type="pct"/>
            <w:noWrap w:val="0"/>
            <w:vAlign w:val="center"/>
          </w:tcPr>
          <w:p w14:paraId="03A291F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900</w:t>
            </w:r>
          </w:p>
        </w:tc>
      </w:tr>
      <w:tr w14:paraId="371CA7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1A11E29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bCs/>
                <w:color w:val="000000" w:themeColor="text1"/>
                <w:kern w:val="0"/>
                <w:szCs w:val="21"/>
                <w:lang w:val="en-US" w:eastAsia="zh-CN" w:bidi="ar"/>
                <w14:textFill>
                  <w14:solidFill>
                    <w14:schemeClr w14:val="tx1"/>
                  </w14:solidFill>
                </w14:textFill>
              </w:rPr>
              <w:t>六价</w:t>
            </w:r>
            <w:r>
              <w:rPr>
                <w:rFonts w:hint="default" w:ascii="Times New Roman" w:hAnsi="Times New Roman" w:cs="Times New Roman"/>
                <w:bCs/>
                <w:color w:val="000000" w:themeColor="text1"/>
                <w:kern w:val="0"/>
                <w:szCs w:val="21"/>
                <w:lang w:bidi="ar"/>
                <w14:textFill>
                  <w14:solidFill>
                    <w14:schemeClr w14:val="tx1"/>
                  </w14:solidFill>
                </w14:textFill>
              </w:rPr>
              <w:t>铬</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09F4522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&lt;0.5</w:t>
            </w:r>
          </w:p>
        </w:tc>
        <w:tc>
          <w:tcPr>
            <w:tcW w:w="1412" w:type="dxa"/>
            <w:noWrap w:val="0"/>
            <w:vAlign w:val="center"/>
          </w:tcPr>
          <w:p w14:paraId="7BE8935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&lt;0.5</w:t>
            </w:r>
          </w:p>
        </w:tc>
        <w:tc>
          <w:tcPr>
            <w:tcW w:w="1412" w:type="dxa"/>
            <w:noWrap w:val="0"/>
            <w:vAlign w:val="center"/>
          </w:tcPr>
          <w:p w14:paraId="65354E7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&lt;0.5</w:t>
            </w:r>
          </w:p>
        </w:tc>
        <w:tc>
          <w:tcPr>
            <w:tcW w:w="1425" w:type="dxa"/>
            <w:noWrap w:val="0"/>
            <w:vAlign w:val="center"/>
          </w:tcPr>
          <w:p w14:paraId="2CC3CF4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&lt;0.5</w:t>
            </w:r>
          </w:p>
        </w:tc>
        <w:tc>
          <w:tcPr>
            <w:tcW w:w="838" w:type="pct"/>
            <w:noWrap w:val="0"/>
            <w:vAlign w:val="center"/>
          </w:tcPr>
          <w:p w14:paraId="0F020FC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5A2584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079DE90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bCs/>
                <w:color w:val="000000" w:themeColor="text1"/>
                <w:kern w:val="0"/>
                <w:szCs w:val="21"/>
                <w:lang w:eastAsia="zh-CN" w:bidi="ar"/>
                <w14:textFill>
                  <w14:solidFill>
                    <w14:schemeClr w14:val="tx1"/>
                  </w14:solidFill>
                </w14:textFill>
              </w:rPr>
            </w:pPr>
            <w:r>
              <w:rPr>
                <w:rFonts w:hint="eastAsia" w:ascii="Times New Roman" w:hAnsi="Times New Roman" w:cs="Times New Roman"/>
                <w:bCs/>
                <w:color w:val="000000" w:themeColor="text1"/>
                <w:kern w:val="0"/>
                <w:szCs w:val="21"/>
                <w:lang w:eastAsia="zh-CN" w:bidi="ar"/>
                <w14:textFill>
                  <w14:solidFill>
                    <w14:schemeClr w14:val="tx1"/>
                  </w14:solidFill>
                </w14:textFill>
              </w:rPr>
              <w:t>锌</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mg/kg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7D01D54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39</w:t>
            </w:r>
          </w:p>
        </w:tc>
        <w:tc>
          <w:tcPr>
            <w:tcW w:w="1412" w:type="dxa"/>
            <w:noWrap w:val="0"/>
            <w:vAlign w:val="center"/>
          </w:tcPr>
          <w:p w14:paraId="59758EB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37</w:t>
            </w:r>
          </w:p>
        </w:tc>
        <w:tc>
          <w:tcPr>
            <w:tcW w:w="1412" w:type="dxa"/>
            <w:noWrap w:val="0"/>
            <w:vAlign w:val="center"/>
          </w:tcPr>
          <w:p w14:paraId="5A01659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51</w:t>
            </w:r>
          </w:p>
        </w:tc>
        <w:tc>
          <w:tcPr>
            <w:tcW w:w="1425" w:type="dxa"/>
            <w:noWrap w:val="0"/>
            <w:vAlign w:val="center"/>
          </w:tcPr>
          <w:p w14:paraId="47E7A78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41</w:t>
            </w:r>
          </w:p>
        </w:tc>
        <w:tc>
          <w:tcPr>
            <w:tcW w:w="838" w:type="pct"/>
            <w:noWrap w:val="0"/>
            <w:vAlign w:val="center"/>
          </w:tcPr>
          <w:p w14:paraId="6C31691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37E3CC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shd w:val="clear" w:color="auto" w:fill="auto"/>
            <w:noWrap w:val="0"/>
            <w:vAlign w:val="center"/>
          </w:tcPr>
          <w:p w14:paraId="123BE20B">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Cs/>
                <w:color w:val="000000" w:themeColor="text1"/>
                <w:kern w:val="0"/>
                <w:szCs w:val="21"/>
                <w:lang w:val="en-US" w:eastAsia="zh-CN" w:bidi="ar"/>
                <w14:textFill>
                  <w14:solidFill>
                    <w14:schemeClr w14:val="tx1"/>
                  </w14:solidFill>
                </w14:textFill>
              </w:rPr>
              <w:t>pH</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无量纲</w:t>
            </w:r>
            <w:r>
              <w:rPr>
                <w:rFonts w:hint="eastAsia" w:cs="Times New Roman"/>
                <w:bCs/>
                <w:color w:val="000000" w:themeColor="text1"/>
                <w:szCs w:val="21"/>
                <w:lang w:eastAsia="zh-CN"/>
                <w14:textFill>
                  <w14:solidFill>
                    <w14:schemeClr w14:val="tx1"/>
                  </w14:solidFill>
                </w14:textFill>
              </w:rPr>
              <w:t>）</w:t>
            </w:r>
          </w:p>
        </w:tc>
        <w:tc>
          <w:tcPr>
            <w:tcW w:w="1229" w:type="dxa"/>
            <w:shd w:val="clear" w:color="auto" w:fill="auto"/>
            <w:noWrap w:val="0"/>
            <w:vAlign w:val="center"/>
          </w:tcPr>
          <w:p w14:paraId="79A05C4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8.53</w:t>
            </w:r>
          </w:p>
        </w:tc>
        <w:tc>
          <w:tcPr>
            <w:tcW w:w="1412" w:type="dxa"/>
            <w:shd w:val="clear" w:color="auto" w:fill="auto"/>
            <w:noWrap w:val="0"/>
            <w:vAlign w:val="center"/>
          </w:tcPr>
          <w:p w14:paraId="7DB60E8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8.09</w:t>
            </w:r>
          </w:p>
        </w:tc>
        <w:tc>
          <w:tcPr>
            <w:tcW w:w="829" w:type="pct"/>
            <w:shd w:val="clear" w:color="auto" w:fill="auto"/>
            <w:noWrap w:val="0"/>
            <w:vAlign w:val="center"/>
          </w:tcPr>
          <w:p w14:paraId="4301360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8.47</w:t>
            </w:r>
          </w:p>
        </w:tc>
        <w:tc>
          <w:tcPr>
            <w:tcW w:w="836" w:type="pct"/>
            <w:shd w:val="clear" w:color="auto" w:fill="auto"/>
            <w:noWrap w:val="0"/>
            <w:vAlign w:val="center"/>
          </w:tcPr>
          <w:p w14:paraId="39D51F4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8.36</w:t>
            </w:r>
          </w:p>
        </w:tc>
        <w:tc>
          <w:tcPr>
            <w:tcW w:w="838" w:type="pct"/>
            <w:shd w:val="clear" w:color="auto" w:fill="auto"/>
            <w:noWrap w:val="0"/>
            <w:vAlign w:val="center"/>
          </w:tcPr>
          <w:p w14:paraId="62C17D7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r w14:paraId="19A622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43" w:type="pct"/>
            <w:noWrap w:val="0"/>
            <w:vAlign w:val="center"/>
          </w:tcPr>
          <w:p w14:paraId="05E48EF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含盐量</w:t>
            </w:r>
            <w:r>
              <w:rPr>
                <w:rFonts w:hint="eastAsia" w:cs="Times New Roman"/>
                <w:bCs/>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g/kg</w:t>
            </w:r>
            <w:r>
              <w:rPr>
                <w:rFonts w:hint="eastAsia" w:cs="Times New Roman"/>
                <w:bCs/>
                <w:color w:val="000000" w:themeColor="text1"/>
                <w:szCs w:val="21"/>
                <w:lang w:eastAsia="zh-CN"/>
                <w14:textFill>
                  <w14:solidFill>
                    <w14:schemeClr w14:val="tx1"/>
                  </w14:solidFill>
                </w14:textFill>
              </w:rPr>
              <w:t>）</w:t>
            </w:r>
          </w:p>
        </w:tc>
        <w:tc>
          <w:tcPr>
            <w:tcW w:w="1229" w:type="dxa"/>
            <w:noWrap w:val="0"/>
            <w:vAlign w:val="center"/>
          </w:tcPr>
          <w:p w14:paraId="767E2EA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3.8</w:t>
            </w:r>
          </w:p>
        </w:tc>
        <w:tc>
          <w:tcPr>
            <w:tcW w:w="1412" w:type="dxa"/>
            <w:noWrap w:val="0"/>
            <w:vAlign w:val="center"/>
          </w:tcPr>
          <w:p w14:paraId="4F74028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w:t>
            </w:r>
          </w:p>
        </w:tc>
        <w:tc>
          <w:tcPr>
            <w:tcW w:w="829" w:type="pct"/>
            <w:noWrap w:val="0"/>
            <w:vAlign w:val="center"/>
          </w:tcPr>
          <w:p w14:paraId="5947601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1.9</w:t>
            </w:r>
          </w:p>
        </w:tc>
        <w:tc>
          <w:tcPr>
            <w:tcW w:w="836" w:type="pct"/>
            <w:noWrap w:val="0"/>
            <w:vAlign w:val="center"/>
          </w:tcPr>
          <w:p w14:paraId="57E93CC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4.2</w:t>
            </w:r>
          </w:p>
        </w:tc>
        <w:tc>
          <w:tcPr>
            <w:tcW w:w="838" w:type="pct"/>
            <w:noWrap w:val="0"/>
            <w:vAlign w:val="center"/>
          </w:tcPr>
          <w:p w14:paraId="1CD63EBE">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bl>
    <w:p w14:paraId="1C6A5474">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监测结果表明：各监测点监测结果均能达到《土壤环境质量建设用地土壤污染风险管控标准（试行）》（GB36600-2018）第二类用地筛选值要求。</w:t>
      </w:r>
    </w:p>
    <w:p w14:paraId="125249B2">
      <w:pPr>
        <w:spacing w:line="480" w:lineRule="exact"/>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理化特性调查</w:t>
      </w:r>
    </w:p>
    <w:p w14:paraId="5D8108E3">
      <w:pPr>
        <w:spacing w:line="480" w:lineRule="exact"/>
        <w:ind w:firstLine="480" w:firstLineChars="200"/>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color w:val="000000" w:themeColor="text1"/>
          <w:sz w:val="24"/>
          <w:szCs w:val="24"/>
          <w14:textFill>
            <w14:solidFill>
              <w14:schemeClr w14:val="tx1"/>
            </w14:solidFill>
          </w14:textFill>
        </w:rPr>
        <w:t>土体松散岩组为第四系全新统洪冲积堆积（Q</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vertAlign w:val="superscript"/>
          <w14:textFill>
            <w14:solidFill>
              <w14:schemeClr w14:val="tx1"/>
            </w14:solidFill>
          </w14:textFill>
        </w:rPr>
        <w:t>apl</w:t>
      </w:r>
      <w:r>
        <w:rPr>
          <w:rFonts w:hint="eastAsia"/>
          <w:color w:val="000000" w:themeColor="text1"/>
          <w:sz w:val="24"/>
          <w:szCs w:val="24"/>
          <w14:textFill>
            <w14:solidFill>
              <w14:schemeClr w14:val="tx1"/>
            </w14:solidFill>
          </w14:textFill>
        </w:rPr>
        <w:t>）地层，覆盖厚度在0.50～14.00m，平均厚度在5.0m左右</w:t>
      </w:r>
      <w:r>
        <w:rPr>
          <w:rFonts w:hint="eastAsia"/>
          <w:color w:val="000000" w:themeColor="text1"/>
          <w:sz w:val="24"/>
          <w:szCs w:val="24"/>
          <w:lang w:eastAsia="zh-CN"/>
          <w14:textFill>
            <w14:solidFill>
              <w14:schemeClr w14:val="tx1"/>
            </w14:solidFill>
          </w14:textFill>
        </w:rPr>
        <w:t>，主要为砾石、砂、碎石、砂土组成，</w:t>
      </w:r>
      <w:r>
        <w:rPr>
          <w:rFonts w:hint="eastAsia"/>
          <w:color w:val="000000" w:themeColor="text1"/>
          <w:sz w:val="24"/>
          <w:szCs w:val="24"/>
          <w:lang w:val="en-US" w:eastAsia="zh-CN"/>
          <w14:textFill>
            <w14:solidFill>
              <w14:schemeClr w14:val="tx1"/>
            </w14:solidFill>
          </w14:textFill>
        </w:rPr>
        <w:t>岩组结构松散。矿区土壤类型以砾质棕漠土为主，零散分布着砾土及钙质砾土，砂砾石含量15%-20%；土壤容重1.56-1.59g/cm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；有机质含量3.78-4.02g/kg，pH值8.0-8.6左右。地下水水位标高在1213.71～1227.43m之间，水位埋深在10.08～24.80m，平均水位标高1222.32m。</w:t>
      </w:r>
      <w:r>
        <w:rPr>
          <w:rFonts w:hint="eastAsia" w:ascii="Times New Roman" w:hAnsi="Times New Roman" w:eastAsia="宋体" w:cs="宋体"/>
          <w:color w:val="000000" w:themeColor="text1"/>
          <w:sz w:val="24"/>
          <w:szCs w:val="24"/>
          <w:highlight w:val="none"/>
          <w14:textFill>
            <w14:solidFill>
              <w14:schemeClr w14:val="tx1"/>
            </w14:solidFill>
          </w14:textFill>
        </w:rPr>
        <w:t>地下水化学类型为HCO</w:t>
      </w:r>
      <w:r>
        <w:rPr>
          <w:rFonts w:hint="eastAsia" w:ascii="Times New Roman" w:hAnsi="Times New Roman" w:eastAsia="宋体" w:cs="宋体"/>
          <w:color w:val="000000" w:themeColor="text1"/>
          <w:sz w:val="24"/>
          <w:szCs w:val="24"/>
          <w:highlight w:val="none"/>
          <w:vertAlign w:val="subscript"/>
          <w14:textFill>
            <w14:solidFill>
              <w14:schemeClr w14:val="tx1"/>
            </w14:solidFill>
          </w14:textFill>
        </w:rPr>
        <w:t>3</w:t>
      </w:r>
      <w:r>
        <w:rPr>
          <w:rFonts w:hint="eastAsia" w:ascii="Times New Roman" w:hAnsi="Times New Roman" w:eastAsia="宋体" w:cs="宋体"/>
          <w:color w:val="000000" w:themeColor="text1"/>
          <w:sz w:val="24"/>
          <w:szCs w:val="24"/>
          <w:highlight w:val="none"/>
          <w14:textFill>
            <w14:solidFill>
              <w14:schemeClr w14:val="tx1"/>
            </w14:solidFill>
          </w14:textFill>
        </w:rPr>
        <w:t>·SO</w:t>
      </w:r>
      <w:r>
        <w:rPr>
          <w:rFonts w:hint="eastAsia" w:ascii="Times New Roman" w:hAnsi="Times New Roman" w:eastAsia="宋体" w:cs="宋体"/>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宋体"/>
          <w:color w:val="000000" w:themeColor="text1"/>
          <w:sz w:val="24"/>
          <w:szCs w:val="24"/>
          <w:highlight w:val="none"/>
          <w14:textFill>
            <w14:solidFill>
              <w14:schemeClr w14:val="tx1"/>
            </w14:solidFill>
          </w14:textFill>
        </w:rPr>
        <w:t>-Ca·Na型水</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p>
    <w:p w14:paraId="18B4E97A">
      <w:pPr>
        <w:spacing w:line="480" w:lineRule="exact"/>
        <w:ind w:firstLine="480" w:firstLineChars="200"/>
        <w:rPr>
          <w:rFonts w:hint="default" w:ascii="Times New Roman" w:hAnsi="Times New Roman"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土壤理化性质详见表4.2-12。</w:t>
      </w:r>
    </w:p>
    <w:p w14:paraId="63FA0E73">
      <w:pPr>
        <w:spacing w:line="480" w:lineRule="exact"/>
        <w:jc w:val="center"/>
        <w:rPr>
          <w:rFonts w:hint="default" w:ascii="Times New Roman" w:hAnsi="Times New Roman" w:eastAsia="宋体" w:cs="宋体"/>
          <w:b/>
          <w:bCs/>
          <w:color w:val="000000" w:themeColor="text1"/>
          <w:sz w:val="24"/>
          <w:szCs w:val="24"/>
          <w:highlight w:val="none"/>
          <w:lang w:val="en-US" w:eastAsia="zh-CN"/>
          <w14:textFill>
            <w14:solidFill>
              <w14:schemeClr w14:val="tx1"/>
            </w14:solidFill>
          </w14:textFill>
        </w:rPr>
      </w:pPr>
      <w:r>
        <w:rPr>
          <w:rFonts w:hint="eastAsia" w:cs="宋体"/>
          <w:b/>
          <w:bCs/>
          <w:color w:val="000000" w:themeColor="text1"/>
          <w:sz w:val="24"/>
          <w:szCs w:val="24"/>
          <w:highlight w:val="none"/>
          <w:lang w:val="en-US" w:eastAsia="zh-CN"/>
          <w14:textFill>
            <w14:solidFill>
              <w14:schemeClr w14:val="tx1"/>
            </w14:solidFill>
          </w14:textFill>
        </w:rPr>
        <w:t>表4.2-12    土壤理化性质表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189"/>
        <w:gridCol w:w="1757"/>
        <w:gridCol w:w="2045"/>
        <w:gridCol w:w="2058"/>
      </w:tblGrid>
      <w:tr w14:paraId="7C3A5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0" w:type="pct"/>
            <w:gridSpan w:val="2"/>
            <w:tcBorders>
              <w:tl2br w:val="nil"/>
              <w:tr2bl w:val="nil"/>
            </w:tcBorders>
            <w:noWrap w:val="0"/>
            <w:vAlign w:val="center"/>
          </w:tcPr>
          <w:p w14:paraId="325864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采样地点</w:t>
            </w:r>
          </w:p>
        </w:tc>
        <w:tc>
          <w:tcPr>
            <w:tcW w:w="3439" w:type="pct"/>
            <w:gridSpan w:val="3"/>
            <w:tcBorders>
              <w:tl2br w:val="nil"/>
              <w:tr2bl w:val="nil"/>
            </w:tcBorders>
            <w:noWrap w:val="0"/>
            <w:vAlign w:val="center"/>
          </w:tcPr>
          <w:p w14:paraId="0844A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T1采区矿界范围内柱状样</w:t>
            </w:r>
          </w:p>
        </w:tc>
      </w:tr>
      <w:tr w14:paraId="44F0C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0" w:type="pct"/>
            <w:gridSpan w:val="2"/>
            <w:tcBorders>
              <w:tl2br w:val="nil"/>
              <w:tr2bl w:val="nil"/>
            </w:tcBorders>
            <w:noWrap w:val="0"/>
            <w:vAlign w:val="center"/>
          </w:tcPr>
          <w:p w14:paraId="6C084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点位坐标</w:t>
            </w:r>
          </w:p>
        </w:tc>
        <w:tc>
          <w:tcPr>
            <w:tcW w:w="3439" w:type="pct"/>
            <w:gridSpan w:val="3"/>
            <w:tcBorders>
              <w:tl2br w:val="nil"/>
              <w:tr2bl w:val="nil"/>
            </w:tcBorders>
            <w:noWrap w:val="0"/>
            <w:vAlign w:val="center"/>
          </w:tcPr>
          <w:p w14:paraId="2F193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N********</w:t>
            </w:r>
          </w:p>
        </w:tc>
      </w:tr>
      <w:tr w14:paraId="266BB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0" w:type="pct"/>
            <w:gridSpan w:val="2"/>
            <w:tcBorders>
              <w:tl2br w:val="nil"/>
              <w:tr2bl w:val="nil"/>
            </w:tcBorders>
            <w:noWrap w:val="0"/>
            <w:vAlign w:val="center"/>
          </w:tcPr>
          <w:p w14:paraId="7985E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采样深度</w:t>
            </w:r>
          </w:p>
        </w:tc>
        <w:tc>
          <w:tcPr>
            <w:tcW w:w="1031" w:type="pct"/>
            <w:tcBorders>
              <w:tl2br w:val="nil"/>
              <w:tr2bl w:val="nil"/>
            </w:tcBorders>
            <w:noWrap w:val="0"/>
            <w:vAlign w:val="center"/>
          </w:tcPr>
          <w:p w14:paraId="23678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0-50cm</w:t>
            </w:r>
          </w:p>
        </w:tc>
        <w:tc>
          <w:tcPr>
            <w:tcW w:w="1200" w:type="pct"/>
            <w:tcBorders>
              <w:tl2br w:val="nil"/>
              <w:tr2bl w:val="nil"/>
            </w:tcBorders>
            <w:noWrap w:val="0"/>
            <w:vAlign w:val="center"/>
          </w:tcPr>
          <w:p w14:paraId="340C9C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50-150cm</w:t>
            </w:r>
          </w:p>
        </w:tc>
        <w:tc>
          <w:tcPr>
            <w:tcW w:w="1207" w:type="pct"/>
            <w:tcBorders>
              <w:tl2br w:val="nil"/>
              <w:tr2bl w:val="nil"/>
            </w:tcBorders>
            <w:noWrap w:val="0"/>
            <w:vAlign w:val="center"/>
          </w:tcPr>
          <w:p w14:paraId="1D63A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150-300cm</w:t>
            </w:r>
          </w:p>
        </w:tc>
      </w:tr>
      <w:tr w14:paraId="14A21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600D9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检测项目</w:t>
            </w:r>
          </w:p>
        </w:tc>
        <w:tc>
          <w:tcPr>
            <w:tcW w:w="697" w:type="pct"/>
            <w:tcBorders>
              <w:tl2br w:val="nil"/>
              <w:tr2bl w:val="nil"/>
            </w:tcBorders>
            <w:noWrap w:val="0"/>
            <w:vAlign w:val="center"/>
          </w:tcPr>
          <w:p w14:paraId="75591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单位</w:t>
            </w:r>
          </w:p>
        </w:tc>
        <w:tc>
          <w:tcPr>
            <w:tcW w:w="3439" w:type="pct"/>
            <w:gridSpan w:val="3"/>
            <w:tcBorders>
              <w:tl2br w:val="nil"/>
              <w:tr2bl w:val="nil"/>
            </w:tcBorders>
            <w:noWrap w:val="0"/>
            <w:vAlign w:val="center"/>
          </w:tcPr>
          <w:p w14:paraId="1ABFC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检测结果</w:t>
            </w:r>
          </w:p>
        </w:tc>
      </w:tr>
      <w:tr w14:paraId="52AA4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02260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阳离子交换量</w:t>
            </w:r>
          </w:p>
        </w:tc>
        <w:tc>
          <w:tcPr>
            <w:tcW w:w="697" w:type="pct"/>
            <w:tcBorders>
              <w:tl2br w:val="nil"/>
              <w:tr2bl w:val="nil"/>
            </w:tcBorders>
            <w:noWrap w:val="0"/>
            <w:vAlign w:val="center"/>
          </w:tcPr>
          <w:p w14:paraId="487CA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cmol/kg</w:t>
            </w:r>
          </w:p>
        </w:tc>
        <w:tc>
          <w:tcPr>
            <w:tcW w:w="1031" w:type="pct"/>
            <w:tcBorders>
              <w:tl2br w:val="nil"/>
              <w:tr2bl w:val="nil"/>
            </w:tcBorders>
            <w:noWrap w:val="0"/>
            <w:vAlign w:val="center"/>
          </w:tcPr>
          <w:p w14:paraId="20413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2.1</w:t>
            </w:r>
          </w:p>
        </w:tc>
        <w:tc>
          <w:tcPr>
            <w:tcW w:w="1200" w:type="pct"/>
            <w:tcBorders>
              <w:tl2br w:val="nil"/>
              <w:tr2bl w:val="nil"/>
            </w:tcBorders>
            <w:noWrap w:val="0"/>
            <w:vAlign w:val="center"/>
          </w:tcPr>
          <w:p w14:paraId="33F07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1.7</w:t>
            </w:r>
          </w:p>
        </w:tc>
        <w:tc>
          <w:tcPr>
            <w:tcW w:w="1207" w:type="pct"/>
            <w:tcBorders>
              <w:tl2br w:val="nil"/>
              <w:tr2bl w:val="nil"/>
            </w:tcBorders>
            <w:noWrap w:val="0"/>
            <w:vAlign w:val="center"/>
          </w:tcPr>
          <w:p w14:paraId="732DB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1.4</w:t>
            </w:r>
          </w:p>
        </w:tc>
      </w:tr>
      <w:tr w14:paraId="72666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6C388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氧化还原电位</w:t>
            </w:r>
          </w:p>
        </w:tc>
        <w:tc>
          <w:tcPr>
            <w:tcW w:w="697" w:type="pct"/>
            <w:tcBorders>
              <w:tl2br w:val="nil"/>
              <w:tr2bl w:val="nil"/>
            </w:tcBorders>
            <w:noWrap w:val="0"/>
            <w:vAlign w:val="center"/>
          </w:tcPr>
          <w:p w14:paraId="0A3F5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m</w:t>
            </w: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V</w:t>
            </w:r>
          </w:p>
        </w:tc>
        <w:tc>
          <w:tcPr>
            <w:tcW w:w="1031" w:type="pct"/>
            <w:tcBorders>
              <w:tl2br w:val="nil"/>
              <w:tr2bl w:val="nil"/>
            </w:tcBorders>
            <w:noWrap w:val="0"/>
            <w:vAlign w:val="center"/>
          </w:tcPr>
          <w:p w14:paraId="5FEDB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310</w:t>
            </w:r>
          </w:p>
        </w:tc>
        <w:tc>
          <w:tcPr>
            <w:tcW w:w="1200" w:type="pct"/>
            <w:tcBorders>
              <w:tl2br w:val="nil"/>
              <w:tr2bl w:val="nil"/>
            </w:tcBorders>
            <w:noWrap w:val="0"/>
            <w:vAlign w:val="center"/>
          </w:tcPr>
          <w:p w14:paraId="16DBF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293</w:t>
            </w:r>
          </w:p>
        </w:tc>
        <w:tc>
          <w:tcPr>
            <w:tcW w:w="1207" w:type="pct"/>
            <w:tcBorders>
              <w:tl2br w:val="nil"/>
              <w:tr2bl w:val="nil"/>
            </w:tcBorders>
            <w:noWrap w:val="0"/>
            <w:vAlign w:val="center"/>
          </w:tcPr>
          <w:p w14:paraId="585579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285</w:t>
            </w:r>
          </w:p>
        </w:tc>
      </w:tr>
      <w:tr w14:paraId="3A27B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7EBFA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饱和导水率</w:t>
            </w:r>
          </w:p>
        </w:tc>
        <w:tc>
          <w:tcPr>
            <w:tcW w:w="697" w:type="pct"/>
            <w:tcBorders>
              <w:tl2br w:val="nil"/>
              <w:tr2bl w:val="nil"/>
            </w:tcBorders>
            <w:noWrap w:val="0"/>
            <w:vAlign w:val="center"/>
          </w:tcPr>
          <w:p w14:paraId="6AFD4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mm/min</w:t>
            </w:r>
          </w:p>
        </w:tc>
        <w:tc>
          <w:tcPr>
            <w:tcW w:w="1031" w:type="pct"/>
            <w:tcBorders>
              <w:tl2br w:val="nil"/>
              <w:tr2bl w:val="nil"/>
            </w:tcBorders>
            <w:noWrap w:val="0"/>
            <w:vAlign w:val="center"/>
          </w:tcPr>
          <w:p w14:paraId="7B98E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0.653</w:t>
            </w:r>
          </w:p>
        </w:tc>
        <w:tc>
          <w:tcPr>
            <w:tcW w:w="1200" w:type="pct"/>
            <w:tcBorders>
              <w:tl2br w:val="nil"/>
              <w:tr2bl w:val="nil"/>
            </w:tcBorders>
            <w:noWrap w:val="0"/>
            <w:vAlign w:val="center"/>
          </w:tcPr>
          <w:p w14:paraId="66A8C5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0.686</w:t>
            </w:r>
          </w:p>
        </w:tc>
        <w:tc>
          <w:tcPr>
            <w:tcW w:w="1207" w:type="pct"/>
            <w:tcBorders>
              <w:tl2br w:val="nil"/>
              <w:tr2bl w:val="nil"/>
            </w:tcBorders>
            <w:noWrap w:val="0"/>
            <w:vAlign w:val="center"/>
          </w:tcPr>
          <w:p w14:paraId="7B096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0.682</w:t>
            </w:r>
          </w:p>
        </w:tc>
      </w:tr>
      <w:tr w14:paraId="6AEB5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7C0A6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容重</w:t>
            </w:r>
          </w:p>
        </w:tc>
        <w:tc>
          <w:tcPr>
            <w:tcW w:w="697" w:type="pct"/>
            <w:tcBorders>
              <w:tl2br w:val="nil"/>
              <w:tr2bl w:val="nil"/>
            </w:tcBorders>
            <w:noWrap w:val="0"/>
            <w:vAlign w:val="center"/>
          </w:tcPr>
          <w:p w14:paraId="2D91C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g/cm</w:t>
            </w:r>
            <w:r>
              <w:rPr>
                <w:rFonts w:hint="default" w:ascii="Times New Roman" w:hAnsi="Times New Roman" w:eastAsia="宋体" w:cs="Times New Roman"/>
                <w:bCs/>
                <w:color w:val="000000" w:themeColor="text1"/>
                <w:kern w:val="0"/>
                <w:sz w:val="21"/>
                <w:szCs w:val="21"/>
                <w:vertAlign w:val="superscript"/>
                <w:lang w:val="en-US" w:eastAsia="zh-CN" w:bidi="ar"/>
                <w14:textFill>
                  <w14:solidFill>
                    <w14:schemeClr w14:val="tx1"/>
                  </w14:solidFill>
                </w14:textFill>
              </w:rPr>
              <w:t>3</w:t>
            </w:r>
          </w:p>
        </w:tc>
        <w:tc>
          <w:tcPr>
            <w:tcW w:w="1031" w:type="pct"/>
            <w:tcBorders>
              <w:tl2br w:val="nil"/>
              <w:tr2bl w:val="nil"/>
            </w:tcBorders>
            <w:noWrap w:val="0"/>
            <w:vAlign w:val="center"/>
          </w:tcPr>
          <w:p w14:paraId="4B49E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1.59</w:t>
            </w:r>
          </w:p>
        </w:tc>
        <w:tc>
          <w:tcPr>
            <w:tcW w:w="1200" w:type="pct"/>
            <w:tcBorders>
              <w:tl2br w:val="nil"/>
              <w:tr2bl w:val="nil"/>
            </w:tcBorders>
            <w:noWrap w:val="0"/>
            <w:vAlign w:val="center"/>
          </w:tcPr>
          <w:p w14:paraId="3F095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1.56</w:t>
            </w:r>
          </w:p>
        </w:tc>
        <w:tc>
          <w:tcPr>
            <w:tcW w:w="1207" w:type="pct"/>
            <w:tcBorders>
              <w:tl2br w:val="nil"/>
              <w:tr2bl w:val="nil"/>
            </w:tcBorders>
            <w:noWrap w:val="0"/>
            <w:vAlign w:val="center"/>
          </w:tcPr>
          <w:p w14:paraId="06DA0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1.56</w:t>
            </w:r>
          </w:p>
        </w:tc>
      </w:tr>
      <w:tr w14:paraId="19E25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4A1F1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孔隙度</w:t>
            </w:r>
          </w:p>
        </w:tc>
        <w:tc>
          <w:tcPr>
            <w:tcW w:w="697" w:type="pct"/>
            <w:tcBorders>
              <w:tl2br w:val="nil"/>
              <w:tr2bl w:val="nil"/>
            </w:tcBorders>
            <w:noWrap w:val="0"/>
            <w:vAlign w:val="center"/>
          </w:tcPr>
          <w:p w14:paraId="717FE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w:t>
            </w:r>
          </w:p>
        </w:tc>
        <w:tc>
          <w:tcPr>
            <w:tcW w:w="1031" w:type="pct"/>
            <w:tcBorders>
              <w:tl2br w:val="nil"/>
              <w:tr2bl w:val="nil"/>
            </w:tcBorders>
            <w:noWrap w:val="0"/>
            <w:vAlign w:val="center"/>
          </w:tcPr>
          <w:p w14:paraId="09746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37.3</w:t>
            </w:r>
          </w:p>
        </w:tc>
        <w:tc>
          <w:tcPr>
            <w:tcW w:w="1200" w:type="pct"/>
            <w:tcBorders>
              <w:tl2br w:val="nil"/>
              <w:tr2bl w:val="nil"/>
            </w:tcBorders>
            <w:noWrap w:val="0"/>
            <w:vAlign w:val="center"/>
          </w:tcPr>
          <w:p w14:paraId="1A542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39.6</w:t>
            </w:r>
          </w:p>
        </w:tc>
        <w:tc>
          <w:tcPr>
            <w:tcW w:w="1207" w:type="pct"/>
            <w:tcBorders>
              <w:tl2br w:val="nil"/>
              <w:tr2bl w:val="nil"/>
            </w:tcBorders>
            <w:noWrap w:val="0"/>
            <w:vAlign w:val="center"/>
          </w:tcPr>
          <w:p w14:paraId="5B6A7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43.0</w:t>
            </w:r>
          </w:p>
        </w:tc>
      </w:tr>
    </w:tbl>
    <w:p w14:paraId="337AFB2C">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矿石辐射监测结果及评价</w:t>
      </w:r>
    </w:p>
    <w:p w14:paraId="5E49BFEE">
      <w:pPr>
        <w:spacing w:line="46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核工业二</w:t>
      </w:r>
      <w:r>
        <w:rPr>
          <w:rFonts w:hint="eastAsia"/>
          <w:color w:val="000000" w:themeColor="text1"/>
          <w:sz w:val="24"/>
          <w:szCs w:val="24"/>
          <w:lang w:eastAsia="zh-CN"/>
          <w14:textFill>
            <w14:solidFill>
              <w14:schemeClr w14:val="tx1"/>
            </w14:solidFill>
          </w14:textFill>
        </w:rPr>
        <w:t>〇三研究所分析测试中心</w:t>
      </w:r>
      <w:r>
        <w:rPr>
          <w:color w:val="000000" w:themeColor="text1"/>
          <w:sz w:val="24"/>
          <w:szCs w:val="24"/>
          <w14:textFill>
            <w14:solidFill>
              <w14:schemeClr w14:val="tx1"/>
            </w14:solidFill>
          </w14:textFill>
        </w:rPr>
        <w:t>于</w:t>
      </w:r>
      <w:r>
        <w:rPr>
          <w:rFonts w:hint="eastAsia"/>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14</w:t>
      </w:r>
      <w:r>
        <w:rPr>
          <w:color w:val="000000" w:themeColor="text1"/>
          <w:sz w:val="24"/>
          <w:szCs w:val="24"/>
          <w14:textFill>
            <w14:solidFill>
              <w14:schemeClr w14:val="tx1"/>
            </w14:solidFill>
          </w14:textFill>
        </w:rPr>
        <w:t>日对</w:t>
      </w:r>
      <w:r>
        <w:rPr>
          <w:rFonts w:hint="eastAsia"/>
          <w:color w:val="000000" w:themeColor="text1"/>
          <w:sz w:val="24"/>
          <w:szCs w:val="24"/>
          <w14:textFill>
            <w14:solidFill>
              <w14:schemeClr w14:val="tx1"/>
            </w14:solidFill>
          </w14:textFill>
        </w:rPr>
        <w:t>本项目铁</w:t>
      </w:r>
      <w:r>
        <w:rPr>
          <w:color w:val="000000" w:themeColor="text1"/>
          <w:sz w:val="24"/>
          <w:szCs w:val="24"/>
          <w14:textFill>
            <w14:solidFill>
              <w14:schemeClr w14:val="tx1"/>
            </w14:solidFill>
          </w14:textFill>
        </w:rPr>
        <w:t>矿石样进行了铀（钍）系单个核素活度浓度检测</w:t>
      </w:r>
      <w:r>
        <w:rPr>
          <w:rFonts w:hint="eastAsia"/>
          <w:color w:val="auto"/>
          <w:sz w:val="24"/>
          <w:szCs w:val="24"/>
          <w:highlight w:val="none"/>
          <w:lang w:eastAsia="zh-CN"/>
        </w:rPr>
        <w:t>（</w:t>
      </w:r>
      <w:r>
        <w:rPr>
          <w:rFonts w:hint="eastAsia"/>
          <w:color w:val="auto"/>
          <w:sz w:val="24"/>
          <w:szCs w:val="24"/>
          <w:highlight w:val="none"/>
          <w:lang w:val="en-US" w:eastAsia="zh-CN"/>
        </w:rPr>
        <w:t>检测报告见附件</w:t>
      </w:r>
      <w:r>
        <w:rPr>
          <w:rFonts w:hint="eastAsia"/>
          <w:color w:val="auto"/>
          <w:sz w:val="24"/>
          <w:szCs w:val="24"/>
          <w:highlight w:val="none"/>
          <w:lang w:eastAsia="zh-CN"/>
        </w:rPr>
        <w: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监测结果见表4.2-1</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w:t>
      </w:r>
    </w:p>
    <w:p w14:paraId="7640B900">
      <w:pPr>
        <w:spacing w:line="460" w:lineRule="exact"/>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表4.2-1</w:t>
      </w: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14:textFill>
            <w14:solidFill>
              <w14:schemeClr w14:val="tx1"/>
            </w14:solidFill>
          </w14:textFill>
        </w:rPr>
        <w:t xml:space="preserve">    矿石核素监测结果</w:t>
      </w:r>
      <w:r>
        <w:rPr>
          <w:rFonts w:hint="eastAsia"/>
          <w:b/>
          <w:bCs/>
          <w:color w:val="000000" w:themeColor="text1"/>
          <w:sz w:val="24"/>
          <w:szCs w:val="24"/>
          <w:lang w:val="en-US" w:eastAsia="zh-CN"/>
          <w14:textFill>
            <w14:solidFill>
              <w14:schemeClr w14:val="tx1"/>
            </w14:solidFill>
          </w14:textFill>
        </w:rPr>
        <w:t>一览表</w:t>
      </w:r>
      <w:r>
        <w:rPr>
          <w:rFonts w:hint="eastAsia"/>
          <w:b/>
          <w:bCs/>
          <w:color w:val="000000" w:themeColor="text1"/>
          <w:sz w:val="24"/>
          <w:szCs w:val="24"/>
          <w14:textFill>
            <w14:solidFill>
              <w14:schemeClr w14:val="tx1"/>
            </w14:solidFill>
          </w14:textFill>
        </w:rPr>
        <w:t xml:space="preserve">    </w:t>
      </w:r>
      <w:r>
        <w:rPr>
          <w:rFonts w:hint="eastAsia"/>
          <w:b/>
          <w:bCs/>
          <w:color w:val="000000" w:themeColor="text1"/>
          <w:sz w:val="24"/>
          <w:szCs w:val="24"/>
          <w:lang w:val="en-US" w:eastAsia="zh-CN"/>
          <w14:textFill>
            <w14:solidFill>
              <w14:schemeClr w14:val="tx1"/>
            </w14:solidFill>
          </w14:textFill>
        </w:rPr>
        <w:t>单位：</w:t>
      </w:r>
      <w:r>
        <w:rPr>
          <w:rFonts w:hint="eastAsia"/>
          <w:b/>
          <w:bCs/>
          <w:color w:val="000000" w:themeColor="text1"/>
          <w:sz w:val="24"/>
          <w:szCs w:val="24"/>
          <w14:textFill>
            <w14:solidFill>
              <w14:schemeClr w14:val="tx1"/>
            </w14:solidFill>
          </w14:textFill>
        </w:rPr>
        <w:t>Bq/kg</w:t>
      </w:r>
    </w:p>
    <w:tbl>
      <w:tblPr>
        <w:tblStyle w:val="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025"/>
        <w:gridCol w:w="1420"/>
        <w:gridCol w:w="1420"/>
        <w:gridCol w:w="1420"/>
        <w:gridCol w:w="1421"/>
      </w:tblGrid>
      <w:tr w14:paraId="399C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restart"/>
            <w:tcBorders>
              <w:top w:val="single" w:color="auto" w:sz="12" w:space="0"/>
              <w:left w:val="single" w:color="auto" w:sz="12" w:space="0"/>
            </w:tcBorders>
            <w:noWrap w:val="0"/>
            <w:vAlign w:val="center"/>
          </w:tcPr>
          <w:p w14:paraId="52E0CCB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r>
              <w:rPr>
                <w:rFonts w:hint="eastAsia" w:ascii="Times New Roman" w:hAnsi="Times New Roman" w:cs="Times New Roman"/>
                <w:b/>
                <w:bCs/>
                <w:color w:val="000000" w:themeColor="text1"/>
                <w:kern w:val="0"/>
                <w:szCs w:val="21"/>
                <w:lang w:bidi="ar"/>
                <w14:textFill>
                  <w14:solidFill>
                    <w14:schemeClr w14:val="tx1"/>
                  </w14:solidFill>
                </w14:textFill>
              </w:rPr>
              <w:t>序号</w:t>
            </w:r>
          </w:p>
        </w:tc>
        <w:tc>
          <w:tcPr>
            <w:tcW w:w="1188" w:type="pct"/>
            <w:vMerge w:val="restart"/>
            <w:tcBorders>
              <w:top w:val="single" w:color="auto" w:sz="12" w:space="0"/>
            </w:tcBorders>
            <w:noWrap w:val="0"/>
            <w:vAlign w:val="center"/>
          </w:tcPr>
          <w:p w14:paraId="49D1FCB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r>
              <w:rPr>
                <w:rFonts w:hint="eastAsia" w:ascii="Times New Roman" w:hAnsi="Times New Roman" w:cs="Times New Roman"/>
                <w:b/>
                <w:bCs/>
                <w:color w:val="000000" w:themeColor="text1"/>
                <w:kern w:val="0"/>
                <w:szCs w:val="21"/>
                <w:lang w:bidi="ar"/>
                <w14:textFill>
                  <w14:solidFill>
                    <w14:schemeClr w14:val="tx1"/>
                  </w14:solidFill>
                </w14:textFill>
              </w:rPr>
              <w:t>样品</w:t>
            </w:r>
          </w:p>
        </w:tc>
        <w:tc>
          <w:tcPr>
            <w:tcW w:w="3333" w:type="pct"/>
            <w:gridSpan w:val="4"/>
            <w:tcBorders>
              <w:top w:val="single" w:color="auto" w:sz="12" w:space="0"/>
              <w:right w:val="single" w:color="auto" w:sz="12" w:space="0"/>
            </w:tcBorders>
            <w:noWrap w:val="0"/>
            <w:vAlign w:val="center"/>
          </w:tcPr>
          <w:p w14:paraId="519E8637">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r>
              <w:rPr>
                <w:rFonts w:hint="eastAsia" w:ascii="Times New Roman" w:hAnsi="Times New Roman" w:cs="Times New Roman"/>
                <w:b/>
                <w:bCs/>
                <w:color w:val="000000" w:themeColor="text1"/>
                <w:kern w:val="0"/>
                <w:szCs w:val="21"/>
                <w:lang w:bidi="ar"/>
                <w14:textFill>
                  <w14:solidFill>
                    <w14:schemeClr w14:val="tx1"/>
                  </w14:solidFill>
                </w14:textFill>
              </w:rPr>
              <w:t>测试项目</w:t>
            </w:r>
          </w:p>
        </w:tc>
      </w:tr>
      <w:tr w14:paraId="0350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left w:val="single" w:color="auto" w:sz="12" w:space="0"/>
            </w:tcBorders>
            <w:noWrap w:val="0"/>
            <w:vAlign w:val="center"/>
          </w:tcPr>
          <w:p w14:paraId="1707035C">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p>
        </w:tc>
        <w:tc>
          <w:tcPr>
            <w:tcW w:w="1188" w:type="pct"/>
            <w:vMerge w:val="continue"/>
            <w:noWrap w:val="0"/>
            <w:vAlign w:val="center"/>
          </w:tcPr>
          <w:p w14:paraId="1971C6A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p>
        </w:tc>
        <w:tc>
          <w:tcPr>
            <w:tcW w:w="833" w:type="pct"/>
            <w:noWrap w:val="0"/>
            <w:vAlign w:val="center"/>
          </w:tcPr>
          <w:p w14:paraId="3600CA44">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r>
              <w:rPr>
                <w:rFonts w:hint="default" w:ascii="Times New Roman" w:hAnsi="Times New Roman" w:cs="Times New Roman"/>
                <w:b/>
                <w:bCs/>
                <w:color w:val="000000" w:themeColor="text1"/>
                <w:vertAlign w:val="superscript"/>
                <w14:textFill>
                  <w14:solidFill>
                    <w14:schemeClr w14:val="tx1"/>
                  </w14:solidFill>
                </w14:textFill>
              </w:rPr>
              <w:t>226</w:t>
            </w:r>
            <w:r>
              <w:rPr>
                <w:rFonts w:hint="default" w:ascii="Times New Roman" w:hAnsi="Times New Roman" w:cs="Times New Roman"/>
                <w:b/>
                <w:bCs/>
                <w:color w:val="000000" w:themeColor="text1"/>
                <w14:textFill>
                  <w14:solidFill>
                    <w14:schemeClr w14:val="tx1"/>
                  </w14:solidFill>
                </w14:textFill>
              </w:rPr>
              <w:t>Ra</w:t>
            </w:r>
          </w:p>
        </w:tc>
        <w:tc>
          <w:tcPr>
            <w:tcW w:w="833" w:type="pct"/>
            <w:noWrap w:val="0"/>
            <w:vAlign w:val="center"/>
          </w:tcPr>
          <w:p w14:paraId="29421BF6">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r>
              <w:rPr>
                <w:rFonts w:hint="default" w:ascii="Times New Roman" w:hAnsi="Times New Roman" w:cs="Times New Roman"/>
                <w:b/>
                <w:bCs/>
                <w:color w:val="000000" w:themeColor="text1"/>
                <w:vertAlign w:val="superscript"/>
                <w14:textFill>
                  <w14:solidFill>
                    <w14:schemeClr w14:val="tx1"/>
                  </w14:solidFill>
                </w14:textFill>
              </w:rPr>
              <w:t>232</w:t>
            </w:r>
            <w:r>
              <w:rPr>
                <w:rFonts w:hint="default" w:ascii="Times New Roman" w:hAnsi="Times New Roman" w:cs="Times New Roman"/>
                <w:b/>
                <w:bCs/>
                <w:color w:val="000000" w:themeColor="text1"/>
                <w14:textFill>
                  <w14:solidFill>
                    <w14:schemeClr w14:val="tx1"/>
                  </w14:solidFill>
                </w14:textFill>
              </w:rPr>
              <w:t>Th</w:t>
            </w:r>
          </w:p>
        </w:tc>
        <w:tc>
          <w:tcPr>
            <w:tcW w:w="833" w:type="pct"/>
            <w:noWrap w:val="0"/>
            <w:vAlign w:val="center"/>
          </w:tcPr>
          <w:p w14:paraId="3FA9C8D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r>
              <w:rPr>
                <w:rFonts w:hint="default" w:ascii="Times New Roman" w:hAnsi="Times New Roman" w:cs="Times New Roman"/>
                <w:b/>
                <w:bCs/>
                <w:color w:val="000000" w:themeColor="text1"/>
                <w:vertAlign w:val="superscript"/>
                <w14:textFill>
                  <w14:solidFill>
                    <w14:schemeClr w14:val="tx1"/>
                  </w14:solidFill>
                </w14:textFill>
              </w:rPr>
              <w:t>40</w:t>
            </w:r>
            <w:r>
              <w:rPr>
                <w:rFonts w:hint="default" w:ascii="Times New Roman" w:hAnsi="Times New Roman" w:cs="Times New Roman"/>
                <w:b/>
                <w:bCs/>
                <w:color w:val="000000" w:themeColor="text1"/>
                <w14:textFill>
                  <w14:solidFill>
                    <w14:schemeClr w14:val="tx1"/>
                  </w14:solidFill>
                </w14:textFill>
              </w:rPr>
              <w:t>K</w:t>
            </w:r>
          </w:p>
        </w:tc>
        <w:tc>
          <w:tcPr>
            <w:tcW w:w="833" w:type="pct"/>
            <w:tcBorders>
              <w:right w:val="single" w:color="auto" w:sz="12" w:space="0"/>
            </w:tcBorders>
            <w:noWrap w:val="0"/>
            <w:vAlign w:val="center"/>
          </w:tcPr>
          <w:p w14:paraId="537077F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kern w:val="0"/>
                <w:lang w:bidi="ar"/>
                <w14:textFill>
                  <w14:solidFill>
                    <w14:schemeClr w14:val="tx1"/>
                  </w14:solidFill>
                </w14:textFill>
              </w:rPr>
            </w:pPr>
            <w:r>
              <w:rPr>
                <w:rFonts w:hint="default" w:ascii="Times New Roman" w:hAnsi="Times New Roman" w:cs="Times New Roman"/>
                <w:b/>
                <w:bCs/>
                <w:color w:val="000000" w:themeColor="text1"/>
                <w:vertAlign w:val="superscript"/>
                <w14:textFill>
                  <w14:solidFill>
                    <w14:schemeClr w14:val="tx1"/>
                  </w14:solidFill>
                </w14:textFill>
              </w:rPr>
              <w:t>238</w:t>
            </w:r>
            <w:r>
              <w:rPr>
                <w:rFonts w:hint="default" w:ascii="Times New Roman" w:hAnsi="Times New Roman" w:cs="Times New Roman"/>
                <w:b/>
                <w:bCs/>
                <w:color w:val="000000" w:themeColor="text1"/>
                <w14:textFill>
                  <w14:solidFill>
                    <w14:schemeClr w14:val="tx1"/>
                  </w14:solidFill>
                </w14:textFill>
              </w:rPr>
              <w:t>U</w:t>
            </w:r>
          </w:p>
        </w:tc>
      </w:tr>
      <w:tr w14:paraId="4D8C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tcBorders>
              <w:left w:val="single" w:color="auto" w:sz="12" w:space="0"/>
              <w:bottom w:val="single" w:color="auto" w:sz="12" w:space="0"/>
            </w:tcBorders>
            <w:noWrap w:val="0"/>
            <w:vAlign w:val="center"/>
          </w:tcPr>
          <w:p w14:paraId="41B0ED07">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1</w:t>
            </w:r>
          </w:p>
        </w:tc>
        <w:tc>
          <w:tcPr>
            <w:tcW w:w="1188" w:type="pct"/>
            <w:tcBorders>
              <w:bottom w:val="single" w:color="auto" w:sz="12" w:space="0"/>
            </w:tcBorders>
            <w:noWrap w:val="0"/>
            <w:vAlign w:val="center"/>
          </w:tcPr>
          <w:p w14:paraId="4325CE18">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color w:val="000000" w:themeColor="text1"/>
                <w:kern w:val="0"/>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西成矿业铁矿石</w:t>
            </w:r>
          </w:p>
        </w:tc>
        <w:tc>
          <w:tcPr>
            <w:tcW w:w="833" w:type="pct"/>
            <w:tcBorders>
              <w:bottom w:val="single" w:color="auto" w:sz="12" w:space="0"/>
            </w:tcBorders>
            <w:noWrap w:val="0"/>
            <w:vAlign w:val="center"/>
          </w:tcPr>
          <w:p w14:paraId="40DC4774">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cs="Times New Roman"/>
                <w:color w:val="000000" w:themeColor="text1"/>
                <w:kern w:val="0"/>
                <w:lang w:val="en-US" w:eastAsia="zh-CN" w:bidi="ar"/>
                <w14:textFill>
                  <w14:solidFill>
                    <w14:schemeClr w14:val="tx1"/>
                  </w14:solidFill>
                </w14:textFill>
              </w:rPr>
              <w:t>19.8</w:t>
            </w:r>
          </w:p>
        </w:tc>
        <w:tc>
          <w:tcPr>
            <w:tcW w:w="833" w:type="pct"/>
            <w:tcBorders>
              <w:bottom w:val="single" w:color="auto" w:sz="12" w:space="0"/>
            </w:tcBorders>
            <w:noWrap w:val="0"/>
            <w:vAlign w:val="center"/>
          </w:tcPr>
          <w:p w14:paraId="092B5341">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cs="Times New Roman"/>
                <w:color w:val="000000" w:themeColor="text1"/>
                <w:kern w:val="0"/>
                <w:lang w:val="en-US" w:eastAsia="zh-CN" w:bidi="ar"/>
                <w14:textFill>
                  <w14:solidFill>
                    <w14:schemeClr w14:val="tx1"/>
                  </w14:solidFill>
                </w14:textFill>
              </w:rPr>
              <w:t>23.2</w:t>
            </w:r>
          </w:p>
        </w:tc>
        <w:tc>
          <w:tcPr>
            <w:tcW w:w="833" w:type="pct"/>
            <w:tcBorders>
              <w:bottom w:val="single" w:color="auto" w:sz="12" w:space="0"/>
            </w:tcBorders>
            <w:noWrap w:val="0"/>
            <w:vAlign w:val="center"/>
          </w:tcPr>
          <w:p w14:paraId="7E6AA813">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cs="Times New Roman"/>
                <w:color w:val="000000" w:themeColor="text1"/>
                <w:kern w:val="0"/>
                <w:lang w:val="en-US" w:eastAsia="zh-CN" w:bidi="ar"/>
                <w14:textFill>
                  <w14:solidFill>
                    <w14:schemeClr w14:val="tx1"/>
                  </w14:solidFill>
                </w14:textFill>
              </w:rPr>
              <w:t>343</w:t>
            </w:r>
          </w:p>
        </w:tc>
        <w:tc>
          <w:tcPr>
            <w:tcW w:w="833" w:type="pct"/>
            <w:tcBorders>
              <w:bottom w:val="single" w:color="auto" w:sz="12" w:space="0"/>
              <w:right w:val="single" w:color="auto" w:sz="12" w:space="0"/>
            </w:tcBorders>
            <w:noWrap w:val="0"/>
            <w:vAlign w:val="center"/>
          </w:tcPr>
          <w:p w14:paraId="734A21A0">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cs="Times New Roman"/>
                <w:color w:val="000000" w:themeColor="text1"/>
                <w:kern w:val="0"/>
                <w:lang w:val="en-US" w:eastAsia="zh-CN" w:bidi="ar"/>
                <w14:textFill>
                  <w14:solidFill>
                    <w14:schemeClr w14:val="tx1"/>
                  </w14:solidFill>
                </w14:textFill>
              </w:rPr>
              <w:t>34.2</w:t>
            </w:r>
          </w:p>
        </w:tc>
      </w:tr>
    </w:tbl>
    <w:p w14:paraId="00BF748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结果显示</w:t>
      </w:r>
      <w:r>
        <w:rPr>
          <w:rFonts w:hint="eastAsia"/>
          <w:color w:val="000000" w:themeColor="text1"/>
          <w:sz w:val="24"/>
          <w:szCs w:val="24"/>
          <w:lang w:val="en-US" w:eastAsia="zh-CN"/>
          <w14:textFill>
            <w14:solidFill>
              <w14:schemeClr w14:val="tx1"/>
            </w14:solidFill>
          </w14:textFill>
        </w:rPr>
        <w:t>铁矿石中的</w:t>
      </w:r>
      <w:r>
        <w:rPr>
          <w:color w:val="000000" w:themeColor="text1"/>
          <w:sz w:val="24"/>
          <w:szCs w:val="24"/>
          <w:vertAlign w:val="superscript"/>
          <w14:textFill>
            <w14:solidFill>
              <w14:schemeClr w14:val="tx1"/>
            </w14:solidFill>
          </w14:textFill>
        </w:rPr>
        <w:t>238</w:t>
      </w:r>
      <w:r>
        <w:rPr>
          <w:color w:val="000000" w:themeColor="text1"/>
          <w:sz w:val="24"/>
          <w:szCs w:val="24"/>
          <w14:textFill>
            <w14:solidFill>
              <w14:schemeClr w14:val="tx1"/>
            </w14:solidFill>
          </w14:textFill>
        </w:rPr>
        <w:t>U、</w:t>
      </w:r>
      <w:r>
        <w:rPr>
          <w:color w:val="000000" w:themeColor="text1"/>
          <w:sz w:val="24"/>
          <w:szCs w:val="24"/>
          <w:vertAlign w:val="superscript"/>
          <w14:textFill>
            <w14:solidFill>
              <w14:schemeClr w14:val="tx1"/>
            </w14:solidFill>
          </w14:textFill>
        </w:rPr>
        <w:t>226</w:t>
      </w:r>
      <w:r>
        <w:rPr>
          <w:color w:val="000000" w:themeColor="text1"/>
          <w:sz w:val="24"/>
          <w:szCs w:val="24"/>
          <w14:textFill>
            <w14:solidFill>
              <w14:schemeClr w14:val="tx1"/>
            </w14:solidFill>
          </w14:textFill>
        </w:rPr>
        <w:t>Ra、</w:t>
      </w:r>
      <w:r>
        <w:rPr>
          <w:color w:val="000000" w:themeColor="text1"/>
          <w:sz w:val="24"/>
          <w:szCs w:val="24"/>
          <w:vertAlign w:val="superscript"/>
          <w14:textFill>
            <w14:solidFill>
              <w14:schemeClr w14:val="tx1"/>
            </w14:solidFill>
          </w14:textFill>
        </w:rPr>
        <w:t>232</w:t>
      </w:r>
      <w:r>
        <w:rPr>
          <w:color w:val="000000" w:themeColor="text1"/>
          <w:sz w:val="24"/>
          <w:szCs w:val="24"/>
          <w14:textFill>
            <w14:solidFill>
              <w14:schemeClr w14:val="tx1"/>
            </w14:solidFill>
          </w14:textFill>
        </w:rPr>
        <w:t>Th、</w:t>
      </w:r>
      <w:r>
        <w:rPr>
          <w:color w:val="000000" w:themeColor="text1"/>
          <w:sz w:val="24"/>
          <w:szCs w:val="24"/>
          <w:vertAlign w:val="superscript"/>
          <w14:textFill>
            <w14:solidFill>
              <w14:schemeClr w14:val="tx1"/>
            </w14:solidFill>
          </w14:textFill>
        </w:rPr>
        <w:t>40</w:t>
      </w:r>
      <w:r>
        <w:rPr>
          <w:color w:val="000000" w:themeColor="text1"/>
          <w:sz w:val="24"/>
          <w:szCs w:val="24"/>
          <w14:textFill>
            <w14:solidFill>
              <w14:schemeClr w14:val="tx1"/>
            </w14:solidFill>
          </w14:textFill>
        </w:rPr>
        <w:t>K等元素活度浓度均未超过1贝克/克（Bq/g），</w:t>
      </w:r>
      <w:r>
        <w:rPr>
          <w:rFonts w:hint="default" w:ascii="Times New Roman" w:hAnsi="Times New Roman" w:eastAsia="宋体" w:cs="Times New Roman"/>
          <w:color w:val="000000" w:themeColor="text1"/>
          <w:sz w:val="24"/>
          <w:szCs w:val="24"/>
          <w14:textFill>
            <w14:solidFill>
              <w14:schemeClr w14:val="tx1"/>
            </w14:solidFill>
          </w14:textFill>
        </w:rPr>
        <w:t>无放射性异常，依据《矿产资源开发利用辐射环境监督管理名录》相关规定，无需编制辐射环境影响评价专篇。</w:t>
      </w:r>
    </w:p>
    <w:p w14:paraId="326EFC57">
      <w:pPr>
        <w:pStyle w:val="4"/>
        <w:spacing w:before="60" w:after="60" w:line="480" w:lineRule="exact"/>
        <w:rPr>
          <w:color w:val="000000" w:themeColor="text1"/>
          <w:kern w:val="2"/>
          <w14:textFill>
            <w14:solidFill>
              <w14:schemeClr w14:val="tx1"/>
            </w14:solidFill>
          </w14:textFill>
        </w:rPr>
      </w:pPr>
      <w:bookmarkStart w:id="397" w:name="_Toc426642653"/>
      <w:bookmarkStart w:id="398" w:name="_Toc21844"/>
      <w:bookmarkStart w:id="399" w:name="_Toc252"/>
      <w:bookmarkStart w:id="400" w:name="_Toc971408716"/>
      <w:bookmarkStart w:id="401" w:name="_Toc24937"/>
      <w:bookmarkStart w:id="402" w:name="_Toc5852"/>
      <w:bookmarkStart w:id="403" w:name="_Toc446160694"/>
      <w:bookmarkStart w:id="404" w:name="_Toc447541182"/>
      <w:bookmarkStart w:id="405" w:name="_Toc13198"/>
      <w:bookmarkStart w:id="406" w:name="_Toc22126247"/>
      <w:r>
        <w:rPr>
          <w:color w:val="000000" w:themeColor="text1"/>
          <w:kern w:val="2"/>
          <w14:textFill>
            <w14:solidFill>
              <w14:schemeClr w14:val="tx1"/>
            </w14:solidFill>
          </w14:textFill>
        </w:rPr>
        <w:t>4.2.7生态环境质量现状调查及评价</w:t>
      </w:r>
      <w:bookmarkEnd w:id="397"/>
      <w:bookmarkEnd w:id="398"/>
      <w:bookmarkEnd w:id="399"/>
      <w:bookmarkEnd w:id="400"/>
      <w:bookmarkEnd w:id="401"/>
      <w:bookmarkEnd w:id="402"/>
      <w:bookmarkEnd w:id="403"/>
      <w:bookmarkEnd w:id="404"/>
      <w:bookmarkEnd w:id="405"/>
      <w:bookmarkEnd w:id="406"/>
    </w:p>
    <w:p w14:paraId="36941909">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4.2.7.1生态功能区划</w:t>
      </w:r>
    </w:p>
    <w:p w14:paraId="5B07AADC">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color w:val="000000" w:themeColor="text1"/>
          <w:sz w:val="24"/>
          <w:szCs w:val="24"/>
          <w14:textFill>
            <w14:solidFill>
              <w14:schemeClr w14:val="tx1"/>
            </w14:solidFill>
          </w14:textFill>
        </w:rPr>
        <w:t>《新疆生态功能区划》</w:t>
      </w:r>
      <w:r>
        <w:rPr>
          <w:rFonts w:hint="eastAsia"/>
          <w:color w:val="000000" w:themeColor="text1"/>
          <w:sz w:val="24"/>
          <w:szCs w:val="24"/>
          <w14:textFill>
            <w14:solidFill>
              <w14:schemeClr w14:val="tx1"/>
            </w14:solidFill>
          </w14:textFill>
        </w:rPr>
        <w:t>，本项目位于Ⅲ天山山地温性草原、森林生态区——Ⅲ</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14:textFill>
            <w14:solidFill>
              <w14:schemeClr w14:val="tx1"/>
            </w14:solidFill>
          </w14:textFill>
        </w:rPr>
        <w:t>天山南坡吐鲁番—哈密盆地戈壁荒漠、绿洲农业生态亚区——5</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嘎顺—南湖戈壁荒漠风蚀敏感生态功能区。该生态功能区的主要生态服务功能、生态敏感因子、主要生态环境问题和主要保护目标见表4.2-1</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，生态功能区划图见图4.2-2。</w:t>
      </w:r>
    </w:p>
    <w:p w14:paraId="0200CF27">
      <w:pPr>
        <w:spacing w:line="480" w:lineRule="exact"/>
        <w:jc w:val="center"/>
        <w:rPr>
          <w:b/>
          <w:color w:val="000000" w:themeColor="text1"/>
          <w:kern w:val="0"/>
          <w:sz w:val="24"/>
          <w:szCs w:val="24"/>
          <w:lang w:val="zh-CN" w:bidi="ar"/>
          <w14:textFill>
            <w14:solidFill>
              <w14:schemeClr w14:val="tx1"/>
            </w14:solidFill>
          </w14:textFill>
        </w:rPr>
      </w:pPr>
      <w:r>
        <w:rPr>
          <w:b/>
          <w:color w:val="000000" w:themeColor="text1"/>
          <w:kern w:val="0"/>
          <w:sz w:val="24"/>
          <w:szCs w:val="24"/>
          <w:lang w:val="zh-CN" w:bidi="ar"/>
          <w14:textFill>
            <w14:solidFill>
              <w14:schemeClr w14:val="tx1"/>
            </w14:solidFill>
          </w14:textFill>
        </w:rPr>
        <w:t>表</w:t>
      </w:r>
      <w:r>
        <w:rPr>
          <w:b/>
          <w:color w:val="000000" w:themeColor="text1"/>
          <w:kern w:val="0"/>
          <w:sz w:val="24"/>
          <w:szCs w:val="24"/>
          <w:lang w:bidi="ar"/>
          <w14:textFill>
            <w14:solidFill>
              <w14:schemeClr w14:val="tx1"/>
            </w14:solidFill>
          </w14:textFill>
        </w:rPr>
        <w:t>4.</w:t>
      </w:r>
      <w:r>
        <w:rPr>
          <w:rFonts w:hint="eastAsia"/>
          <w:b/>
          <w:color w:val="000000" w:themeColor="text1"/>
          <w:kern w:val="0"/>
          <w:sz w:val="24"/>
          <w:szCs w:val="24"/>
          <w:lang w:bidi="ar"/>
          <w14:textFill>
            <w14:solidFill>
              <w14:schemeClr w14:val="tx1"/>
            </w14:solidFill>
          </w14:textFill>
        </w:rPr>
        <w:t>2</w:t>
      </w:r>
      <w:r>
        <w:rPr>
          <w:b/>
          <w:color w:val="000000" w:themeColor="text1"/>
          <w:kern w:val="0"/>
          <w:sz w:val="24"/>
          <w:szCs w:val="24"/>
          <w:lang w:bidi="ar"/>
          <w14:textFill>
            <w14:solidFill>
              <w14:schemeClr w14:val="tx1"/>
            </w14:solidFill>
          </w14:textFill>
        </w:rPr>
        <w:t>-</w:t>
      </w:r>
      <w:r>
        <w:rPr>
          <w:rFonts w:hint="eastAsia"/>
          <w:b/>
          <w:color w:val="000000" w:themeColor="text1"/>
          <w:kern w:val="0"/>
          <w:sz w:val="24"/>
          <w:szCs w:val="24"/>
          <w:lang w:bidi="ar"/>
          <w14:textFill>
            <w14:solidFill>
              <w14:schemeClr w14:val="tx1"/>
            </w14:solidFill>
          </w14:textFill>
        </w:rPr>
        <w:t>1</w:t>
      </w:r>
      <w:r>
        <w:rPr>
          <w:rFonts w:hint="eastAsia"/>
          <w:b/>
          <w:color w:val="000000" w:themeColor="text1"/>
          <w:kern w:val="0"/>
          <w:sz w:val="24"/>
          <w:szCs w:val="24"/>
          <w:lang w:val="en-US" w:eastAsia="zh-CN" w:bidi="ar"/>
          <w14:textFill>
            <w14:solidFill>
              <w14:schemeClr w14:val="tx1"/>
            </w14:solidFill>
          </w14:textFill>
        </w:rPr>
        <w:t>4</w:t>
      </w:r>
      <w:r>
        <w:rPr>
          <w:b/>
          <w:color w:val="000000" w:themeColor="text1"/>
          <w:kern w:val="0"/>
          <w:sz w:val="24"/>
          <w:szCs w:val="24"/>
          <w:lang w:bidi="ar"/>
          <w14:textFill>
            <w14:solidFill>
              <w14:schemeClr w14:val="tx1"/>
            </w14:solidFill>
          </w14:textFill>
        </w:rPr>
        <w:t xml:space="preserve">   </w:t>
      </w:r>
      <w:r>
        <w:rPr>
          <w:b/>
          <w:color w:val="000000" w:themeColor="text1"/>
          <w:kern w:val="0"/>
          <w:sz w:val="24"/>
          <w:szCs w:val="24"/>
          <w:lang w:val="zh-CN" w:bidi="ar"/>
          <w14:textFill>
            <w14:solidFill>
              <w14:schemeClr w14:val="tx1"/>
            </w14:solidFill>
          </w14:textFill>
        </w:rPr>
        <w:t xml:space="preserve"> 项目所在区域生态功能区划</w:t>
      </w:r>
    </w:p>
    <w:tbl>
      <w:tblPr>
        <w:tblStyle w:val="7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739"/>
        <w:gridCol w:w="5621"/>
      </w:tblGrid>
      <w:tr w14:paraId="31E62A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restart"/>
            <w:noWrap w:val="0"/>
            <w:vAlign w:val="center"/>
          </w:tcPr>
          <w:p w14:paraId="78442C1F">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生态功能分区单元</w:t>
            </w:r>
          </w:p>
        </w:tc>
        <w:tc>
          <w:tcPr>
            <w:tcW w:w="1739" w:type="dxa"/>
            <w:noWrap w:val="0"/>
            <w:vAlign w:val="center"/>
          </w:tcPr>
          <w:p w14:paraId="6D92F917">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生态区</w:t>
            </w:r>
          </w:p>
        </w:tc>
        <w:tc>
          <w:tcPr>
            <w:tcW w:w="5621" w:type="dxa"/>
            <w:noWrap w:val="0"/>
            <w:vAlign w:val="center"/>
          </w:tcPr>
          <w:p w14:paraId="19A1381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Ⅲ天山山地温性草原、森林生态区</w:t>
            </w:r>
          </w:p>
        </w:tc>
      </w:tr>
      <w:tr w14:paraId="6EDDD4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590A688E">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Times New Roman" w:cs="Times New Roman"/>
                <w:b/>
                <w:bCs/>
                <w:color w:val="000000" w:themeColor="text1"/>
                <w:sz w:val="21"/>
                <w:szCs w:val="21"/>
                <w14:textFill>
                  <w14:solidFill>
                    <w14:schemeClr w14:val="tx1"/>
                  </w14:solidFill>
                </w14:textFill>
              </w:rPr>
            </w:pPr>
          </w:p>
        </w:tc>
        <w:tc>
          <w:tcPr>
            <w:tcW w:w="1739" w:type="dxa"/>
            <w:noWrap w:val="0"/>
            <w:vAlign w:val="center"/>
          </w:tcPr>
          <w:p w14:paraId="01199571">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生态亚区</w:t>
            </w:r>
          </w:p>
        </w:tc>
        <w:tc>
          <w:tcPr>
            <w:tcW w:w="5621" w:type="dxa"/>
            <w:noWrap w:val="0"/>
            <w:vAlign w:val="center"/>
          </w:tcPr>
          <w:p w14:paraId="00EC6785">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Ⅲ</w:t>
            </w:r>
            <w:r>
              <w:rPr>
                <w:rFonts w:hint="eastAsia" w:ascii="Times New Roman" w:hAnsi="Times New Roman" w:cs="Times New Roman"/>
                <w:color w:val="000000" w:themeColor="text1"/>
                <w:sz w:val="21"/>
                <w:szCs w:val="21"/>
                <w:vertAlign w:val="subscript"/>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天山南坡吐鲁番—哈密盆地戈壁荒漠、绿洲农业生态亚区</w:t>
            </w:r>
          </w:p>
        </w:tc>
      </w:tr>
      <w:tr w14:paraId="0F773F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294CC96F">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Times New Roman" w:cs="Times New Roman"/>
                <w:b/>
                <w:bCs/>
                <w:color w:val="000000" w:themeColor="text1"/>
                <w:sz w:val="21"/>
                <w:szCs w:val="21"/>
                <w14:textFill>
                  <w14:solidFill>
                    <w14:schemeClr w14:val="tx1"/>
                  </w14:solidFill>
                </w14:textFill>
              </w:rPr>
            </w:pPr>
          </w:p>
        </w:tc>
        <w:tc>
          <w:tcPr>
            <w:tcW w:w="1739" w:type="dxa"/>
            <w:noWrap w:val="0"/>
            <w:vAlign w:val="center"/>
          </w:tcPr>
          <w:p w14:paraId="0EAE793A">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生态功能区</w:t>
            </w:r>
          </w:p>
        </w:tc>
        <w:tc>
          <w:tcPr>
            <w:tcW w:w="5621" w:type="dxa"/>
            <w:noWrap w:val="0"/>
            <w:vAlign w:val="center"/>
          </w:tcPr>
          <w:p w14:paraId="25C06C97">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53.嘎顺—南湖戈壁荒漠风蚀敏感生态功能区</w:t>
            </w:r>
          </w:p>
        </w:tc>
      </w:tr>
      <w:tr w14:paraId="1709E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732D949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隶属行政区</w:t>
            </w:r>
          </w:p>
        </w:tc>
        <w:tc>
          <w:tcPr>
            <w:tcW w:w="5621" w:type="dxa"/>
            <w:noWrap w:val="0"/>
            <w:vAlign w:val="center"/>
          </w:tcPr>
          <w:p w14:paraId="25E44215">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哈密市</w:t>
            </w:r>
          </w:p>
        </w:tc>
      </w:tr>
      <w:tr w14:paraId="7DF15C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1DFE8B69">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4"/>
                <w:sz w:val="21"/>
                <w:szCs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主要生态服务功能</w:t>
            </w:r>
          </w:p>
        </w:tc>
        <w:tc>
          <w:tcPr>
            <w:tcW w:w="5621" w:type="dxa"/>
            <w:noWrap w:val="0"/>
            <w:vAlign w:val="center"/>
          </w:tcPr>
          <w:p w14:paraId="072440A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荒漠化控制、生物多样性维护、矿产资源开发</w:t>
            </w:r>
          </w:p>
        </w:tc>
      </w:tr>
      <w:tr w14:paraId="7FC1A3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0FE71B31">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4"/>
                <w:sz w:val="21"/>
                <w:szCs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主要生态环境问题</w:t>
            </w:r>
          </w:p>
        </w:tc>
        <w:tc>
          <w:tcPr>
            <w:tcW w:w="5621" w:type="dxa"/>
            <w:noWrap w:val="0"/>
            <w:vAlign w:val="center"/>
          </w:tcPr>
          <w:p w14:paraId="0DB3E7F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风沙危害铁路公路、地表形态破坏</w:t>
            </w:r>
          </w:p>
        </w:tc>
      </w:tr>
      <w:tr w14:paraId="381077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2EFA410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主要生态敏感因子、敏感程度</w:t>
            </w:r>
          </w:p>
        </w:tc>
        <w:tc>
          <w:tcPr>
            <w:tcW w:w="5621" w:type="dxa"/>
            <w:noWrap w:val="0"/>
            <w:vAlign w:val="center"/>
          </w:tcPr>
          <w:p w14:paraId="766F408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生物多样性及其生境高度敏感，土壤侵蚀极度敏感，土地沙漠化轻度敏感</w:t>
            </w:r>
          </w:p>
        </w:tc>
      </w:tr>
      <w:tr w14:paraId="24E83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6D8D95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主要保护目标</w:t>
            </w:r>
          </w:p>
        </w:tc>
        <w:tc>
          <w:tcPr>
            <w:tcW w:w="5621" w:type="dxa"/>
            <w:noWrap w:val="0"/>
            <w:vAlign w:val="center"/>
          </w:tcPr>
          <w:p w14:paraId="1780EE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保护砾幕、保护野生动植物、保护铁路公路、保护戈壁泉眼</w:t>
            </w:r>
          </w:p>
        </w:tc>
      </w:tr>
      <w:tr w14:paraId="3F10AF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3BACF8B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4"/>
                <w:sz w:val="21"/>
                <w:szCs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主要保护措施</w:t>
            </w:r>
          </w:p>
        </w:tc>
        <w:tc>
          <w:tcPr>
            <w:tcW w:w="5621" w:type="dxa"/>
            <w:noWrap w:val="0"/>
            <w:vAlign w:val="center"/>
          </w:tcPr>
          <w:p w14:paraId="14EA443F">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cs="Times New Roman"/>
                <w:color w:val="000000" w:themeColor="text1"/>
                <w14:textFill>
                  <w14:solidFill>
                    <w14:schemeClr w14:val="tx1"/>
                  </w14:solidFill>
                </w14:textFill>
              </w:rPr>
              <w:t>减少公路管道工程破坏地表植被、保护矿区生态、铁路公路沿线防风固沙</w:t>
            </w:r>
          </w:p>
        </w:tc>
      </w:tr>
      <w:tr w14:paraId="3D4404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3BBBDA1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4"/>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适宜发展方向</w:t>
            </w:r>
          </w:p>
        </w:tc>
        <w:tc>
          <w:tcPr>
            <w:tcW w:w="5621" w:type="dxa"/>
            <w:noWrap w:val="0"/>
            <w:vAlign w:val="center"/>
          </w:tcPr>
          <w:p w14:paraId="6443269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cs="Times New Roman"/>
                <w:color w:val="000000" w:themeColor="text1"/>
                <w14:textFill>
                  <w14:solidFill>
                    <w14:schemeClr w14:val="tx1"/>
                  </w14:solidFill>
                </w14:textFill>
              </w:rPr>
              <w:t>保护荒漠自然景观，维护生态平衡</w:t>
            </w:r>
          </w:p>
        </w:tc>
      </w:tr>
    </w:tbl>
    <w:p w14:paraId="30922D6A">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4.2.7.2</w:t>
      </w:r>
      <w:r>
        <w:rPr>
          <w:rFonts w:hint="eastAsia" w:ascii="Times New Roman" w:hAnsi="Times New Roman"/>
          <w:bCs w:val="0"/>
          <w:color w:val="000000" w:themeColor="text1"/>
          <w:kern w:val="2"/>
          <w:szCs w:val="24"/>
          <w14:textFill>
            <w14:solidFill>
              <w14:schemeClr w14:val="tx1"/>
            </w14:solidFill>
          </w14:textFill>
        </w:rPr>
        <w:t>生态景观现状及评价</w:t>
      </w:r>
    </w:p>
    <w:p w14:paraId="5926AF88">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区域气候干燥，降雨稀少，植被覆盖率低，植物种类少，景观较单一。项目建设区域的生态环境质量的控制性组分是戈壁、裸岩等未利用地，生态环境比较脆弱，在人类活动的干扰下，生态环境很容易衰退，所以要尽量保持其原始状况，在项目实施过程中，尽量减少对未利用土地的占用和破坏。</w:t>
      </w:r>
    </w:p>
    <w:p w14:paraId="5C775BD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4.2.7.3</w:t>
      </w:r>
      <w:r>
        <w:rPr>
          <w:rFonts w:hint="eastAsia" w:ascii="Times New Roman" w:hAnsi="Times New Roman"/>
          <w:bCs w:val="0"/>
          <w:color w:val="000000" w:themeColor="text1"/>
          <w:kern w:val="2"/>
          <w:szCs w:val="24"/>
          <w14:textFill>
            <w14:solidFill>
              <w14:schemeClr w14:val="tx1"/>
            </w14:solidFill>
          </w14:textFill>
        </w:rPr>
        <w:t>土地利用现状</w:t>
      </w:r>
    </w:p>
    <w:p w14:paraId="056AA2AB">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本项目永久占地面积4</w:t>
      </w:r>
      <w:r>
        <w:rPr>
          <w:color w:val="000000" w:themeColor="text1"/>
          <w:sz w:val="24"/>
          <w:szCs w:val="24"/>
          <w14:textFill>
            <w14:solidFill>
              <w14:schemeClr w14:val="tx1"/>
            </w14:solidFill>
          </w14:textFill>
        </w:rPr>
        <w:t>8.14</w:t>
      </w:r>
      <w:r>
        <w:rPr>
          <w:rFonts w:hint="eastAsia"/>
          <w:color w:val="000000" w:themeColor="text1"/>
          <w:sz w:val="24"/>
          <w:szCs w:val="24"/>
          <w14:textFill>
            <w14:solidFill>
              <w14:schemeClr w14:val="tx1"/>
            </w14:solidFill>
          </w14:textFill>
        </w:rPr>
        <w:t>hm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，临时用地均在永久占地范围内，项目区土地利用现状为戈壁和裸岩石砾地。评价区域土地利用现状见图4.2-</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w:t>
      </w:r>
    </w:p>
    <w:p w14:paraId="32ABDF9D">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4.2.7.4</w:t>
      </w:r>
      <w:r>
        <w:rPr>
          <w:rFonts w:hint="eastAsia" w:ascii="Times New Roman" w:hAnsi="Times New Roman"/>
          <w:bCs w:val="0"/>
          <w:color w:val="000000" w:themeColor="text1"/>
          <w:kern w:val="2"/>
          <w:szCs w:val="24"/>
          <w14:textFill>
            <w14:solidFill>
              <w14:schemeClr w14:val="tx1"/>
            </w14:solidFill>
          </w14:textFill>
        </w:rPr>
        <w:t>土壤现状调查</w:t>
      </w:r>
    </w:p>
    <w:p w14:paraId="005BD7B0">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按照《中国土壤》和《新疆土壤》等著述的土壤分类系统，依据《新疆维吾尔自治区土壤类型图，1</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50万》和野外实地调查，区域土壤主要是石膏盐盘棕漠土。</w:t>
      </w:r>
    </w:p>
    <w:p w14:paraId="5C205958">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棕漠土是在极端干旱的气候条件下形成的土壤，主要分布于南疆和东疆各冲洪积扇上、中部的砾质戈壁上。生物过程极度微弱，在剖面中看不出明显的腐殖质层次。表层有机质含量极低，砂砾石含量15</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-20%，主要为棕色土、砂、砾石混杂层；中间以土和细砂为主；再下为基岩层非常坚硬。矿区土壤剖面见图</w:t>
      </w:r>
      <w:r>
        <w:rPr>
          <w:color w:val="000000" w:themeColor="text1"/>
          <w:sz w:val="24"/>
          <w:szCs w:val="24"/>
          <w14:textFill>
            <w14:solidFill>
              <w14:schemeClr w14:val="tx1"/>
            </w14:solidFill>
          </w14:textFill>
        </w:rPr>
        <w:t>4.2-4</w:t>
      </w:r>
      <w:r>
        <w:rPr>
          <w:rFonts w:hint="eastAsia"/>
          <w:color w:val="000000" w:themeColor="text1"/>
          <w:sz w:val="24"/>
          <w:szCs w:val="24"/>
          <w14:textFill>
            <w14:solidFill>
              <w14:schemeClr w14:val="tx1"/>
            </w14:solidFill>
          </w14:textFill>
        </w:rPr>
        <w:t>。</w:t>
      </w:r>
    </w:p>
    <w:p w14:paraId="4C10D22A">
      <w:pPr>
        <w:jc w:val="center"/>
        <w:rPr>
          <w:color w:val="000000" w:themeColor="text1"/>
          <w:sz w:val="24"/>
          <w:szCs w:val="24"/>
          <w14:textFill>
            <w14:solidFill>
              <w14:schemeClr w14:val="tx1"/>
            </w14:solidFill>
          </w14:textFill>
        </w:rPr>
      </w:pPr>
    </w:p>
    <w:p w14:paraId="1753D19A">
      <w:pPr>
        <w:jc w:val="center"/>
        <w:rPr>
          <w:color w:val="000000" w:themeColor="text1"/>
          <w:sz w:val="24"/>
          <w:szCs w:val="24"/>
          <w14:textFill>
            <w14:solidFill>
              <w14:schemeClr w14:val="tx1"/>
            </w14:solidFill>
          </w14:textFill>
        </w:rPr>
      </w:pPr>
    </w:p>
    <w:p w14:paraId="5947D475">
      <w:pPr>
        <w:jc w:val="center"/>
        <w:rPr>
          <w:color w:val="000000" w:themeColor="text1"/>
          <w:sz w:val="24"/>
          <w:szCs w:val="24"/>
          <w14:textFill>
            <w14:solidFill>
              <w14:schemeClr w14:val="tx1"/>
            </w14:solidFill>
          </w14:textFill>
        </w:rPr>
      </w:pPr>
    </w:p>
    <w:p w14:paraId="56E25064">
      <w:pPr>
        <w:jc w:val="center"/>
        <w:rPr>
          <w:color w:val="000000" w:themeColor="text1"/>
          <w:sz w:val="24"/>
          <w:szCs w:val="24"/>
          <w14:textFill>
            <w14:solidFill>
              <w14:schemeClr w14:val="tx1"/>
            </w14:solidFill>
          </w14:textFill>
        </w:rPr>
      </w:pPr>
    </w:p>
    <w:p w14:paraId="1734FB82">
      <w:pPr>
        <w:jc w:val="center"/>
        <w:rPr>
          <w:color w:val="000000" w:themeColor="text1"/>
          <w:sz w:val="24"/>
          <w:szCs w:val="24"/>
          <w14:textFill>
            <w14:solidFill>
              <w14:schemeClr w14:val="tx1"/>
            </w14:solidFill>
          </w14:textFill>
        </w:rPr>
      </w:pPr>
    </w:p>
    <w:p w14:paraId="3D5F0458">
      <w:pPr>
        <w:jc w:val="center"/>
        <w:rPr>
          <w:color w:val="000000" w:themeColor="text1"/>
          <w:sz w:val="24"/>
          <w:szCs w:val="24"/>
          <w14:textFill>
            <w14:solidFill>
              <w14:schemeClr w14:val="tx1"/>
            </w14:solidFill>
          </w14:textFill>
        </w:rPr>
      </w:pPr>
    </w:p>
    <w:p w14:paraId="3861580B">
      <w:pPr>
        <w:jc w:val="center"/>
        <w:rPr>
          <w:color w:val="000000" w:themeColor="text1"/>
          <w:sz w:val="24"/>
          <w:szCs w:val="24"/>
          <w14:textFill>
            <w14:solidFill>
              <w14:schemeClr w14:val="tx1"/>
            </w14:solidFill>
          </w14:textFill>
        </w:rPr>
      </w:pPr>
    </w:p>
    <w:p w14:paraId="7CE1EF6D">
      <w:pPr>
        <w:jc w:val="center"/>
        <w:rPr>
          <w:color w:val="000000" w:themeColor="text1"/>
          <w:sz w:val="24"/>
          <w:szCs w:val="24"/>
          <w14:textFill>
            <w14:solidFill>
              <w14:schemeClr w14:val="tx1"/>
            </w14:solidFill>
          </w14:textFill>
        </w:rPr>
      </w:pPr>
    </w:p>
    <w:p w14:paraId="566E3015">
      <w:pPr>
        <w:jc w:val="center"/>
        <w:rPr>
          <w:color w:val="000000" w:themeColor="text1"/>
          <w:sz w:val="24"/>
          <w:szCs w:val="24"/>
          <w14:textFill>
            <w14:solidFill>
              <w14:schemeClr w14:val="tx1"/>
            </w14:solidFill>
          </w14:textFill>
        </w:rPr>
      </w:pPr>
    </w:p>
    <w:p w14:paraId="4FE8D1CA">
      <w:pPr>
        <w:jc w:val="center"/>
        <w:rPr>
          <w:color w:val="000000" w:themeColor="text1"/>
          <w:sz w:val="24"/>
          <w:szCs w:val="24"/>
          <w14:textFill>
            <w14:solidFill>
              <w14:schemeClr w14:val="tx1"/>
            </w14:solidFill>
          </w14:textFill>
        </w:rPr>
      </w:pPr>
    </w:p>
    <w:p w14:paraId="785E6752">
      <w:pPr>
        <w:jc w:val="center"/>
        <w:rPr>
          <w:color w:val="000000" w:themeColor="text1"/>
          <w:sz w:val="24"/>
          <w:szCs w:val="24"/>
          <w14:textFill>
            <w14:solidFill>
              <w14:schemeClr w14:val="tx1"/>
            </w14:solidFill>
          </w14:textFill>
        </w:rPr>
      </w:pPr>
    </w:p>
    <w:p w14:paraId="4401D1E9">
      <w:pPr>
        <w:jc w:val="center"/>
        <w:rPr>
          <w:color w:val="000000" w:themeColor="text1"/>
          <w:sz w:val="24"/>
          <w:szCs w:val="24"/>
          <w14:textFill>
            <w14:solidFill>
              <w14:schemeClr w14:val="tx1"/>
            </w14:solidFill>
          </w14:textFill>
        </w:rPr>
      </w:pPr>
    </w:p>
    <w:p w14:paraId="51FAB90F">
      <w:pPr>
        <w:jc w:val="center"/>
        <w:rPr>
          <w:color w:val="000000" w:themeColor="text1"/>
          <w:sz w:val="24"/>
          <w:szCs w:val="24"/>
          <w14:textFill>
            <w14:solidFill>
              <w14:schemeClr w14:val="tx1"/>
            </w14:solidFill>
          </w14:textFill>
        </w:rPr>
      </w:pPr>
    </w:p>
    <w:p w14:paraId="0B00D9BA">
      <w:pPr>
        <w:jc w:val="center"/>
        <w:rPr>
          <w:color w:val="000000" w:themeColor="text1"/>
          <w:sz w:val="24"/>
          <w:szCs w:val="24"/>
          <w14:textFill>
            <w14:solidFill>
              <w14:schemeClr w14:val="tx1"/>
            </w14:solidFill>
          </w14:textFill>
        </w:rPr>
      </w:pPr>
    </w:p>
    <w:p w14:paraId="795DB2F3">
      <w:pPr>
        <w:jc w:val="center"/>
        <w:rPr>
          <w:color w:val="000000" w:themeColor="text1"/>
          <w:sz w:val="24"/>
          <w:szCs w:val="24"/>
          <w14:textFill>
            <w14:solidFill>
              <w14:schemeClr w14:val="tx1"/>
            </w14:solidFill>
          </w14:textFill>
        </w:rPr>
      </w:pPr>
    </w:p>
    <w:p w14:paraId="48327D11">
      <w:pPr>
        <w:jc w:val="center"/>
        <w:rPr>
          <w:color w:val="000000" w:themeColor="text1"/>
          <w:sz w:val="24"/>
          <w:szCs w:val="24"/>
          <w14:textFill>
            <w14:solidFill>
              <w14:schemeClr w14:val="tx1"/>
            </w14:solidFill>
          </w14:textFill>
        </w:rPr>
      </w:pPr>
    </w:p>
    <w:p w14:paraId="516A3020">
      <w:pPr>
        <w:jc w:val="center"/>
        <w:rPr>
          <w:color w:val="000000" w:themeColor="text1"/>
          <w:sz w:val="24"/>
          <w:szCs w:val="24"/>
          <w14:textFill>
            <w14:solidFill>
              <w14:schemeClr w14:val="tx1"/>
            </w14:solidFill>
          </w14:textFill>
        </w:rPr>
      </w:pPr>
    </w:p>
    <w:p w14:paraId="33D47375">
      <w:pPr>
        <w:jc w:val="center"/>
        <w:rPr>
          <w:color w:val="000000" w:themeColor="text1"/>
          <w:sz w:val="24"/>
          <w:szCs w:val="24"/>
          <w14:textFill>
            <w14:solidFill>
              <w14:schemeClr w14:val="tx1"/>
            </w14:solidFill>
          </w14:textFill>
        </w:rPr>
      </w:pPr>
    </w:p>
    <w:p w14:paraId="5DEDD7C1">
      <w:pPr>
        <w:jc w:val="center"/>
        <w:rPr>
          <w:color w:val="000000" w:themeColor="text1"/>
          <w:sz w:val="24"/>
          <w:szCs w:val="24"/>
          <w14:textFill>
            <w14:solidFill>
              <w14:schemeClr w14:val="tx1"/>
            </w14:solidFill>
          </w14:textFill>
        </w:rPr>
      </w:pPr>
    </w:p>
    <w:p w14:paraId="4DD72800">
      <w:pPr>
        <w:jc w:val="center"/>
        <w:rPr>
          <w:color w:val="000000" w:themeColor="text1"/>
          <w:sz w:val="24"/>
          <w:szCs w:val="24"/>
          <w14:textFill>
            <w14:solidFill>
              <w14:schemeClr w14:val="tx1"/>
            </w14:solidFill>
          </w14:textFill>
        </w:rPr>
      </w:pPr>
    </w:p>
    <w:p w14:paraId="27B69884">
      <w:pPr>
        <w:jc w:val="center"/>
        <w:rPr>
          <w:color w:val="000000" w:themeColor="text1"/>
          <w:sz w:val="24"/>
          <w:szCs w:val="24"/>
          <w14:textFill>
            <w14:solidFill>
              <w14:schemeClr w14:val="tx1"/>
            </w14:solidFill>
          </w14:textFill>
        </w:rPr>
      </w:pPr>
    </w:p>
    <w:p w14:paraId="72CF1CB6">
      <w:pPr>
        <w:jc w:val="center"/>
        <w:rPr>
          <w:color w:val="000000" w:themeColor="text1"/>
          <w:sz w:val="24"/>
          <w:szCs w:val="24"/>
          <w14:textFill>
            <w14:solidFill>
              <w14:schemeClr w14:val="tx1"/>
            </w14:solidFill>
          </w14:textFill>
        </w:rPr>
      </w:pPr>
    </w:p>
    <w:p w14:paraId="0CAFC021">
      <w:pPr>
        <w:jc w:val="center"/>
        <w:rPr>
          <w:color w:val="000000" w:themeColor="text1"/>
          <w:sz w:val="24"/>
          <w:szCs w:val="24"/>
          <w14:textFill>
            <w14:solidFill>
              <w14:schemeClr w14:val="tx1"/>
            </w14:solidFill>
          </w14:textFill>
        </w:rPr>
      </w:pPr>
    </w:p>
    <w:p w14:paraId="671373D1">
      <w:pPr>
        <w:jc w:val="center"/>
        <w:rPr>
          <w:color w:val="000000" w:themeColor="text1"/>
          <w:sz w:val="24"/>
          <w:szCs w:val="24"/>
          <w14:textFill>
            <w14:solidFill>
              <w14:schemeClr w14:val="tx1"/>
            </w14:solidFill>
          </w14:textFill>
        </w:rPr>
      </w:pPr>
    </w:p>
    <w:p w14:paraId="47277508">
      <w:pPr>
        <w:jc w:val="center"/>
        <w:rPr>
          <w:color w:val="000000" w:themeColor="text1"/>
          <w:sz w:val="24"/>
          <w:szCs w:val="24"/>
          <w14:textFill>
            <w14:solidFill>
              <w14:schemeClr w14:val="tx1"/>
            </w14:solidFill>
          </w14:textFill>
        </w:rPr>
      </w:pPr>
    </w:p>
    <w:p w14:paraId="3F8C4E11">
      <w:pPr>
        <w:jc w:val="center"/>
        <w:rPr>
          <w:color w:val="000000" w:themeColor="text1"/>
          <w:sz w:val="24"/>
          <w:szCs w:val="24"/>
          <w14:textFill>
            <w14:solidFill>
              <w14:schemeClr w14:val="tx1"/>
            </w14:solidFill>
          </w14:textFill>
        </w:rPr>
      </w:pPr>
    </w:p>
    <w:p w14:paraId="31984530">
      <w:pPr>
        <w:jc w:val="center"/>
        <w:rPr>
          <w:color w:val="000000" w:themeColor="text1"/>
          <w:sz w:val="24"/>
          <w:szCs w:val="24"/>
          <w14:textFill>
            <w14:solidFill>
              <w14:schemeClr w14:val="tx1"/>
            </w14:solidFill>
          </w14:textFill>
        </w:rPr>
      </w:pPr>
    </w:p>
    <w:p w14:paraId="0087FCB0">
      <w:pPr>
        <w:jc w:val="center"/>
        <w:rPr>
          <w:color w:val="000000" w:themeColor="text1"/>
          <w:sz w:val="24"/>
          <w:szCs w:val="24"/>
          <w14:textFill>
            <w14:solidFill>
              <w14:schemeClr w14:val="tx1"/>
            </w14:solidFill>
          </w14:textFill>
        </w:rPr>
      </w:pPr>
    </w:p>
    <w:p w14:paraId="17761BB3">
      <w:pPr>
        <w:jc w:val="center"/>
        <w:rPr>
          <w:color w:val="000000" w:themeColor="text1"/>
          <w:sz w:val="24"/>
          <w:szCs w:val="24"/>
          <w14:textFill>
            <w14:solidFill>
              <w14:schemeClr w14:val="tx1"/>
            </w14:solidFill>
          </w14:textFill>
        </w:rPr>
      </w:pPr>
    </w:p>
    <w:p w14:paraId="3B200894">
      <w:pPr>
        <w:jc w:val="center"/>
        <w:rPr>
          <w:color w:val="000000" w:themeColor="text1"/>
          <w:sz w:val="24"/>
          <w:szCs w:val="24"/>
          <w14:textFill>
            <w14:solidFill>
              <w14:schemeClr w14:val="tx1"/>
            </w14:solidFill>
          </w14:textFill>
        </w:rPr>
      </w:pPr>
    </w:p>
    <w:p w14:paraId="3092798E">
      <w:pPr>
        <w:jc w:val="center"/>
        <w:rPr>
          <w:color w:val="000000" w:themeColor="text1"/>
          <w:sz w:val="24"/>
          <w:szCs w:val="24"/>
          <w14:textFill>
            <w14:solidFill>
              <w14:schemeClr w14:val="tx1"/>
            </w14:solidFill>
          </w14:textFill>
        </w:rPr>
      </w:pPr>
    </w:p>
    <w:p w14:paraId="081BE6D4">
      <w:pPr>
        <w:jc w:val="center"/>
        <w:rPr>
          <w:color w:val="000000" w:themeColor="text1"/>
          <w:sz w:val="24"/>
          <w:szCs w:val="24"/>
          <w14:textFill>
            <w14:solidFill>
              <w14:schemeClr w14:val="tx1"/>
            </w14:solidFill>
          </w14:textFill>
        </w:rPr>
      </w:pPr>
    </w:p>
    <w:p w14:paraId="290A0024">
      <w:pPr>
        <w:jc w:val="center"/>
        <w:rPr>
          <w:color w:val="000000" w:themeColor="text1"/>
          <w:sz w:val="24"/>
          <w:szCs w:val="24"/>
          <w14:textFill>
            <w14:solidFill>
              <w14:schemeClr w14:val="tx1"/>
            </w14:solidFill>
          </w14:textFill>
        </w:rPr>
      </w:pPr>
    </w:p>
    <w:p w14:paraId="4D791622">
      <w:pPr>
        <w:jc w:val="center"/>
        <w:rPr>
          <w:color w:val="000000" w:themeColor="text1"/>
          <w:sz w:val="24"/>
          <w:szCs w:val="24"/>
          <w14:textFill>
            <w14:solidFill>
              <w14:schemeClr w14:val="tx1"/>
            </w14:solidFill>
          </w14:textFill>
        </w:rPr>
      </w:pPr>
    </w:p>
    <w:p w14:paraId="50AE5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w:t>
      </w:r>
      <w:r>
        <w:rPr>
          <w:b/>
          <w:color w:val="000000" w:themeColor="text1"/>
          <w:sz w:val="24"/>
          <w:szCs w:val="24"/>
          <w14:textFill>
            <w14:solidFill>
              <w14:schemeClr w14:val="tx1"/>
            </w14:solidFill>
          </w14:textFill>
        </w:rPr>
        <w:t xml:space="preserve">4.2-4    </w:t>
      </w:r>
      <w:r>
        <w:rPr>
          <w:rFonts w:hint="eastAsia"/>
          <w:b/>
          <w:color w:val="000000" w:themeColor="text1"/>
          <w:sz w:val="24"/>
          <w:szCs w:val="24"/>
          <w14:textFill>
            <w14:solidFill>
              <w14:schemeClr w14:val="tx1"/>
            </w14:solidFill>
          </w14:textFill>
        </w:rPr>
        <w:t>项目区土壤剖面图</w:t>
      </w:r>
    </w:p>
    <w:p w14:paraId="12C2BE81">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项目区土壤类型图见图4.2-</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w:t>
      </w:r>
    </w:p>
    <w:p w14:paraId="58B09291">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4.2.7.5植被现状调查及评价</w:t>
      </w:r>
    </w:p>
    <w:p w14:paraId="3CCF57F0">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（1）植被类型及分布</w:t>
      </w:r>
    </w:p>
    <w:p w14:paraId="10BDED12">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项目区位于哈密市南部，项目所在区域以戈壁居多，总体呈荒漠戈壁状态，植被类型为裸地，见图4</w:t>
      </w:r>
      <w:r>
        <w:rPr>
          <w:color w:val="000000" w:themeColor="text1"/>
          <w:sz w:val="24"/>
          <w:szCs w:val="24"/>
          <w14:textFill>
            <w14:solidFill>
              <w14:schemeClr w14:val="tx1"/>
            </w14:solidFill>
          </w14:textFill>
        </w:rPr>
        <w:t>.2-6</w:t>
      </w:r>
      <w:r>
        <w:rPr>
          <w:rFonts w:hint="eastAsia"/>
          <w:color w:val="000000" w:themeColor="text1"/>
          <w:sz w:val="24"/>
          <w:szCs w:val="24"/>
          <w14:textFill>
            <w14:solidFill>
              <w14:schemeClr w14:val="tx1"/>
            </w14:solidFill>
          </w14:textFill>
        </w:rPr>
        <w:t>。根据收集的资料以及现状调查，区域植被主要是灌木亚菊、沙生针茅、梭梭、骆驼刺。项目区植被稀疏，群落总盖度不到1%，绝大部分地段基本无植被生长。</w:t>
      </w:r>
    </w:p>
    <w:p w14:paraId="1FAF491D">
      <w:pPr>
        <w:numPr>
          <w:ilvl w:val="0"/>
          <w:numId w:val="2"/>
        </w:numPr>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评价区植被种类</w:t>
      </w:r>
    </w:p>
    <w:p w14:paraId="177449C7">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项目区主要植物种类见表4.2-1</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w:t>
      </w:r>
    </w:p>
    <w:p w14:paraId="032910EF">
      <w:pPr>
        <w:spacing w:line="480" w:lineRule="exact"/>
        <w:jc w:val="center"/>
        <w:rPr>
          <w:b/>
          <w:color w:val="000000" w:themeColor="text1"/>
          <w:kern w:val="0"/>
          <w:sz w:val="24"/>
          <w:szCs w:val="24"/>
          <w:lang w:bidi="ar"/>
          <w14:textFill>
            <w14:solidFill>
              <w14:schemeClr w14:val="tx1"/>
            </w14:solidFill>
          </w14:textFill>
        </w:rPr>
      </w:pPr>
      <w:r>
        <w:rPr>
          <w:rFonts w:hint="eastAsia"/>
          <w:b/>
          <w:color w:val="000000" w:themeColor="text1"/>
          <w:kern w:val="0"/>
          <w:sz w:val="24"/>
          <w:szCs w:val="24"/>
          <w:lang w:bidi="ar"/>
          <w14:textFill>
            <w14:solidFill>
              <w14:schemeClr w14:val="tx1"/>
            </w14:solidFill>
          </w14:textFill>
        </w:rPr>
        <w:t>表4.2-1</w:t>
      </w:r>
      <w:r>
        <w:rPr>
          <w:rFonts w:hint="eastAsia"/>
          <w:b/>
          <w:color w:val="000000" w:themeColor="text1"/>
          <w:kern w:val="0"/>
          <w:sz w:val="24"/>
          <w:szCs w:val="24"/>
          <w:lang w:val="en-US" w:eastAsia="zh-CN" w:bidi="ar"/>
          <w14:textFill>
            <w14:solidFill>
              <w14:schemeClr w14:val="tx1"/>
            </w14:solidFill>
          </w14:textFill>
        </w:rPr>
        <w:t>5</w:t>
      </w:r>
      <w:r>
        <w:rPr>
          <w:rFonts w:hint="eastAsia"/>
          <w:b/>
          <w:color w:val="000000" w:themeColor="text1"/>
          <w:kern w:val="0"/>
          <w:sz w:val="24"/>
          <w:szCs w:val="24"/>
          <w:lang w:bidi="ar"/>
          <w14:textFill>
            <w14:solidFill>
              <w14:schemeClr w14:val="tx1"/>
            </w14:solidFill>
          </w14:textFill>
        </w:rPr>
        <w:t xml:space="preserve">    项目区主要植物名录</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148"/>
        <w:gridCol w:w="3970"/>
        <w:gridCol w:w="850"/>
        <w:gridCol w:w="1114"/>
        <w:gridCol w:w="1254"/>
      </w:tblGrid>
      <w:tr w14:paraId="6F9BF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689" w:type="pct"/>
            <w:noWrap w:val="0"/>
            <w:vAlign w:val="center"/>
          </w:tcPr>
          <w:p w14:paraId="4162A7E5">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植物名称</w:t>
            </w:r>
          </w:p>
        </w:tc>
        <w:tc>
          <w:tcPr>
            <w:tcW w:w="2381" w:type="pct"/>
            <w:noWrap w:val="0"/>
            <w:vAlign w:val="center"/>
          </w:tcPr>
          <w:p w14:paraId="19D6DF9A">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w w:val="98"/>
                <w:kern w:val="0"/>
                <w:sz w:val="21"/>
                <w:szCs w:val="21"/>
                <w14:textFill>
                  <w14:solidFill>
                    <w14:schemeClr w14:val="tx1"/>
                  </w14:solidFill>
                </w14:textFill>
              </w:rPr>
              <w:t>拉丁名</w:t>
            </w:r>
          </w:p>
        </w:tc>
        <w:tc>
          <w:tcPr>
            <w:tcW w:w="510" w:type="pct"/>
            <w:noWrap w:val="0"/>
            <w:vAlign w:val="center"/>
          </w:tcPr>
          <w:p w14:paraId="0B96E2F8">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科</w:t>
            </w:r>
          </w:p>
        </w:tc>
        <w:tc>
          <w:tcPr>
            <w:tcW w:w="668" w:type="pct"/>
            <w:noWrap w:val="0"/>
            <w:vAlign w:val="center"/>
          </w:tcPr>
          <w:p w14:paraId="1C5240BB">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FFFFFF"/>
                <w14:textFill>
                  <w14:solidFill>
                    <w14:schemeClr w14:val="tx1"/>
                  </w14:solidFill>
                </w14:textFill>
              </w:rPr>
              <w:t>属</w:t>
            </w:r>
          </w:p>
        </w:tc>
        <w:tc>
          <w:tcPr>
            <w:tcW w:w="752" w:type="pct"/>
            <w:noWrap w:val="0"/>
            <w:vAlign w:val="top"/>
          </w:tcPr>
          <w:p w14:paraId="3904E94E">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b/>
                <w:bCs/>
                <w:color w:val="000000" w:themeColor="text1"/>
                <w:sz w:val="21"/>
                <w:szCs w:val="21"/>
                <w:shd w:val="clear" w:color="auto" w:fill="FFFFFF"/>
                <w14:textFill>
                  <w14:solidFill>
                    <w14:schemeClr w14:val="tx1"/>
                  </w14:solidFill>
                </w14:textFill>
              </w:rPr>
              <w:t>保护等级</w:t>
            </w:r>
          </w:p>
        </w:tc>
      </w:tr>
      <w:tr w14:paraId="69F5B8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0C6F17C6">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宋体"/>
                <w:color w:val="000000" w:themeColor="text1"/>
                <w:sz w:val="21"/>
                <w:szCs w:val="21"/>
                <w14:textFill>
                  <w14:solidFill>
                    <w14:schemeClr w14:val="tx1"/>
                  </w14:solidFill>
                </w14:textFill>
              </w:rPr>
              <w:t>沙生针茅</w:t>
            </w:r>
          </w:p>
        </w:tc>
        <w:tc>
          <w:tcPr>
            <w:tcW w:w="2381" w:type="pct"/>
            <w:noWrap w:val="0"/>
            <w:vAlign w:val="center"/>
          </w:tcPr>
          <w:p w14:paraId="4256176C">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i/>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i/>
                <w:color w:val="000000" w:themeColor="text1"/>
                <w:sz w:val="21"/>
                <w:szCs w:val="21"/>
                <w14:textFill>
                  <w14:solidFill>
                    <w14:schemeClr w14:val="tx1"/>
                  </w14:solidFill>
                </w14:textFill>
              </w:rPr>
              <w:t>S</w:t>
            </w:r>
            <w:r>
              <w:rPr>
                <w:rFonts w:hint="eastAsia" w:ascii="Times New Roman" w:hAnsi="Times New Roman" w:eastAsia="宋体" w:cs="宋体"/>
                <w:i/>
                <w:color w:val="000000" w:themeColor="text1"/>
                <w:sz w:val="21"/>
                <w:szCs w:val="21"/>
                <w14:textFill>
                  <w14:solidFill>
                    <w14:schemeClr w14:val="tx1"/>
                  </w14:solidFill>
                </w14:textFill>
              </w:rPr>
              <w:t>.</w:t>
            </w:r>
            <w:r>
              <w:rPr>
                <w:rFonts w:hint="default" w:ascii="Times New Roman" w:hAnsi="Times New Roman" w:eastAsia="宋体" w:cs="Times New Roman"/>
                <w:i/>
                <w:color w:val="000000" w:themeColor="text1"/>
                <w:sz w:val="21"/>
                <w:szCs w:val="21"/>
                <w14:textFill>
                  <w14:solidFill>
                    <w14:schemeClr w14:val="tx1"/>
                  </w14:solidFill>
                </w14:textFill>
              </w:rPr>
              <w:t>glareosa</w:t>
            </w:r>
          </w:p>
        </w:tc>
        <w:tc>
          <w:tcPr>
            <w:tcW w:w="510" w:type="pct"/>
            <w:noWrap w:val="0"/>
            <w:vAlign w:val="center"/>
          </w:tcPr>
          <w:p w14:paraId="6B7D702D">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禾本科</w:t>
            </w:r>
          </w:p>
        </w:tc>
        <w:tc>
          <w:tcPr>
            <w:tcW w:w="668" w:type="pct"/>
            <w:noWrap w:val="0"/>
            <w:vAlign w:val="center"/>
          </w:tcPr>
          <w:p w14:paraId="6D72634E">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针茅属</w:t>
            </w:r>
          </w:p>
        </w:tc>
        <w:tc>
          <w:tcPr>
            <w:tcW w:w="1254" w:type="dxa"/>
            <w:noWrap w:val="0"/>
            <w:vAlign w:val="top"/>
          </w:tcPr>
          <w:p w14:paraId="7E7A8D2B">
            <w:pPr>
              <w:keepNext w:val="0"/>
              <w:keepLines w:val="0"/>
              <w:suppressLineNumbers w:val="0"/>
              <w:autoSpaceDE w:val="0"/>
              <w:autoSpaceDN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cs="Times New Roman"/>
                <w:color w:val="auto"/>
                <w:sz w:val="21"/>
                <w:szCs w:val="22"/>
                <w:highlight w:val="none"/>
                <w:lang w:val="en-US" w:eastAsia="zh-CN"/>
              </w:rPr>
              <w:t>无</w:t>
            </w:r>
          </w:p>
        </w:tc>
      </w:tr>
      <w:tr w14:paraId="45F80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6E38E8BD">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宋体"/>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灌木亚菊</w:t>
            </w:r>
          </w:p>
        </w:tc>
        <w:tc>
          <w:tcPr>
            <w:tcW w:w="2381" w:type="pct"/>
            <w:noWrap w:val="0"/>
            <w:vAlign w:val="center"/>
          </w:tcPr>
          <w:p w14:paraId="1044C88C">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i/>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i/>
                <w:color w:val="000000" w:themeColor="text1"/>
                <w:sz w:val="21"/>
                <w:szCs w:val="21"/>
                <w14:textFill>
                  <w14:solidFill>
                    <w14:schemeClr w14:val="tx1"/>
                  </w14:solidFill>
                </w14:textFill>
              </w:rPr>
              <w:t>Ajania fruticulosa (Ledeb.)Poljak.</w:t>
            </w:r>
          </w:p>
        </w:tc>
        <w:tc>
          <w:tcPr>
            <w:tcW w:w="510" w:type="pct"/>
            <w:noWrap w:val="0"/>
            <w:vAlign w:val="center"/>
          </w:tcPr>
          <w:p w14:paraId="03D1EF90">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菊科</w:t>
            </w:r>
          </w:p>
        </w:tc>
        <w:tc>
          <w:tcPr>
            <w:tcW w:w="668" w:type="pct"/>
            <w:noWrap w:val="0"/>
            <w:vAlign w:val="center"/>
          </w:tcPr>
          <w:p w14:paraId="425E93F2">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Arial"/>
                <w:color w:val="000000" w:themeColor="text1"/>
                <w:sz w:val="21"/>
                <w:szCs w:val="21"/>
                <w:shd w:val="clear" w:color="auto" w:fill="FFFFFF"/>
                <w14:textFill>
                  <w14:solidFill>
                    <w14:schemeClr w14:val="tx1"/>
                  </w14:solidFill>
                </w14:textFill>
              </w:rPr>
              <w:t>亚菊属</w:t>
            </w:r>
          </w:p>
        </w:tc>
        <w:tc>
          <w:tcPr>
            <w:tcW w:w="1254" w:type="dxa"/>
            <w:noWrap w:val="0"/>
            <w:vAlign w:val="top"/>
          </w:tcPr>
          <w:p w14:paraId="72136130">
            <w:pPr>
              <w:keepNext w:val="0"/>
              <w:keepLines w:val="0"/>
              <w:suppressLineNumbers w:val="0"/>
              <w:autoSpaceDE w:val="0"/>
              <w:autoSpaceDN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Arial"/>
                <w:color w:val="000000" w:themeColor="text1"/>
                <w:sz w:val="21"/>
                <w:szCs w:val="21"/>
                <w:shd w:val="clear" w:color="auto" w:fill="FFFFFF"/>
                <w14:textFill>
                  <w14:solidFill>
                    <w14:schemeClr w14:val="tx1"/>
                  </w14:solidFill>
                </w14:textFill>
              </w:rPr>
            </w:pPr>
            <w:r>
              <w:rPr>
                <w:rFonts w:hint="eastAsia" w:cs="Times New Roman"/>
                <w:color w:val="auto"/>
                <w:sz w:val="21"/>
                <w:szCs w:val="22"/>
                <w:highlight w:val="none"/>
                <w:lang w:val="en-US" w:eastAsia="zh-CN"/>
              </w:rPr>
              <w:t>无</w:t>
            </w:r>
          </w:p>
        </w:tc>
      </w:tr>
      <w:tr w14:paraId="5D7EB6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11BA999C">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w w:val="98"/>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梭梭</w:t>
            </w:r>
          </w:p>
        </w:tc>
        <w:tc>
          <w:tcPr>
            <w:tcW w:w="2381" w:type="pct"/>
            <w:noWrap w:val="0"/>
            <w:vAlign w:val="center"/>
          </w:tcPr>
          <w:p w14:paraId="5035583D">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i/>
                <w:color w:val="000000" w:themeColor="text1"/>
                <w:sz w:val="21"/>
                <w:szCs w:val="21"/>
                <w14:textFill>
                  <w14:solidFill>
                    <w14:schemeClr w14:val="tx1"/>
                  </w14:solidFill>
                </w14:textFill>
              </w:rPr>
            </w:pPr>
            <w:r>
              <w:rPr>
                <w:rFonts w:hint="default" w:ascii="Times New Roman" w:hAnsi="Times New Roman" w:eastAsia="宋体" w:cs="Times New Roman"/>
                <w:i/>
                <w:color w:val="000000" w:themeColor="text1"/>
                <w:sz w:val="21"/>
                <w:szCs w:val="21"/>
                <w14:textFill>
                  <w14:solidFill>
                    <w14:schemeClr w14:val="tx1"/>
                  </w14:solidFill>
                </w14:textFill>
              </w:rPr>
              <w:t>Haloxylon ammodendron (C.A.Mey.)Bunge</w:t>
            </w:r>
          </w:p>
        </w:tc>
        <w:tc>
          <w:tcPr>
            <w:tcW w:w="510" w:type="pct"/>
            <w:noWrap w:val="0"/>
            <w:vAlign w:val="center"/>
          </w:tcPr>
          <w:p w14:paraId="18EAAB8A">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黎科</w:t>
            </w:r>
          </w:p>
        </w:tc>
        <w:tc>
          <w:tcPr>
            <w:tcW w:w="668" w:type="pct"/>
            <w:noWrap w:val="0"/>
            <w:vAlign w:val="center"/>
          </w:tcPr>
          <w:p w14:paraId="1097CF3B">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梭梭属</w:t>
            </w:r>
          </w:p>
        </w:tc>
        <w:tc>
          <w:tcPr>
            <w:tcW w:w="1254" w:type="dxa"/>
            <w:noWrap w:val="0"/>
            <w:vAlign w:val="top"/>
          </w:tcPr>
          <w:p w14:paraId="3B2D4DFC">
            <w:pPr>
              <w:keepNext w:val="0"/>
              <w:keepLines w:val="0"/>
              <w:suppressLineNumbers w:val="0"/>
              <w:autoSpaceDE w:val="0"/>
              <w:autoSpaceDN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cs="Times New Roman"/>
                <w:color w:val="auto"/>
                <w:sz w:val="21"/>
                <w:szCs w:val="22"/>
                <w:highlight w:val="none"/>
                <w:lang w:val="en-US" w:eastAsia="zh-CN"/>
              </w:rPr>
              <w:t>无</w:t>
            </w:r>
          </w:p>
        </w:tc>
      </w:tr>
      <w:tr w14:paraId="77BC4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167FAD26">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骆驼刺</w:t>
            </w:r>
          </w:p>
        </w:tc>
        <w:tc>
          <w:tcPr>
            <w:tcW w:w="2381" w:type="pct"/>
            <w:noWrap w:val="0"/>
            <w:vAlign w:val="center"/>
          </w:tcPr>
          <w:p w14:paraId="5CCDF465">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i/>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i/>
                <w:color w:val="000000" w:themeColor="text1"/>
                <w:sz w:val="21"/>
                <w:szCs w:val="21"/>
                <w14:textFill>
                  <w14:solidFill>
                    <w14:schemeClr w14:val="tx1"/>
                  </w14:solidFill>
                </w14:textFill>
              </w:rPr>
              <w:t>Alhagi sparsifolia</w:t>
            </w:r>
            <w:r>
              <w:rPr>
                <w:rFonts w:hint="eastAsia" w:ascii="Times New Roman" w:hAnsi="Times New Roman" w:eastAsia="宋体" w:cs="Times New Roman"/>
                <w:i/>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i/>
                <w:color w:val="000000" w:themeColor="text1"/>
                <w:sz w:val="21"/>
                <w:szCs w:val="21"/>
                <w14:textFill>
                  <w14:solidFill>
                    <w14:schemeClr w14:val="tx1"/>
                  </w14:solidFill>
                </w14:textFill>
              </w:rPr>
              <w:t>Shap.</w:t>
            </w:r>
          </w:p>
        </w:tc>
        <w:tc>
          <w:tcPr>
            <w:tcW w:w="510" w:type="pct"/>
            <w:noWrap w:val="0"/>
            <w:vAlign w:val="center"/>
          </w:tcPr>
          <w:p w14:paraId="0A2ACD95">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豆科</w:t>
            </w:r>
          </w:p>
        </w:tc>
        <w:tc>
          <w:tcPr>
            <w:tcW w:w="668" w:type="pct"/>
            <w:noWrap w:val="0"/>
            <w:vAlign w:val="center"/>
          </w:tcPr>
          <w:p w14:paraId="4ED068DD">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Arial"/>
                <w:color w:val="000000" w:themeColor="text1"/>
                <w:sz w:val="21"/>
                <w:szCs w:val="21"/>
                <w:shd w:val="clear" w:color="auto" w:fill="FFFFFF"/>
                <w14:textFill>
                  <w14:solidFill>
                    <w14:schemeClr w14:val="tx1"/>
                  </w14:solidFill>
                </w14:textFill>
              </w:rPr>
              <w:t>骆驼刺属</w:t>
            </w:r>
          </w:p>
        </w:tc>
        <w:tc>
          <w:tcPr>
            <w:tcW w:w="1254" w:type="dxa"/>
            <w:noWrap w:val="0"/>
            <w:vAlign w:val="top"/>
          </w:tcPr>
          <w:p w14:paraId="27FB3498">
            <w:pPr>
              <w:keepNext w:val="0"/>
              <w:keepLines w:val="0"/>
              <w:suppressLineNumbers w:val="0"/>
              <w:autoSpaceDE w:val="0"/>
              <w:autoSpaceDN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Arial"/>
                <w:color w:val="000000" w:themeColor="text1"/>
                <w:sz w:val="21"/>
                <w:szCs w:val="21"/>
                <w:shd w:val="clear" w:color="auto" w:fill="FFFFFF"/>
                <w14:textFill>
                  <w14:solidFill>
                    <w14:schemeClr w14:val="tx1"/>
                  </w14:solidFill>
                </w14:textFill>
              </w:rPr>
            </w:pPr>
            <w:r>
              <w:rPr>
                <w:rFonts w:hint="eastAsia" w:cs="Times New Roman"/>
                <w:color w:val="auto"/>
                <w:sz w:val="21"/>
                <w:szCs w:val="22"/>
                <w:highlight w:val="none"/>
                <w:lang w:val="en-US" w:eastAsia="zh-CN"/>
              </w:rPr>
              <w:t>无</w:t>
            </w:r>
          </w:p>
        </w:tc>
      </w:tr>
    </w:tbl>
    <w:p w14:paraId="398E7AC1">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在评价区分布的天然植被中，无国家和自治区重点保护的植物，无《中国生物多样性红色名录》中列为极危、濒危和易危的物种及其他重要物种。</w:t>
      </w:r>
    </w:p>
    <w:p w14:paraId="7B451F09">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（3）典型样方调查</w:t>
      </w:r>
    </w:p>
    <w:p w14:paraId="359636D3">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在区域踏勘的基础上，本次评价于202</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16</w:t>
      </w:r>
      <w:r>
        <w:rPr>
          <w:rFonts w:hint="eastAsia"/>
          <w:color w:val="000000" w:themeColor="text1"/>
          <w:sz w:val="24"/>
          <w:szCs w:val="24"/>
          <w14:textFill>
            <w14:solidFill>
              <w14:schemeClr w14:val="tx1"/>
            </w14:solidFill>
          </w14:textFill>
        </w:rPr>
        <w:t>日对项目区内的生态植被进行了样方调查，根据普遍性和典型性相结合的原则，结合评价区植被覆盖情况和工程影响情况，在矿区范围设置点，进行了样方调查，在样地内随机设置了</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个样方。矿区土地类型主要为戈壁和裸岩石砾地，根据项目区土地类型及植物组成和盖度，统计样方内植被种类、盖度、高度等，草本植物样方面积为1m×1m。</w:t>
      </w:r>
    </w:p>
    <w:p w14:paraId="5B3DAB57">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典型样方调查见样方表4.2-1</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w:t>
      </w:r>
    </w:p>
    <w:p w14:paraId="5F5CAC59">
      <w:pPr>
        <w:overflowPunct w:val="0"/>
        <w:topLinePunct/>
        <w:adjustRightInd w:val="0"/>
        <w:spacing w:line="480" w:lineRule="exact"/>
        <w:jc w:val="center"/>
        <w:rPr>
          <w:b/>
          <w:color w:val="000000" w:themeColor="text1"/>
          <w:spacing w:val="2"/>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表4.2-</w:t>
      </w:r>
      <w:r>
        <w:rPr>
          <w:b/>
          <w:color w:val="000000" w:themeColor="text1"/>
          <w:sz w:val="24"/>
          <w:szCs w:val="24"/>
          <w14:textFill>
            <w14:solidFill>
              <w14:schemeClr w14:val="tx1"/>
            </w14:solidFill>
          </w14:textFill>
        </w:rPr>
        <w:t>1</w:t>
      </w:r>
      <w:r>
        <w:rPr>
          <w:rFonts w:hint="eastAsia"/>
          <w:b/>
          <w:color w:val="000000" w:themeColor="text1"/>
          <w:sz w:val="24"/>
          <w:szCs w:val="24"/>
          <w:lang w:val="en-US" w:eastAsia="zh-CN"/>
          <w14:textFill>
            <w14:solidFill>
              <w14:schemeClr w14:val="tx1"/>
            </w14:solidFill>
          </w14:textFill>
        </w:rPr>
        <w:t>6</w:t>
      </w:r>
      <w:r>
        <w:rPr>
          <w:b/>
          <w:color w:val="000000" w:themeColor="text1"/>
          <w:sz w:val="24"/>
          <w:szCs w:val="24"/>
          <w14:textFill>
            <w14:solidFill>
              <w14:schemeClr w14:val="tx1"/>
            </w14:solidFill>
          </w14:textFill>
        </w:rPr>
        <w:t xml:space="preserve">    </w:t>
      </w:r>
      <w:r>
        <w:rPr>
          <w:rFonts w:hint="eastAsia"/>
          <w:b/>
          <w:color w:val="000000" w:themeColor="text1"/>
          <w:sz w:val="24"/>
          <w:szCs w:val="24"/>
          <w14:textFill>
            <w14:solidFill>
              <w14:schemeClr w14:val="tx1"/>
            </w14:solidFill>
          </w14:textFill>
        </w:rPr>
        <w:t>矿区群落典型样方调查表</w:t>
      </w:r>
    </w:p>
    <w:tbl>
      <w:tblPr>
        <w:tblStyle w:val="7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1159"/>
        <w:gridCol w:w="1396"/>
        <w:gridCol w:w="2412"/>
        <w:gridCol w:w="1277"/>
        <w:gridCol w:w="1198"/>
      </w:tblGrid>
      <w:tr w14:paraId="1F374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noWrap w:val="0"/>
            <w:vAlign w:val="top"/>
          </w:tcPr>
          <w:p w14:paraId="34AAC94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群落样方编号1</w:t>
            </w:r>
          </w:p>
        </w:tc>
      </w:tr>
      <w:tr w14:paraId="1B654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18A2097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调查日期</w:t>
            </w:r>
          </w:p>
        </w:tc>
        <w:tc>
          <w:tcPr>
            <w:tcW w:w="680" w:type="pct"/>
            <w:noWrap w:val="0"/>
            <w:vAlign w:val="center"/>
          </w:tcPr>
          <w:p w14:paraId="3971AEB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2023.6.16</w:t>
            </w:r>
          </w:p>
        </w:tc>
        <w:tc>
          <w:tcPr>
            <w:tcW w:w="819" w:type="pct"/>
            <w:noWrap w:val="0"/>
            <w:vAlign w:val="top"/>
          </w:tcPr>
          <w:p w14:paraId="76E95E8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调查地点</w:t>
            </w:r>
          </w:p>
        </w:tc>
        <w:tc>
          <w:tcPr>
            <w:tcW w:w="1415" w:type="pct"/>
            <w:noWrap w:val="0"/>
            <w:vAlign w:val="top"/>
          </w:tcPr>
          <w:p w14:paraId="44EA9EF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矿区西侧</w:t>
            </w:r>
          </w:p>
        </w:tc>
        <w:tc>
          <w:tcPr>
            <w:tcW w:w="749" w:type="pct"/>
            <w:noWrap w:val="0"/>
            <w:vAlign w:val="center"/>
          </w:tcPr>
          <w:p w14:paraId="7513F0F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样方面积</w:t>
            </w:r>
          </w:p>
        </w:tc>
        <w:tc>
          <w:tcPr>
            <w:tcW w:w="701" w:type="pct"/>
            <w:noWrap w:val="0"/>
            <w:vAlign w:val="center"/>
          </w:tcPr>
          <w:p w14:paraId="5334B03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1m×1m</w:t>
            </w:r>
          </w:p>
        </w:tc>
      </w:tr>
      <w:tr w14:paraId="704FC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1C27A2F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海拔</w:t>
            </w:r>
          </w:p>
        </w:tc>
        <w:tc>
          <w:tcPr>
            <w:tcW w:w="680" w:type="pct"/>
            <w:noWrap w:val="0"/>
            <w:vAlign w:val="center"/>
          </w:tcPr>
          <w:p w14:paraId="5F64ABB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1171m</w:t>
            </w:r>
          </w:p>
        </w:tc>
        <w:tc>
          <w:tcPr>
            <w:tcW w:w="819" w:type="pct"/>
            <w:noWrap w:val="0"/>
            <w:vAlign w:val="top"/>
          </w:tcPr>
          <w:p w14:paraId="422C429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土壤类型</w:t>
            </w:r>
          </w:p>
        </w:tc>
        <w:tc>
          <w:tcPr>
            <w:tcW w:w="1415" w:type="pct"/>
            <w:noWrap w:val="0"/>
            <w:vAlign w:val="top"/>
          </w:tcPr>
          <w:p w14:paraId="47BEE57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石膏盐盘棕漠土</w:t>
            </w:r>
          </w:p>
        </w:tc>
        <w:tc>
          <w:tcPr>
            <w:tcW w:w="749" w:type="pct"/>
            <w:noWrap w:val="0"/>
            <w:vAlign w:val="center"/>
          </w:tcPr>
          <w:p w14:paraId="618B7C5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地形/地貌</w:t>
            </w:r>
          </w:p>
        </w:tc>
        <w:tc>
          <w:tcPr>
            <w:tcW w:w="701" w:type="pct"/>
            <w:noWrap w:val="0"/>
            <w:vAlign w:val="center"/>
          </w:tcPr>
          <w:p w14:paraId="2DE7B66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丘陵</w:t>
            </w:r>
          </w:p>
        </w:tc>
      </w:tr>
      <w:tr w14:paraId="47E3A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2A2509A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植被类型</w:t>
            </w:r>
          </w:p>
        </w:tc>
        <w:tc>
          <w:tcPr>
            <w:tcW w:w="680" w:type="pct"/>
            <w:noWrap w:val="0"/>
            <w:vAlign w:val="center"/>
          </w:tcPr>
          <w:p w14:paraId="6E3639C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裸地</w:t>
            </w:r>
          </w:p>
        </w:tc>
        <w:tc>
          <w:tcPr>
            <w:tcW w:w="819" w:type="pct"/>
            <w:noWrap w:val="0"/>
            <w:vAlign w:val="top"/>
          </w:tcPr>
          <w:p w14:paraId="4A148B8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植物种类数</w:t>
            </w:r>
          </w:p>
        </w:tc>
        <w:tc>
          <w:tcPr>
            <w:tcW w:w="1415" w:type="pct"/>
            <w:noWrap w:val="0"/>
            <w:vAlign w:val="top"/>
          </w:tcPr>
          <w:p w14:paraId="1B06FC8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49" w:type="pct"/>
            <w:noWrap w:val="0"/>
            <w:vAlign w:val="center"/>
          </w:tcPr>
          <w:p w14:paraId="1222C8D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植被总盖度</w:t>
            </w:r>
          </w:p>
        </w:tc>
        <w:tc>
          <w:tcPr>
            <w:tcW w:w="701" w:type="pct"/>
            <w:noWrap w:val="0"/>
            <w:vAlign w:val="center"/>
          </w:tcPr>
          <w:p w14:paraId="018EB5E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w:t>
            </w:r>
          </w:p>
        </w:tc>
      </w:tr>
      <w:tr w14:paraId="2BDEE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7AFDD92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序号</w:t>
            </w:r>
          </w:p>
        </w:tc>
        <w:tc>
          <w:tcPr>
            <w:tcW w:w="680" w:type="pct"/>
            <w:noWrap w:val="0"/>
            <w:vAlign w:val="center"/>
          </w:tcPr>
          <w:p w14:paraId="5D060C1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植物名称</w:t>
            </w:r>
          </w:p>
        </w:tc>
        <w:tc>
          <w:tcPr>
            <w:tcW w:w="819" w:type="pct"/>
            <w:noWrap w:val="0"/>
            <w:vAlign w:val="top"/>
          </w:tcPr>
          <w:p w14:paraId="2AF51A1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数量（株）</w:t>
            </w:r>
          </w:p>
        </w:tc>
        <w:tc>
          <w:tcPr>
            <w:tcW w:w="2164" w:type="pct"/>
            <w:gridSpan w:val="2"/>
            <w:noWrap w:val="0"/>
            <w:vAlign w:val="top"/>
          </w:tcPr>
          <w:p w14:paraId="3855A62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高度（cm）</w:t>
            </w:r>
          </w:p>
        </w:tc>
        <w:tc>
          <w:tcPr>
            <w:tcW w:w="701" w:type="pct"/>
            <w:noWrap w:val="0"/>
            <w:vAlign w:val="center"/>
          </w:tcPr>
          <w:p w14:paraId="3716DD0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多度</w:t>
            </w:r>
          </w:p>
        </w:tc>
      </w:tr>
      <w:tr w14:paraId="7FDB4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258FFBCD">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680" w:type="pct"/>
            <w:noWrap w:val="0"/>
            <w:vAlign w:val="center"/>
          </w:tcPr>
          <w:p w14:paraId="0750E34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骆驼刺</w:t>
            </w:r>
          </w:p>
        </w:tc>
        <w:tc>
          <w:tcPr>
            <w:tcW w:w="819" w:type="pct"/>
            <w:noWrap w:val="0"/>
            <w:vAlign w:val="center"/>
          </w:tcPr>
          <w:p w14:paraId="407F8D5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2164" w:type="pct"/>
            <w:gridSpan w:val="2"/>
            <w:noWrap w:val="0"/>
            <w:vAlign w:val="center"/>
          </w:tcPr>
          <w:p w14:paraId="7405A82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5-10</w:t>
            </w:r>
          </w:p>
        </w:tc>
        <w:tc>
          <w:tcPr>
            <w:tcW w:w="701" w:type="pct"/>
            <w:noWrap w:val="0"/>
            <w:vAlign w:val="center"/>
          </w:tcPr>
          <w:p w14:paraId="4D26FEC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UN</w:t>
            </w:r>
          </w:p>
        </w:tc>
      </w:tr>
      <w:tr w14:paraId="0003B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noWrap w:val="0"/>
            <w:vAlign w:val="top"/>
          </w:tcPr>
          <w:p w14:paraId="3389A99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群落样方编号</w:t>
            </w:r>
            <w:r>
              <w:rPr>
                <w:rFonts w:hint="default" w:ascii="Times New Roman" w:hAnsi="Times New Roman" w:cs="Times New Roman"/>
                <w:b/>
                <w:color w:val="000000" w:themeColor="text1"/>
                <w:sz w:val="21"/>
                <w:szCs w:val="21"/>
                <w:lang w:eastAsia="zh-CN"/>
                <w14:textFill>
                  <w14:solidFill>
                    <w14:schemeClr w14:val="tx1"/>
                  </w14:solidFill>
                </w14:textFill>
              </w:rPr>
              <w:t>2</w:t>
            </w:r>
          </w:p>
        </w:tc>
      </w:tr>
      <w:tr w14:paraId="12C64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65AB5A4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调查日期</w:t>
            </w:r>
          </w:p>
        </w:tc>
        <w:tc>
          <w:tcPr>
            <w:tcW w:w="680" w:type="pct"/>
            <w:noWrap w:val="0"/>
            <w:vAlign w:val="center"/>
          </w:tcPr>
          <w:p w14:paraId="3BAD771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2023.6.16</w:t>
            </w:r>
          </w:p>
        </w:tc>
        <w:tc>
          <w:tcPr>
            <w:tcW w:w="819" w:type="pct"/>
            <w:noWrap w:val="0"/>
            <w:vAlign w:val="top"/>
          </w:tcPr>
          <w:p w14:paraId="28EB08F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调查地点</w:t>
            </w:r>
          </w:p>
        </w:tc>
        <w:tc>
          <w:tcPr>
            <w:tcW w:w="1415" w:type="pct"/>
            <w:noWrap w:val="0"/>
            <w:vAlign w:val="top"/>
          </w:tcPr>
          <w:p w14:paraId="4B67102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矿区西侧</w:t>
            </w:r>
          </w:p>
        </w:tc>
        <w:tc>
          <w:tcPr>
            <w:tcW w:w="749" w:type="pct"/>
            <w:noWrap w:val="0"/>
            <w:vAlign w:val="center"/>
          </w:tcPr>
          <w:p w14:paraId="71B3263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样方面积</w:t>
            </w:r>
          </w:p>
        </w:tc>
        <w:tc>
          <w:tcPr>
            <w:tcW w:w="701" w:type="pct"/>
            <w:noWrap w:val="0"/>
            <w:vAlign w:val="center"/>
          </w:tcPr>
          <w:p w14:paraId="3642951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1m×1m</w:t>
            </w:r>
          </w:p>
        </w:tc>
      </w:tr>
      <w:tr w14:paraId="4E467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185A8E7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海拔</w:t>
            </w:r>
          </w:p>
        </w:tc>
        <w:tc>
          <w:tcPr>
            <w:tcW w:w="680" w:type="pct"/>
            <w:noWrap w:val="0"/>
            <w:vAlign w:val="center"/>
          </w:tcPr>
          <w:p w14:paraId="68A75FF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1174m</w:t>
            </w:r>
          </w:p>
        </w:tc>
        <w:tc>
          <w:tcPr>
            <w:tcW w:w="819" w:type="pct"/>
            <w:noWrap w:val="0"/>
            <w:vAlign w:val="top"/>
          </w:tcPr>
          <w:p w14:paraId="2A537D6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土壤类型</w:t>
            </w:r>
          </w:p>
        </w:tc>
        <w:tc>
          <w:tcPr>
            <w:tcW w:w="1415" w:type="pct"/>
            <w:noWrap w:val="0"/>
            <w:vAlign w:val="top"/>
          </w:tcPr>
          <w:p w14:paraId="3BC6597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石膏盐盘棕漠土</w:t>
            </w:r>
          </w:p>
        </w:tc>
        <w:tc>
          <w:tcPr>
            <w:tcW w:w="749" w:type="pct"/>
            <w:noWrap w:val="0"/>
            <w:vAlign w:val="center"/>
          </w:tcPr>
          <w:p w14:paraId="65D3CC8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地形/地貌</w:t>
            </w:r>
          </w:p>
        </w:tc>
        <w:tc>
          <w:tcPr>
            <w:tcW w:w="701" w:type="pct"/>
            <w:noWrap w:val="0"/>
            <w:vAlign w:val="center"/>
          </w:tcPr>
          <w:p w14:paraId="4A9BEBC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丘陵</w:t>
            </w:r>
          </w:p>
        </w:tc>
      </w:tr>
      <w:tr w14:paraId="7FCC22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41D671D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植被类型</w:t>
            </w:r>
          </w:p>
        </w:tc>
        <w:tc>
          <w:tcPr>
            <w:tcW w:w="680" w:type="pct"/>
            <w:noWrap w:val="0"/>
            <w:vAlign w:val="center"/>
          </w:tcPr>
          <w:p w14:paraId="7F93906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裸地</w:t>
            </w:r>
          </w:p>
        </w:tc>
        <w:tc>
          <w:tcPr>
            <w:tcW w:w="819" w:type="pct"/>
            <w:noWrap w:val="0"/>
            <w:vAlign w:val="top"/>
          </w:tcPr>
          <w:p w14:paraId="7734EB5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植物种类数</w:t>
            </w:r>
          </w:p>
        </w:tc>
        <w:tc>
          <w:tcPr>
            <w:tcW w:w="1415" w:type="pct"/>
            <w:noWrap w:val="0"/>
            <w:vAlign w:val="top"/>
          </w:tcPr>
          <w:p w14:paraId="28D9870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49" w:type="pct"/>
            <w:noWrap w:val="0"/>
            <w:vAlign w:val="center"/>
          </w:tcPr>
          <w:p w14:paraId="4011AFF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植被总盖度</w:t>
            </w:r>
          </w:p>
        </w:tc>
        <w:tc>
          <w:tcPr>
            <w:tcW w:w="701" w:type="pct"/>
            <w:noWrap w:val="0"/>
            <w:vAlign w:val="center"/>
          </w:tcPr>
          <w:p w14:paraId="37D6E28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w:t>
            </w:r>
          </w:p>
        </w:tc>
      </w:tr>
      <w:tr w14:paraId="2050F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0B723B3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序号</w:t>
            </w:r>
          </w:p>
        </w:tc>
        <w:tc>
          <w:tcPr>
            <w:tcW w:w="680" w:type="pct"/>
            <w:noWrap w:val="0"/>
            <w:vAlign w:val="center"/>
          </w:tcPr>
          <w:p w14:paraId="28E9B07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植物名称</w:t>
            </w:r>
          </w:p>
        </w:tc>
        <w:tc>
          <w:tcPr>
            <w:tcW w:w="819" w:type="pct"/>
            <w:noWrap w:val="0"/>
            <w:vAlign w:val="top"/>
          </w:tcPr>
          <w:p w14:paraId="7C114D8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数量（株）</w:t>
            </w:r>
          </w:p>
        </w:tc>
        <w:tc>
          <w:tcPr>
            <w:tcW w:w="2164" w:type="pct"/>
            <w:gridSpan w:val="2"/>
            <w:noWrap w:val="0"/>
            <w:vAlign w:val="top"/>
          </w:tcPr>
          <w:p w14:paraId="7E10041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高度（cm）</w:t>
            </w:r>
          </w:p>
        </w:tc>
        <w:tc>
          <w:tcPr>
            <w:tcW w:w="701" w:type="pct"/>
            <w:noWrap w:val="0"/>
            <w:vAlign w:val="center"/>
          </w:tcPr>
          <w:p w14:paraId="3BF0DA5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多度</w:t>
            </w:r>
          </w:p>
        </w:tc>
      </w:tr>
      <w:tr w14:paraId="36B8B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6FFDE24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680" w:type="pct"/>
            <w:noWrap w:val="0"/>
            <w:vAlign w:val="center"/>
          </w:tcPr>
          <w:p w14:paraId="51C79A6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骆驼刺</w:t>
            </w:r>
          </w:p>
        </w:tc>
        <w:tc>
          <w:tcPr>
            <w:tcW w:w="819" w:type="pct"/>
            <w:noWrap w:val="0"/>
            <w:vAlign w:val="center"/>
          </w:tcPr>
          <w:p w14:paraId="7513B20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2164" w:type="pct"/>
            <w:gridSpan w:val="2"/>
            <w:noWrap w:val="0"/>
            <w:vAlign w:val="center"/>
          </w:tcPr>
          <w:p w14:paraId="1092980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5-10</w:t>
            </w:r>
          </w:p>
        </w:tc>
        <w:tc>
          <w:tcPr>
            <w:tcW w:w="701" w:type="pct"/>
            <w:noWrap w:val="0"/>
            <w:vAlign w:val="center"/>
          </w:tcPr>
          <w:p w14:paraId="01BB109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UN</w:t>
            </w:r>
          </w:p>
        </w:tc>
      </w:tr>
      <w:tr w14:paraId="42B18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noWrap w:val="0"/>
            <w:vAlign w:val="top"/>
          </w:tcPr>
          <w:p w14:paraId="7787052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群落样方编号</w:t>
            </w:r>
            <w:r>
              <w:rPr>
                <w:rFonts w:hint="default" w:ascii="Times New Roman" w:hAnsi="Times New Roman" w:cs="Times New Roman"/>
                <w:b/>
                <w:color w:val="000000" w:themeColor="text1"/>
                <w:sz w:val="21"/>
                <w:szCs w:val="21"/>
                <w:lang w:eastAsia="zh-CN"/>
                <w14:textFill>
                  <w14:solidFill>
                    <w14:schemeClr w14:val="tx1"/>
                  </w14:solidFill>
                </w14:textFill>
              </w:rPr>
              <w:t>3</w:t>
            </w:r>
          </w:p>
        </w:tc>
      </w:tr>
      <w:tr w14:paraId="5DA5C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trPr>
        <w:tc>
          <w:tcPr>
            <w:tcW w:w="634" w:type="pct"/>
            <w:noWrap w:val="0"/>
            <w:vAlign w:val="center"/>
          </w:tcPr>
          <w:p w14:paraId="2383A51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调查日期</w:t>
            </w:r>
          </w:p>
        </w:tc>
        <w:tc>
          <w:tcPr>
            <w:tcW w:w="680" w:type="pct"/>
            <w:noWrap w:val="0"/>
            <w:vAlign w:val="center"/>
          </w:tcPr>
          <w:p w14:paraId="31747C2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2023.6.16</w:t>
            </w:r>
          </w:p>
        </w:tc>
        <w:tc>
          <w:tcPr>
            <w:tcW w:w="819" w:type="pct"/>
            <w:noWrap w:val="0"/>
            <w:vAlign w:val="top"/>
          </w:tcPr>
          <w:p w14:paraId="6B3BA49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调查地点</w:t>
            </w:r>
          </w:p>
        </w:tc>
        <w:tc>
          <w:tcPr>
            <w:tcW w:w="1415" w:type="pct"/>
            <w:noWrap w:val="0"/>
            <w:vAlign w:val="top"/>
          </w:tcPr>
          <w:p w14:paraId="20D3A10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拟建选厂尾矿库</w:t>
            </w:r>
          </w:p>
        </w:tc>
        <w:tc>
          <w:tcPr>
            <w:tcW w:w="749" w:type="pct"/>
            <w:noWrap w:val="0"/>
            <w:vAlign w:val="center"/>
          </w:tcPr>
          <w:p w14:paraId="4BDEE11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样方面积</w:t>
            </w:r>
          </w:p>
        </w:tc>
        <w:tc>
          <w:tcPr>
            <w:tcW w:w="701" w:type="pct"/>
            <w:noWrap w:val="0"/>
            <w:vAlign w:val="center"/>
          </w:tcPr>
          <w:p w14:paraId="67A58BB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1m×1m</w:t>
            </w:r>
          </w:p>
        </w:tc>
      </w:tr>
      <w:tr w14:paraId="7C861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54F4B4B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海拔</w:t>
            </w:r>
          </w:p>
        </w:tc>
        <w:tc>
          <w:tcPr>
            <w:tcW w:w="680" w:type="pct"/>
            <w:noWrap w:val="0"/>
            <w:vAlign w:val="center"/>
          </w:tcPr>
          <w:p w14:paraId="79F6C00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1163m</w:t>
            </w:r>
          </w:p>
        </w:tc>
        <w:tc>
          <w:tcPr>
            <w:tcW w:w="819" w:type="pct"/>
            <w:noWrap w:val="0"/>
            <w:vAlign w:val="top"/>
          </w:tcPr>
          <w:p w14:paraId="71488DB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土壤类型</w:t>
            </w:r>
          </w:p>
        </w:tc>
        <w:tc>
          <w:tcPr>
            <w:tcW w:w="1415" w:type="pct"/>
            <w:noWrap w:val="0"/>
            <w:vAlign w:val="top"/>
          </w:tcPr>
          <w:p w14:paraId="66054EC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石膏盐盘棕漠土</w:t>
            </w:r>
          </w:p>
        </w:tc>
        <w:tc>
          <w:tcPr>
            <w:tcW w:w="749" w:type="pct"/>
            <w:noWrap w:val="0"/>
            <w:vAlign w:val="center"/>
          </w:tcPr>
          <w:p w14:paraId="033A62A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地形/地貌</w:t>
            </w:r>
          </w:p>
        </w:tc>
        <w:tc>
          <w:tcPr>
            <w:tcW w:w="701" w:type="pct"/>
            <w:noWrap w:val="0"/>
            <w:vAlign w:val="center"/>
          </w:tcPr>
          <w:p w14:paraId="26EBB81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丘陵</w:t>
            </w:r>
          </w:p>
        </w:tc>
      </w:tr>
      <w:tr w14:paraId="664E6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1A03128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植被类型</w:t>
            </w:r>
          </w:p>
        </w:tc>
        <w:tc>
          <w:tcPr>
            <w:tcW w:w="680" w:type="pct"/>
            <w:noWrap w:val="0"/>
            <w:vAlign w:val="center"/>
          </w:tcPr>
          <w:p w14:paraId="3E0FAA3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裸地</w:t>
            </w:r>
          </w:p>
        </w:tc>
        <w:tc>
          <w:tcPr>
            <w:tcW w:w="819" w:type="pct"/>
            <w:noWrap w:val="0"/>
            <w:vAlign w:val="top"/>
          </w:tcPr>
          <w:p w14:paraId="092BCBB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植物种类数</w:t>
            </w:r>
          </w:p>
        </w:tc>
        <w:tc>
          <w:tcPr>
            <w:tcW w:w="1415" w:type="pct"/>
            <w:noWrap w:val="0"/>
            <w:vAlign w:val="top"/>
          </w:tcPr>
          <w:p w14:paraId="33731D5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49" w:type="pct"/>
            <w:noWrap w:val="0"/>
            <w:vAlign w:val="center"/>
          </w:tcPr>
          <w:p w14:paraId="07DE0B6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植被总盖度</w:t>
            </w:r>
          </w:p>
        </w:tc>
        <w:tc>
          <w:tcPr>
            <w:tcW w:w="701" w:type="pct"/>
            <w:noWrap w:val="0"/>
            <w:vAlign w:val="center"/>
          </w:tcPr>
          <w:p w14:paraId="6898B48D">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w:t>
            </w:r>
          </w:p>
        </w:tc>
      </w:tr>
      <w:tr w14:paraId="29EFD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565AFB7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序号</w:t>
            </w:r>
          </w:p>
        </w:tc>
        <w:tc>
          <w:tcPr>
            <w:tcW w:w="680" w:type="pct"/>
            <w:noWrap w:val="0"/>
            <w:vAlign w:val="center"/>
          </w:tcPr>
          <w:p w14:paraId="69A381D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植物名称</w:t>
            </w:r>
          </w:p>
        </w:tc>
        <w:tc>
          <w:tcPr>
            <w:tcW w:w="819" w:type="pct"/>
            <w:noWrap w:val="0"/>
            <w:vAlign w:val="top"/>
          </w:tcPr>
          <w:p w14:paraId="251AC94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数量（株）</w:t>
            </w:r>
          </w:p>
        </w:tc>
        <w:tc>
          <w:tcPr>
            <w:tcW w:w="2164" w:type="pct"/>
            <w:gridSpan w:val="2"/>
            <w:noWrap w:val="0"/>
            <w:vAlign w:val="top"/>
          </w:tcPr>
          <w:p w14:paraId="3F89A3F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高度（cm）</w:t>
            </w:r>
          </w:p>
        </w:tc>
        <w:tc>
          <w:tcPr>
            <w:tcW w:w="701" w:type="pct"/>
            <w:noWrap w:val="0"/>
            <w:vAlign w:val="center"/>
          </w:tcPr>
          <w:p w14:paraId="58ECEF7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多度</w:t>
            </w:r>
          </w:p>
        </w:tc>
      </w:tr>
      <w:tr w14:paraId="003E4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2F6306DD">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680" w:type="pct"/>
            <w:noWrap w:val="0"/>
            <w:vAlign w:val="center"/>
          </w:tcPr>
          <w:p w14:paraId="02C5D2F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梭梭</w:t>
            </w:r>
          </w:p>
        </w:tc>
        <w:tc>
          <w:tcPr>
            <w:tcW w:w="819" w:type="pct"/>
            <w:noWrap w:val="0"/>
            <w:vAlign w:val="center"/>
          </w:tcPr>
          <w:p w14:paraId="5E92630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2164" w:type="pct"/>
            <w:gridSpan w:val="2"/>
            <w:noWrap w:val="0"/>
            <w:vAlign w:val="center"/>
          </w:tcPr>
          <w:p w14:paraId="0AE268B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5-10</w:t>
            </w:r>
          </w:p>
        </w:tc>
        <w:tc>
          <w:tcPr>
            <w:tcW w:w="701" w:type="pct"/>
            <w:noWrap w:val="0"/>
            <w:vAlign w:val="center"/>
          </w:tcPr>
          <w:p w14:paraId="146FEB9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UN</w:t>
            </w:r>
          </w:p>
        </w:tc>
      </w:tr>
      <w:tr w14:paraId="1C172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noWrap w:val="0"/>
            <w:vAlign w:val="top"/>
          </w:tcPr>
          <w:p w14:paraId="6284BCA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群落样方编号</w:t>
            </w:r>
            <w:r>
              <w:rPr>
                <w:rFonts w:hint="default" w:ascii="Times New Roman" w:hAnsi="Times New Roman" w:cs="Times New Roman"/>
                <w:b/>
                <w:color w:val="000000" w:themeColor="text1"/>
                <w:sz w:val="21"/>
                <w:szCs w:val="21"/>
                <w:lang w:eastAsia="zh-CN"/>
                <w14:textFill>
                  <w14:solidFill>
                    <w14:schemeClr w14:val="tx1"/>
                  </w14:solidFill>
                </w14:textFill>
              </w:rPr>
              <w:t>4</w:t>
            </w:r>
          </w:p>
        </w:tc>
      </w:tr>
      <w:tr w14:paraId="66174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1E7D57C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调查日期</w:t>
            </w:r>
          </w:p>
        </w:tc>
        <w:tc>
          <w:tcPr>
            <w:tcW w:w="680" w:type="pct"/>
            <w:noWrap w:val="0"/>
            <w:vAlign w:val="center"/>
          </w:tcPr>
          <w:p w14:paraId="34FDBBC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2023.6.16</w:t>
            </w:r>
          </w:p>
        </w:tc>
        <w:tc>
          <w:tcPr>
            <w:tcW w:w="819" w:type="pct"/>
            <w:noWrap w:val="0"/>
            <w:vAlign w:val="top"/>
          </w:tcPr>
          <w:p w14:paraId="4AB8B5F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调查地点</w:t>
            </w:r>
          </w:p>
        </w:tc>
        <w:tc>
          <w:tcPr>
            <w:tcW w:w="1415" w:type="pct"/>
            <w:noWrap w:val="0"/>
            <w:vAlign w:val="top"/>
          </w:tcPr>
          <w:p w14:paraId="1DAC988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拟建选厂尾矿库</w:t>
            </w:r>
          </w:p>
        </w:tc>
        <w:tc>
          <w:tcPr>
            <w:tcW w:w="749" w:type="pct"/>
            <w:noWrap w:val="0"/>
            <w:vAlign w:val="center"/>
          </w:tcPr>
          <w:p w14:paraId="5060DF6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样方面积</w:t>
            </w:r>
          </w:p>
        </w:tc>
        <w:tc>
          <w:tcPr>
            <w:tcW w:w="701" w:type="pct"/>
            <w:noWrap w:val="0"/>
            <w:vAlign w:val="center"/>
          </w:tcPr>
          <w:p w14:paraId="504DD26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1m×1m</w:t>
            </w:r>
          </w:p>
        </w:tc>
      </w:tr>
      <w:tr w14:paraId="13863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7C058F2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海拔</w:t>
            </w:r>
          </w:p>
        </w:tc>
        <w:tc>
          <w:tcPr>
            <w:tcW w:w="680" w:type="pct"/>
            <w:noWrap w:val="0"/>
            <w:vAlign w:val="center"/>
          </w:tcPr>
          <w:p w14:paraId="32A4B90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1164m</w:t>
            </w:r>
          </w:p>
        </w:tc>
        <w:tc>
          <w:tcPr>
            <w:tcW w:w="819" w:type="pct"/>
            <w:noWrap w:val="0"/>
            <w:vAlign w:val="top"/>
          </w:tcPr>
          <w:p w14:paraId="58A488A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土壤类型</w:t>
            </w:r>
          </w:p>
        </w:tc>
        <w:tc>
          <w:tcPr>
            <w:tcW w:w="1415" w:type="pct"/>
            <w:noWrap w:val="0"/>
            <w:vAlign w:val="top"/>
          </w:tcPr>
          <w:p w14:paraId="6569C7C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石膏盐盘棕漠土</w:t>
            </w:r>
          </w:p>
        </w:tc>
        <w:tc>
          <w:tcPr>
            <w:tcW w:w="749" w:type="pct"/>
            <w:noWrap w:val="0"/>
            <w:vAlign w:val="center"/>
          </w:tcPr>
          <w:p w14:paraId="133E213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地形/地貌</w:t>
            </w:r>
          </w:p>
        </w:tc>
        <w:tc>
          <w:tcPr>
            <w:tcW w:w="701" w:type="pct"/>
            <w:noWrap w:val="0"/>
            <w:vAlign w:val="center"/>
          </w:tcPr>
          <w:p w14:paraId="0BFD857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丘陵</w:t>
            </w:r>
          </w:p>
        </w:tc>
      </w:tr>
      <w:tr w14:paraId="250CB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19B84DC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植被类型</w:t>
            </w:r>
          </w:p>
        </w:tc>
        <w:tc>
          <w:tcPr>
            <w:tcW w:w="680" w:type="pct"/>
            <w:noWrap w:val="0"/>
            <w:vAlign w:val="center"/>
          </w:tcPr>
          <w:p w14:paraId="635E7B2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裸地</w:t>
            </w:r>
          </w:p>
        </w:tc>
        <w:tc>
          <w:tcPr>
            <w:tcW w:w="819" w:type="pct"/>
            <w:noWrap w:val="0"/>
            <w:vAlign w:val="top"/>
          </w:tcPr>
          <w:p w14:paraId="57D94A7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植物种类数</w:t>
            </w:r>
          </w:p>
        </w:tc>
        <w:tc>
          <w:tcPr>
            <w:tcW w:w="1415" w:type="pct"/>
            <w:noWrap w:val="0"/>
            <w:vAlign w:val="top"/>
          </w:tcPr>
          <w:p w14:paraId="27044AA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49" w:type="pct"/>
            <w:noWrap w:val="0"/>
            <w:vAlign w:val="center"/>
          </w:tcPr>
          <w:p w14:paraId="661F72D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植被总盖度</w:t>
            </w:r>
          </w:p>
        </w:tc>
        <w:tc>
          <w:tcPr>
            <w:tcW w:w="701" w:type="pct"/>
            <w:noWrap w:val="0"/>
            <w:vAlign w:val="center"/>
          </w:tcPr>
          <w:p w14:paraId="5E9C442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1%</w:t>
            </w:r>
          </w:p>
        </w:tc>
      </w:tr>
      <w:tr w14:paraId="4E211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0E5A938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序号</w:t>
            </w:r>
          </w:p>
        </w:tc>
        <w:tc>
          <w:tcPr>
            <w:tcW w:w="680" w:type="pct"/>
            <w:noWrap w:val="0"/>
            <w:vAlign w:val="center"/>
          </w:tcPr>
          <w:p w14:paraId="0BEDB69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植物名称</w:t>
            </w:r>
          </w:p>
        </w:tc>
        <w:tc>
          <w:tcPr>
            <w:tcW w:w="819" w:type="pct"/>
            <w:noWrap w:val="0"/>
            <w:vAlign w:val="top"/>
          </w:tcPr>
          <w:p w14:paraId="076B144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数量（株）</w:t>
            </w:r>
          </w:p>
        </w:tc>
        <w:tc>
          <w:tcPr>
            <w:tcW w:w="2164" w:type="pct"/>
            <w:gridSpan w:val="2"/>
            <w:noWrap w:val="0"/>
            <w:vAlign w:val="top"/>
          </w:tcPr>
          <w:p w14:paraId="3D2A6FF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高度（cm）</w:t>
            </w:r>
          </w:p>
        </w:tc>
        <w:tc>
          <w:tcPr>
            <w:tcW w:w="701" w:type="pct"/>
            <w:noWrap w:val="0"/>
            <w:vAlign w:val="center"/>
          </w:tcPr>
          <w:p w14:paraId="076E313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多度</w:t>
            </w:r>
          </w:p>
        </w:tc>
      </w:tr>
      <w:tr w14:paraId="1A39D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1CD2DAB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680" w:type="pct"/>
            <w:noWrap w:val="0"/>
            <w:vAlign w:val="center"/>
          </w:tcPr>
          <w:p w14:paraId="00D35E1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梭梭</w:t>
            </w:r>
          </w:p>
        </w:tc>
        <w:tc>
          <w:tcPr>
            <w:tcW w:w="819" w:type="pct"/>
            <w:noWrap w:val="0"/>
            <w:vAlign w:val="center"/>
          </w:tcPr>
          <w:p w14:paraId="77E4A4D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2164" w:type="pct"/>
            <w:gridSpan w:val="2"/>
            <w:noWrap w:val="0"/>
            <w:vAlign w:val="center"/>
          </w:tcPr>
          <w:p w14:paraId="29CE81D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5-10</w:t>
            </w:r>
          </w:p>
        </w:tc>
        <w:tc>
          <w:tcPr>
            <w:tcW w:w="701" w:type="pct"/>
            <w:noWrap w:val="0"/>
            <w:vAlign w:val="center"/>
          </w:tcPr>
          <w:p w14:paraId="03FB10E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UN</w:t>
            </w:r>
          </w:p>
        </w:tc>
      </w:tr>
      <w:tr w14:paraId="7FF9D0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noWrap w:val="0"/>
            <w:vAlign w:val="top"/>
          </w:tcPr>
          <w:p w14:paraId="750A1ED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群落样方编号</w:t>
            </w:r>
            <w:r>
              <w:rPr>
                <w:rFonts w:hint="default" w:ascii="Times New Roman" w:hAnsi="Times New Roman" w:cs="Times New Roman"/>
                <w:b/>
                <w:color w:val="000000" w:themeColor="text1"/>
                <w:sz w:val="21"/>
                <w:szCs w:val="21"/>
                <w:lang w:eastAsia="zh-CN"/>
                <w14:textFill>
                  <w14:solidFill>
                    <w14:schemeClr w14:val="tx1"/>
                  </w14:solidFill>
                </w14:textFill>
              </w:rPr>
              <w:t>5</w:t>
            </w:r>
          </w:p>
        </w:tc>
      </w:tr>
      <w:tr w14:paraId="5BE83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0B784B2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调查日期</w:t>
            </w:r>
          </w:p>
        </w:tc>
        <w:tc>
          <w:tcPr>
            <w:tcW w:w="680" w:type="pct"/>
            <w:noWrap w:val="0"/>
            <w:vAlign w:val="center"/>
          </w:tcPr>
          <w:p w14:paraId="326A22A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2023.6.16</w:t>
            </w:r>
          </w:p>
        </w:tc>
        <w:tc>
          <w:tcPr>
            <w:tcW w:w="819" w:type="pct"/>
            <w:noWrap w:val="0"/>
            <w:vAlign w:val="top"/>
          </w:tcPr>
          <w:p w14:paraId="72DE47F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调查地点</w:t>
            </w:r>
          </w:p>
        </w:tc>
        <w:tc>
          <w:tcPr>
            <w:tcW w:w="1415" w:type="pct"/>
            <w:noWrap w:val="0"/>
            <w:vAlign w:val="top"/>
          </w:tcPr>
          <w:p w14:paraId="53DF36A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拟建选厂尾矿库</w:t>
            </w:r>
          </w:p>
        </w:tc>
        <w:tc>
          <w:tcPr>
            <w:tcW w:w="749" w:type="pct"/>
            <w:noWrap w:val="0"/>
            <w:vAlign w:val="center"/>
          </w:tcPr>
          <w:p w14:paraId="26CD0F2D">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样方面积</w:t>
            </w:r>
          </w:p>
        </w:tc>
        <w:tc>
          <w:tcPr>
            <w:tcW w:w="701" w:type="pct"/>
            <w:noWrap w:val="0"/>
            <w:vAlign w:val="center"/>
          </w:tcPr>
          <w:p w14:paraId="2540194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1m×1m</w:t>
            </w:r>
          </w:p>
        </w:tc>
      </w:tr>
      <w:tr w14:paraId="3F8A40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417D97E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海拔</w:t>
            </w:r>
          </w:p>
        </w:tc>
        <w:tc>
          <w:tcPr>
            <w:tcW w:w="680" w:type="pct"/>
            <w:noWrap w:val="0"/>
            <w:vAlign w:val="center"/>
          </w:tcPr>
          <w:p w14:paraId="199EF94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1168m</w:t>
            </w:r>
          </w:p>
        </w:tc>
        <w:tc>
          <w:tcPr>
            <w:tcW w:w="819" w:type="pct"/>
            <w:noWrap w:val="0"/>
            <w:vAlign w:val="top"/>
          </w:tcPr>
          <w:p w14:paraId="2558DFB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土壤类型</w:t>
            </w:r>
          </w:p>
        </w:tc>
        <w:tc>
          <w:tcPr>
            <w:tcW w:w="1415" w:type="pct"/>
            <w:noWrap w:val="0"/>
            <w:vAlign w:val="top"/>
          </w:tcPr>
          <w:p w14:paraId="6940A30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石膏盐盘棕漠土</w:t>
            </w:r>
          </w:p>
        </w:tc>
        <w:tc>
          <w:tcPr>
            <w:tcW w:w="749" w:type="pct"/>
            <w:noWrap w:val="0"/>
            <w:vAlign w:val="center"/>
          </w:tcPr>
          <w:p w14:paraId="2D3B0E7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地形/地貌</w:t>
            </w:r>
          </w:p>
        </w:tc>
        <w:tc>
          <w:tcPr>
            <w:tcW w:w="701" w:type="pct"/>
            <w:noWrap w:val="0"/>
            <w:vAlign w:val="center"/>
          </w:tcPr>
          <w:p w14:paraId="08D89C6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丘陵</w:t>
            </w:r>
          </w:p>
        </w:tc>
      </w:tr>
      <w:tr w14:paraId="098C1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754C599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植被类型</w:t>
            </w:r>
          </w:p>
        </w:tc>
        <w:tc>
          <w:tcPr>
            <w:tcW w:w="680" w:type="pct"/>
            <w:noWrap w:val="0"/>
            <w:vAlign w:val="center"/>
          </w:tcPr>
          <w:p w14:paraId="74637AB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裸地</w:t>
            </w:r>
          </w:p>
        </w:tc>
        <w:tc>
          <w:tcPr>
            <w:tcW w:w="819" w:type="pct"/>
            <w:noWrap w:val="0"/>
            <w:vAlign w:val="top"/>
          </w:tcPr>
          <w:p w14:paraId="79EC4A2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植物种类数</w:t>
            </w:r>
          </w:p>
        </w:tc>
        <w:tc>
          <w:tcPr>
            <w:tcW w:w="1415" w:type="pct"/>
            <w:noWrap w:val="0"/>
            <w:vAlign w:val="top"/>
          </w:tcPr>
          <w:p w14:paraId="5B891A8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49" w:type="pct"/>
            <w:noWrap w:val="0"/>
            <w:vAlign w:val="center"/>
          </w:tcPr>
          <w:p w14:paraId="57BA053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植被总盖度</w:t>
            </w:r>
          </w:p>
        </w:tc>
        <w:tc>
          <w:tcPr>
            <w:tcW w:w="701" w:type="pct"/>
            <w:noWrap w:val="0"/>
            <w:vAlign w:val="center"/>
          </w:tcPr>
          <w:p w14:paraId="08D038E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w:t>
            </w:r>
          </w:p>
        </w:tc>
      </w:tr>
      <w:tr w14:paraId="39C6F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76F1E60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序号</w:t>
            </w:r>
          </w:p>
        </w:tc>
        <w:tc>
          <w:tcPr>
            <w:tcW w:w="680" w:type="pct"/>
            <w:noWrap w:val="0"/>
            <w:vAlign w:val="center"/>
          </w:tcPr>
          <w:p w14:paraId="0F0DA98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植物名称</w:t>
            </w:r>
          </w:p>
        </w:tc>
        <w:tc>
          <w:tcPr>
            <w:tcW w:w="819" w:type="pct"/>
            <w:noWrap w:val="0"/>
            <w:vAlign w:val="top"/>
          </w:tcPr>
          <w:p w14:paraId="273A2C7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数量（株）</w:t>
            </w:r>
          </w:p>
        </w:tc>
        <w:tc>
          <w:tcPr>
            <w:tcW w:w="2164" w:type="pct"/>
            <w:gridSpan w:val="2"/>
            <w:noWrap w:val="0"/>
            <w:vAlign w:val="top"/>
          </w:tcPr>
          <w:p w14:paraId="239AF39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高度（cm）</w:t>
            </w:r>
          </w:p>
        </w:tc>
        <w:tc>
          <w:tcPr>
            <w:tcW w:w="701" w:type="pct"/>
            <w:noWrap w:val="0"/>
            <w:vAlign w:val="center"/>
          </w:tcPr>
          <w:p w14:paraId="5B1A0A3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多度</w:t>
            </w:r>
          </w:p>
        </w:tc>
      </w:tr>
      <w:tr w14:paraId="39B84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7768BD0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w:t>
            </w:r>
          </w:p>
        </w:tc>
        <w:tc>
          <w:tcPr>
            <w:tcW w:w="680" w:type="pct"/>
            <w:noWrap w:val="0"/>
            <w:vAlign w:val="center"/>
          </w:tcPr>
          <w:p w14:paraId="683195A8">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骆驼刺</w:t>
            </w:r>
          </w:p>
        </w:tc>
        <w:tc>
          <w:tcPr>
            <w:tcW w:w="819" w:type="pct"/>
            <w:noWrap w:val="0"/>
            <w:vAlign w:val="center"/>
          </w:tcPr>
          <w:p w14:paraId="29D2F22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2164" w:type="pct"/>
            <w:gridSpan w:val="2"/>
            <w:noWrap w:val="0"/>
            <w:vAlign w:val="center"/>
          </w:tcPr>
          <w:p w14:paraId="2149DE0E">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5-10</w:t>
            </w:r>
          </w:p>
        </w:tc>
        <w:tc>
          <w:tcPr>
            <w:tcW w:w="701" w:type="pct"/>
            <w:noWrap w:val="0"/>
            <w:vAlign w:val="center"/>
          </w:tcPr>
          <w:p w14:paraId="70DC620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UN</w:t>
            </w:r>
          </w:p>
        </w:tc>
      </w:tr>
      <w:tr w14:paraId="4C217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noWrap w:val="0"/>
            <w:vAlign w:val="top"/>
          </w:tcPr>
          <w:p w14:paraId="48795DD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群落样方编号</w:t>
            </w:r>
            <w:r>
              <w:rPr>
                <w:rFonts w:hint="default" w:ascii="Times New Roman" w:hAnsi="Times New Roman" w:cs="Times New Roman"/>
                <w:b/>
                <w:color w:val="000000" w:themeColor="text1"/>
                <w:sz w:val="21"/>
                <w:szCs w:val="21"/>
                <w:lang w:eastAsia="zh-CN"/>
                <w14:textFill>
                  <w14:solidFill>
                    <w14:schemeClr w14:val="tx1"/>
                  </w14:solidFill>
                </w14:textFill>
              </w:rPr>
              <w:t>6</w:t>
            </w:r>
          </w:p>
        </w:tc>
      </w:tr>
      <w:tr w14:paraId="6C295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23F3FBC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调查日期</w:t>
            </w:r>
          </w:p>
        </w:tc>
        <w:tc>
          <w:tcPr>
            <w:tcW w:w="680" w:type="pct"/>
            <w:noWrap w:val="0"/>
            <w:vAlign w:val="center"/>
          </w:tcPr>
          <w:p w14:paraId="2D3D0D2B">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2023.6.16</w:t>
            </w:r>
          </w:p>
        </w:tc>
        <w:tc>
          <w:tcPr>
            <w:tcW w:w="819" w:type="pct"/>
            <w:noWrap w:val="0"/>
            <w:vAlign w:val="top"/>
          </w:tcPr>
          <w:p w14:paraId="266D93C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调查地点</w:t>
            </w:r>
          </w:p>
        </w:tc>
        <w:tc>
          <w:tcPr>
            <w:tcW w:w="1415" w:type="pct"/>
            <w:noWrap w:val="0"/>
            <w:vAlign w:val="top"/>
          </w:tcPr>
          <w:p w14:paraId="666F8A4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矿区南侧</w:t>
            </w:r>
          </w:p>
        </w:tc>
        <w:tc>
          <w:tcPr>
            <w:tcW w:w="749" w:type="pct"/>
            <w:noWrap w:val="0"/>
            <w:vAlign w:val="center"/>
          </w:tcPr>
          <w:p w14:paraId="7CC5197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样方面积</w:t>
            </w:r>
          </w:p>
        </w:tc>
        <w:tc>
          <w:tcPr>
            <w:tcW w:w="701" w:type="pct"/>
            <w:noWrap w:val="0"/>
            <w:vAlign w:val="center"/>
          </w:tcPr>
          <w:p w14:paraId="5399F5A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1m×1m</w:t>
            </w:r>
          </w:p>
        </w:tc>
      </w:tr>
      <w:tr w14:paraId="71E1F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737085A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海拔</w:t>
            </w:r>
          </w:p>
        </w:tc>
        <w:tc>
          <w:tcPr>
            <w:tcW w:w="680" w:type="pct"/>
            <w:noWrap w:val="0"/>
            <w:vAlign w:val="center"/>
          </w:tcPr>
          <w:p w14:paraId="23576A9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1164m</w:t>
            </w:r>
          </w:p>
        </w:tc>
        <w:tc>
          <w:tcPr>
            <w:tcW w:w="819" w:type="pct"/>
            <w:noWrap w:val="0"/>
            <w:vAlign w:val="top"/>
          </w:tcPr>
          <w:p w14:paraId="6085E6F4">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土壤类型</w:t>
            </w:r>
          </w:p>
        </w:tc>
        <w:tc>
          <w:tcPr>
            <w:tcW w:w="1415" w:type="pct"/>
            <w:noWrap w:val="0"/>
            <w:vAlign w:val="top"/>
          </w:tcPr>
          <w:p w14:paraId="03390480">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石膏盐盘棕漠土</w:t>
            </w:r>
          </w:p>
        </w:tc>
        <w:tc>
          <w:tcPr>
            <w:tcW w:w="749" w:type="pct"/>
            <w:noWrap w:val="0"/>
            <w:vAlign w:val="center"/>
          </w:tcPr>
          <w:p w14:paraId="70234AD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地形/地貌</w:t>
            </w:r>
          </w:p>
        </w:tc>
        <w:tc>
          <w:tcPr>
            <w:tcW w:w="701" w:type="pct"/>
            <w:noWrap w:val="0"/>
            <w:vAlign w:val="center"/>
          </w:tcPr>
          <w:p w14:paraId="2A6FFE65">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丘陵</w:t>
            </w:r>
          </w:p>
        </w:tc>
      </w:tr>
      <w:tr w14:paraId="64A1B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10BC889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植被类型</w:t>
            </w:r>
          </w:p>
        </w:tc>
        <w:tc>
          <w:tcPr>
            <w:tcW w:w="680" w:type="pct"/>
            <w:noWrap w:val="0"/>
            <w:vAlign w:val="center"/>
          </w:tcPr>
          <w:p w14:paraId="2A5DC15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裸地</w:t>
            </w:r>
          </w:p>
        </w:tc>
        <w:tc>
          <w:tcPr>
            <w:tcW w:w="819" w:type="pct"/>
            <w:noWrap w:val="0"/>
            <w:vAlign w:val="top"/>
          </w:tcPr>
          <w:p w14:paraId="09E25D8D">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植物种类数</w:t>
            </w:r>
          </w:p>
        </w:tc>
        <w:tc>
          <w:tcPr>
            <w:tcW w:w="1415" w:type="pct"/>
            <w:noWrap w:val="0"/>
            <w:vAlign w:val="top"/>
          </w:tcPr>
          <w:p w14:paraId="1486F8E6">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49" w:type="pct"/>
            <w:noWrap w:val="0"/>
            <w:vAlign w:val="center"/>
          </w:tcPr>
          <w:p w14:paraId="53807CD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植被总盖度</w:t>
            </w:r>
          </w:p>
        </w:tc>
        <w:tc>
          <w:tcPr>
            <w:tcW w:w="701" w:type="pct"/>
            <w:noWrap w:val="0"/>
            <w:vAlign w:val="center"/>
          </w:tcPr>
          <w:p w14:paraId="71A3097A">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1%</w:t>
            </w:r>
          </w:p>
        </w:tc>
      </w:tr>
      <w:tr w14:paraId="5C699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45E2E21C">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序号</w:t>
            </w:r>
          </w:p>
        </w:tc>
        <w:tc>
          <w:tcPr>
            <w:tcW w:w="680" w:type="pct"/>
            <w:noWrap w:val="0"/>
            <w:vAlign w:val="center"/>
          </w:tcPr>
          <w:p w14:paraId="3FC72AB3">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植物名称</w:t>
            </w:r>
          </w:p>
        </w:tc>
        <w:tc>
          <w:tcPr>
            <w:tcW w:w="819" w:type="pct"/>
            <w:noWrap w:val="0"/>
            <w:vAlign w:val="top"/>
          </w:tcPr>
          <w:p w14:paraId="054ABD2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数量（株）</w:t>
            </w:r>
          </w:p>
        </w:tc>
        <w:tc>
          <w:tcPr>
            <w:tcW w:w="2164" w:type="pct"/>
            <w:gridSpan w:val="2"/>
            <w:noWrap w:val="0"/>
            <w:vAlign w:val="top"/>
          </w:tcPr>
          <w:p w14:paraId="7B5C6AF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高度（cm）</w:t>
            </w:r>
          </w:p>
        </w:tc>
        <w:tc>
          <w:tcPr>
            <w:tcW w:w="701" w:type="pct"/>
            <w:noWrap w:val="0"/>
            <w:vAlign w:val="center"/>
          </w:tcPr>
          <w:p w14:paraId="742D9F92">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多度</w:t>
            </w:r>
          </w:p>
        </w:tc>
      </w:tr>
      <w:tr w14:paraId="4F39E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4" w:type="pct"/>
            <w:noWrap w:val="0"/>
            <w:vAlign w:val="center"/>
          </w:tcPr>
          <w:p w14:paraId="78894A51">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w:t>
            </w:r>
          </w:p>
        </w:tc>
        <w:tc>
          <w:tcPr>
            <w:tcW w:w="680" w:type="pct"/>
            <w:noWrap w:val="0"/>
            <w:vAlign w:val="center"/>
          </w:tcPr>
          <w:p w14:paraId="3C2843D7">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梭梭</w:t>
            </w:r>
          </w:p>
        </w:tc>
        <w:tc>
          <w:tcPr>
            <w:tcW w:w="819" w:type="pct"/>
            <w:noWrap w:val="0"/>
            <w:vAlign w:val="center"/>
          </w:tcPr>
          <w:p w14:paraId="58B0A339">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2164" w:type="pct"/>
            <w:gridSpan w:val="2"/>
            <w:noWrap w:val="0"/>
            <w:vAlign w:val="center"/>
          </w:tcPr>
          <w:p w14:paraId="146A7E7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5-10</w:t>
            </w:r>
          </w:p>
        </w:tc>
        <w:tc>
          <w:tcPr>
            <w:tcW w:w="701" w:type="pct"/>
            <w:noWrap w:val="0"/>
            <w:vAlign w:val="center"/>
          </w:tcPr>
          <w:p w14:paraId="685A4A0F">
            <w:pPr>
              <w:pStyle w:val="78"/>
              <w:keepNext w:val="0"/>
              <w:keepLines w:val="0"/>
              <w:suppressLineNumbers w:val="0"/>
              <w:spacing w:before="0" w:beforeAutospacing="0" w:after="0" w:afterAutospacing="0" w:line="360" w:lineRule="exact"/>
              <w:ind w:left="-105" w:leftChars="-50" w:right="-105" w:rightChars="-50"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UN</w:t>
            </w:r>
          </w:p>
        </w:tc>
      </w:tr>
    </w:tbl>
    <w:p w14:paraId="0D29F5AF">
      <w:pPr>
        <w:spacing w:line="480" w:lineRule="exact"/>
        <w:ind w:firstLine="480" w:firstLineChars="200"/>
        <w:rPr>
          <w:rFonts w:hint="eastAsia"/>
          <w:color w:val="000000" w:themeColor="text1"/>
          <w:sz w:val="24"/>
          <w:szCs w:val="24"/>
          <w14:textFill>
            <w14:solidFill>
              <w14:schemeClr w14:val="tx1"/>
            </w14:solidFill>
          </w14:textFill>
        </w:rPr>
        <w:sectPr>
          <w:footerReference r:id="rId28" w:type="default"/>
          <w:footerReference r:id="rId2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000000" w:themeColor="text1"/>
          <w:sz w:val="24"/>
          <w:szCs w:val="24"/>
          <w14:textFill>
            <w14:solidFill>
              <w14:schemeClr w14:val="tx1"/>
            </w14:solidFill>
          </w14:textFill>
        </w:rPr>
        <w:t>样方照片见下图。</w:t>
      </w:r>
    </w:p>
    <w:tbl>
      <w:tblPr>
        <w:tblStyle w:val="79"/>
        <w:tblW w:w="85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4153"/>
      </w:tblGrid>
      <w:tr w14:paraId="4E1A2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61" w:type="dxa"/>
            <w:noWrap w:val="0"/>
            <w:vAlign w:val="center"/>
          </w:tcPr>
          <w:p w14:paraId="2E855500">
            <w:pPr>
              <w:pStyle w:val="78"/>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6168E6F9">
            <w:pPr>
              <w:pStyle w:val="54"/>
              <w:keepNext w:val="0"/>
              <w:keepLines w:val="0"/>
              <w:suppressLineNumbers w:val="0"/>
              <w:spacing w:before="0" w:beforeAutospacing="0" w:afterAutospacing="0"/>
              <w:ind w:right="0"/>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3EE17524">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22FD3B2B">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6145D70E">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216FB886">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5697F30C">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155F1F7F">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0B5A7C93">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4153" w:type="dxa"/>
            <w:noWrap w:val="0"/>
            <w:vAlign w:val="center"/>
          </w:tcPr>
          <w:p w14:paraId="72EDE795">
            <w:pPr>
              <w:pStyle w:val="78"/>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14:paraId="45795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61" w:type="dxa"/>
            <w:noWrap w:val="0"/>
            <w:vAlign w:val="center"/>
          </w:tcPr>
          <w:p w14:paraId="756EE0FB">
            <w:pPr>
              <w:pStyle w:val="78"/>
              <w:keepNext w:val="0"/>
              <w:keepLines w:val="0"/>
              <w:suppressLineNumbers w:val="0"/>
              <w:spacing w:before="0" w:beforeAutospacing="0" w:after="0" w:afterAutospacing="0" w:line="360" w:lineRule="exact"/>
              <w:ind w:left="0" w:leftChars="0" w:right="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样方一</w:t>
            </w:r>
          </w:p>
        </w:tc>
        <w:tc>
          <w:tcPr>
            <w:tcW w:w="4153" w:type="dxa"/>
            <w:noWrap w:val="0"/>
            <w:vAlign w:val="center"/>
          </w:tcPr>
          <w:p w14:paraId="3B14E5E5">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样方二</w:t>
            </w:r>
          </w:p>
        </w:tc>
      </w:tr>
      <w:tr w14:paraId="1F901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61" w:type="dxa"/>
            <w:noWrap w:val="0"/>
            <w:vAlign w:val="center"/>
          </w:tcPr>
          <w:p w14:paraId="1FC5EB7D">
            <w:pPr>
              <w:pStyle w:val="78"/>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p>
          <w:p w14:paraId="03EE6EA5">
            <w:pPr>
              <w:pStyle w:val="54"/>
              <w:keepNext w:val="0"/>
              <w:keepLines w:val="0"/>
              <w:suppressLineNumbers w:val="0"/>
              <w:spacing w:before="0" w:beforeAutospacing="0" w:afterAutospacing="0"/>
              <w:ind w:right="0"/>
              <w:rPr>
                <w:rFonts w:hint="eastAsia" w:ascii="Times New Roman" w:hAnsi="Times New Roman" w:cs="Times New Roman"/>
                <w:color w:val="000000" w:themeColor="text1"/>
                <w:sz w:val="21"/>
                <w:szCs w:val="21"/>
                <w:lang w:eastAsia="zh-CN"/>
                <w14:textFill>
                  <w14:solidFill>
                    <w14:schemeClr w14:val="tx1"/>
                  </w14:solidFill>
                </w14:textFill>
              </w:rPr>
            </w:pPr>
          </w:p>
          <w:p w14:paraId="3C6F42BB">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619116D8">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2BB7E112">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3F1B539F">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5E4A1FDE">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3B458F38">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5B8EB624">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tc>
        <w:tc>
          <w:tcPr>
            <w:tcW w:w="4153" w:type="dxa"/>
            <w:noWrap w:val="0"/>
            <w:vAlign w:val="center"/>
          </w:tcPr>
          <w:p w14:paraId="040299D5">
            <w:pPr>
              <w:pStyle w:val="78"/>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14:paraId="7EFE3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61" w:type="dxa"/>
            <w:noWrap w:val="0"/>
            <w:vAlign w:val="center"/>
          </w:tcPr>
          <w:p w14:paraId="57F4691F">
            <w:pPr>
              <w:pStyle w:val="78"/>
              <w:keepNext w:val="0"/>
              <w:keepLines w:val="0"/>
              <w:suppressLineNumbers w:val="0"/>
              <w:spacing w:before="0" w:beforeAutospacing="0" w:after="0" w:afterAutospacing="0" w:line="360" w:lineRule="exact"/>
              <w:ind w:left="0" w:leftChars="0" w:right="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样方三</w:t>
            </w:r>
          </w:p>
        </w:tc>
        <w:tc>
          <w:tcPr>
            <w:tcW w:w="4153" w:type="dxa"/>
            <w:noWrap w:val="0"/>
            <w:vAlign w:val="center"/>
          </w:tcPr>
          <w:p w14:paraId="1DCEFFAA">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样方四</w:t>
            </w:r>
          </w:p>
        </w:tc>
      </w:tr>
      <w:tr w14:paraId="02712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61" w:type="dxa"/>
            <w:noWrap w:val="0"/>
            <w:vAlign w:val="center"/>
          </w:tcPr>
          <w:p w14:paraId="6D7461AF">
            <w:pPr>
              <w:pStyle w:val="78"/>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p>
          <w:p w14:paraId="0F421187">
            <w:pPr>
              <w:pStyle w:val="54"/>
              <w:keepNext w:val="0"/>
              <w:keepLines w:val="0"/>
              <w:suppressLineNumbers w:val="0"/>
              <w:spacing w:before="0" w:beforeAutospacing="0" w:afterAutospacing="0"/>
              <w:ind w:right="0"/>
              <w:rPr>
                <w:rFonts w:hint="eastAsia" w:ascii="Times New Roman" w:hAnsi="Times New Roman" w:cs="Times New Roman"/>
                <w:color w:val="000000" w:themeColor="text1"/>
                <w:sz w:val="21"/>
                <w:szCs w:val="21"/>
                <w:lang w:eastAsia="zh-CN"/>
                <w14:textFill>
                  <w14:solidFill>
                    <w14:schemeClr w14:val="tx1"/>
                  </w14:solidFill>
                </w14:textFill>
              </w:rPr>
            </w:pPr>
          </w:p>
          <w:p w14:paraId="2CC27EAE">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68E5299B">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030DCDE0">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547D7365">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4BDF3ABF">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6BA9347F">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p w14:paraId="085F452D">
            <w:pPr>
              <w:keepNext w:val="0"/>
              <w:keepLines w:val="0"/>
              <w:suppressLineNumbers w:val="0"/>
              <w:spacing w:before="0" w:beforeAutospacing="0" w:after="0" w:afterAutospacing="0"/>
              <w:ind w:left="0" w:right="0"/>
              <w:rPr>
                <w:rFonts w:hint="eastAsia" w:ascii="Times New Roman" w:hAnsi="Times New Roman" w:cs="Times New Roman"/>
                <w:color w:val="000000" w:themeColor="text1"/>
                <w:sz w:val="21"/>
                <w:szCs w:val="21"/>
                <w:lang w:eastAsia="zh-CN"/>
                <w14:textFill>
                  <w14:solidFill>
                    <w14:schemeClr w14:val="tx1"/>
                  </w14:solidFill>
                </w14:textFill>
              </w:rPr>
            </w:pPr>
          </w:p>
        </w:tc>
        <w:tc>
          <w:tcPr>
            <w:tcW w:w="4153" w:type="dxa"/>
            <w:noWrap w:val="0"/>
            <w:vAlign w:val="center"/>
          </w:tcPr>
          <w:p w14:paraId="0A9A4713">
            <w:pPr>
              <w:pStyle w:val="78"/>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14:paraId="104AD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61" w:type="dxa"/>
            <w:noWrap w:val="0"/>
            <w:vAlign w:val="center"/>
          </w:tcPr>
          <w:p w14:paraId="79F8902C">
            <w:pPr>
              <w:pStyle w:val="78"/>
              <w:keepNext w:val="0"/>
              <w:keepLines w:val="0"/>
              <w:suppressLineNumbers w:val="0"/>
              <w:spacing w:before="0" w:beforeAutospacing="0" w:after="0" w:afterAutospacing="0" w:line="360" w:lineRule="exact"/>
              <w:ind w:left="0" w:leftChars="0" w:right="0"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样方五</w:t>
            </w:r>
          </w:p>
        </w:tc>
        <w:tc>
          <w:tcPr>
            <w:tcW w:w="4153" w:type="dxa"/>
            <w:noWrap w:val="0"/>
            <w:vAlign w:val="center"/>
          </w:tcPr>
          <w:p w14:paraId="57120A78">
            <w:pPr>
              <w:pStyle w:val="78"/>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样方六</w:t>
            </w:r>
          </w:p>
        </w:tc>
      </w:tr>
    </w:tbl>
    <w:p w14:paraId="3F36123C">
      <w:pPr>
        <w:spacing w:line="480" w:lineRule="exact"/>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图4</w:t>
      </w:r>
      <w:r>
        <w:rPr>
          <w:b/>
          <w:color w:val="000000" w:themeColor="text1"/>
          <w:sz w:val="24"/>
          <w:szCs w:val="24"/>
          <w14:textFill>
            <w14:solidFill>
              <w14:schemeClr w14:val="tx1"/>
            </w14:solidFill>
          </w14:textFill>
        </w:rPr>
        <w:t>.2-</w:t>
      </w:r>
      <w:r>
        <w:rPr>
          <w:rFonts w:hint="eastAsia"/>
          <w:b/>
          <w:color w:val="000000" w:themeColor="text1"/>
          <w:sz w:val="24"/>
          <w:szCs w:val="24"/>
          <w:lang w:val="en-US" w:eastAsia="zh-CN"/>
          <w14:textFill>
            <w14:solidFill>
              <w14:schemeClr w14:val="tx1"/>
            </w14:solidFill>
          </w14:textFill>
        </w:rPr>
        <w:t>7</w:t>
      </w:r>
      <w:r>
        <w:rPr>
          <w:b/>
          <w:color w:val="000000" w:themeColor="text1"/>
          <w:sz w:val="24"/>
          <w:szCs w:val="24"/>
          <w14:textFill>
            <w14:solidFill>
              <w14:schemeClr w14:val="tx1"/>
            </w14:solidFill>
          </w14:textFill>
        </w:rPr>
        <w:t xml:space="preserve">    </w:t>
      </w:r>
      <w:r>
        <w:rPr>
          <w:rFonts w:hint="eastAsia"/>
          <w:b/>
          <w:color w:val="000000" w:themeColor="text1"/>
          <w:sz w:val="24"/>
          <w:szCs w:val="24"/>
          <w14:textFill>
            <w14:solidFill>
              <w14:schemeClr w14:val="tx1"/>
            </w14:solidFill>
          </w14:textFill>
        </w:rPr>
        <w:t>植物样方调查照片</w:t>
      </w:r>
    </w:p>
    <w:p w14:paraId="7EE7AFCE">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r>
        <w:rPr>
          <w:rFonts w:ascii="Times New Roman" w:hAnsi="Times New Roman"/>
          <w:bCs w:val="0"/>
          <w:color w:val="000000" w:themeColor="text1"/>
          <w:kern w:val="2"/>
          <w:szCs w:val="24"/>
          <w14:textFill>
            <w14:solidFill>
              <w14:schemeClr w14:val="tx1"/>
            </w14:solidFill>
          </w14:textFill>
        </w:rPr>
        <w:t>4.2.7.</w:t>
      </w:r>
      <w:r>
        <w:rPr>
          <w:rFonts w:hint="eastAsia" w:ascii="Times New Roman" w:hAnsi="Times New Roman"/>
          <w:bCs w:val="0"/>
          <w:color w:val="000000" w:themeColor="text1"/>
          <w:kern w:val="2"/>
          <w:szCs w:val="24"/>
          <w:lang w:val="en-US" w:eastAsia="zh-CN"/>
          <w14:textFill>
            <w14:solidFill>
              <w14:schemeClr w14:val="tx1"/>
            </w14:solidFill>
          </w14:textFill>
        </w:rPr>
        <w:t>6</w:t>
      </w:r>
      <w:r>
        <w:rPr>
          <w:rFonts w:ascii="Times New Roman" w:hAnsi="Times New Roman"/>
          <w:bCs w:val="0"/>
          <w:color w:val="000000" w:themeColor="text1"/>
          <w:kern w:val="2"/>
          <w:szCs w:val="24"/>
          <w14:textFill>
            <w14:solidFill>
              <w14:schemeClr w14:val="tx1"/>
            </w14:solidFill>
          </w14:textFill>
        </w:rPr>
        <w:t>野生动物现状调查与评价</w:t>
      </w:r>
    </w:p>
    <w:p w14:paraId="72240BC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哈密地区主要野生动物种类约有60余种，分布在北部山区、南部荒漠平原区及绿洲三种生态类型区。项目区在中国动物地理区划中属古北界、中亚亚界、蒙新区、西部荒漠亚区、东疆小区。</w:t>
      </w:r>
    </w:p>
    <w:p w14:paraId="65A9103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根据《环境影响评价技术导则 生态影响》（HJ19-2022），二级评价每种生境类型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设置的野生动物调查样线数量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不少于3条。</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为了客观全面地反映</w:t>
      </w:r>
      <w:r>
        <w:rPr>
          <w:rFonts w:hint="eastAsia" w:cs="Times New Roman"/>
          <w:color w:val="000000" w:themeColor="text1"/>
          <w:kern w:val="0"/>
          <w:sz w:val="24"/>
          <w:szCs w:val="24"/>
          <w:highlight w:val="no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评价区域现有动物资源情况，本次环评结合评价区生境类型，共设置</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3条野生动物调查样线，</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实地调查了该区域的动物资源情况。动物样线分布</w:t>
      </w:r>
      <w:r>
        <w:rPr>
          <w:rFonts w:hint="eastAsia" w:cs="Times New Roman"/>
          <w:color w:val="000000" w:themeColor="text1"/>
          <w:kern w:val="0"/>
          <w:sz w:val="24"/>
          <w:szCs w:val="24"/>
          <w:highlight w:val="none"/>
          <w:lang w:val="en-US" w:eastAsia="zh-CN" w:bidi="ar-SA"/>
          <w14:textFill>
            <w14:solidFill>
              <w14:schemeClr w14:val="tx1"/>
            </w14:solidFill>
          </w14:textFill>
        </w:rPr>
        <w:t>详见图4.2-8。</w:t>
      </w:r>
    </w:p>
    <w:p w14:paraId="0E2B44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405EA9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7FFD0B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13DC9D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2C2114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05599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2A7304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49EC7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0D65F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51F76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49F8D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276927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bCs/>
          <w:color w:val="000000" w:themeColor="text1"/>
          <w:kern w:val="0"/>
          <w:sz w:val="24"/>
          <w:szCs w:val="24"/>
          <w:highlight w:val="none"/>
          <w:lang w:val="en-US" w:eastAsia="zh-CN" w:bidi="ar-SA"/>
          <w14:textFill>
            <w14:solidFill>
              <w14:schemeClr w14:val="tx1"/>
            </w14:solidFill>
          </w14:textFill>
        </w:rPr>
      </w:pPr>
    </w:p>
    <w:p w14:paraId="28C0A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themeColor="text1"/>
          <w:sz w:val="24"/>
          <w:szCs w:val="24"/>
          <w:lang w:val="en-US"/>
          <w14:textFill>
            <w14:solidFill>
              <w14:schemeClr w14:val="tx1"/>
            </w14:solidFill>
          </w14:textFill>
        </w:rPr>
      </w:pPr>
      <w:r>
        <w:rPr>
          <w:rFonts w:hint="eastAsia" w:cs="Times New Roman"/>
          <w:b/>
          <w:bCs/>
          <w:color w:val="000000" w:themeColor="text1"/>
          <w:kern w:val="0"/>
          <w:sz w:val="24"/>
          <w:szCs w:val="24"/>
          <w:highlight w:val="none"/>
          <w:lang w:val="en-US" w:eastAsia="zh-CN" w:bidi="ar-SA"/>
          <w14:textFill>
            <w14:solidFill>
              <w14:schemeClr w14:val="tx1"/>
            </w14:solidFill>
          </w14:textFill>
        </w:rPr>
        <w:t xml:space="preserve">图4.2-8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动物样线分布</w:t>
      </w:r>
      <w:r>
        <w:rPr>
          <w:rFonts w:hint="eastAsia" w:cs="Times New Roman"/>
          <w:b/>
          <w:bCs/>
          <w:color w:val="000000" w:themeColor="text1"/>
          <w:sz w:val="24"/>
          <w:highlight w:val="none"/>
          <w:lang w:val="en-US" w:eastAsia="zh-CN"/>
          <w14:textFill>
            <w14:solidFill>
              <w14:schemeClr w14:val="tx1"/>
            </w14:solidFill>
          </w14:textFill>
        </w:rPr>
        <w:t>示意</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p>
    <w:p w14:paraId="2B03D2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项目区域动物区系组成简单，野生动物种类及分布均很少。经过林业、农业部门咨询和沿途踏勘、访谈，当地分布的野生动物有壁虎和鼠类，但平时比较少见。</w:t>
      </w:r>
      <w:r>
        <w:rPr>
          <w:rFonts w:hint="eastAsia"/>
          <w:color w:val="000000" w:themeColor="text1"/>
          <w:sz w:val="24"/>
          <w:szCs w:val="24"/>
          <w:lang w:eastAsia="zh-CN"/>
          <w14:textFill>
            <w14:solidFill>
              <w14:schemeClr w14:val="tx1"/>
            </w14:solidFill>
          </w14:textFill>
        </w:rPr>
        <w:t>本项目区域内无国家和自治区级野生保护动物。</w:t>
      </w:r>
    </w:p>
    <w:p w14:paraId="2A55488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000000" w:themeColor="text1"/>
          <w:sz w:val="24"/>
          <w:szCs w:val="24"/>
          <w:lang w:eastAsia="zh-CN"/>
          <w14:textFill>
            <w14:solidFill>
              <w14:schemeClr w14:val="tx1"/>
            </w14:solidFill>
          </w14:textFill>
        </w:rPr>
      </w:pPr>
    </w:p>
    <w:p w14:paraId="1832F6D9">
      <w:pPr>
        <w:pStyle w:val="2"/>
        <w:spacing w:line="720" w:lineRule="exact"/>
        <w:rPr>
          <w:rFonts w:hint="eastAsia"/>
          <w:color w:val="000000" w:themeColor="text1"/>
          <w:kern w:val="0"/>
          <w:sz w:val="44"/>
          <w14:textFill>
            <w14:solidFill>
              <w14:schemeClr w14:val="tx1"/>
            </w14:solidFill>
          </w14:textFill>
        </w:rPr>
      </w:pPr>
      <w:r>
        <w:rPr>
          <w:rFonts w:hint="eastAsia"/>
          <w:color w:val="000000" w:themeColor="text1"/>
          <w:sz w:val="24"/>
          <w:szCs w:val="24"/>
          <w14:textFill>
            <w14:solidFill>
              <w14:schemeClr w14:val="tx1"/>
            </w14:solidFill>
          </w14:textFill>
        </w:rPr>
        <w:br w:type="page"/>
      </w:r>
      <w:bookmarkStart w:id="407" w:name="_Toc27957"/>
      <w:r>
        <w:rPr>
          <w:rFonts w:hint="eastAsia"/>
          <w:color w:val="000000" w:themeColor="text1"/>
          <w:kern w:val="0"/>
          <w:sz w:val="44"/>
          <w:lang w:val="en-US" w:eastAsia="zh-CN"/>
          <w14:textFill>
            <w14:solidFill>
              <w14:schemeClr w14:val="tx1"/>
            </w14:solidFill>
          </w14:textFill>
        </w:rPr>
        <w:t>5</w:t>
      </w:r>
      <w:r>
        <w:rPr>
          <w:rFonts w:hint="eastAsia"/>
          <w:color w:val="000000" w:themeColor="text1"/>
          <w:kern w:val="0"/>
          <w:sz w:val="44"/>
          <w14:textFill>
            <w14:solidFill>
              <w14:schemeClr w14:val="tx1"/>
            </w14:solidFill>
          </w14:textFill>
        </w:rPr>
        <w:t>环境</w:t>
      </w:r>
      <w:r>
        <w:rPr>
          <w:rFonts w:hint="eastAsia"/>
          <w:color w:val="000000" w:themeColor="text1"/>
          <w:kern w:val="0"/>
          <w:sz w:val="44"/>
          <w:lang w:eastAsia="zh-CN"/>
          <w14:textFill>
            <w14:solidFill>
              <w14:schemeClr w14:val="tx1"/>
            </w14:solidFill>
          </w14:textFill>
        </w:rPr>
        <w:t>影响预测</w:t>
      </w:r>
      <w:r>
        <w:rPr>
          <w:rFonts w:hint="eastAsia"/>
          <w:color w:val="000000" w:themeColor="text1"/>
          <w:kern w:val="0"/>
          <w:sz w:val="44"/>
          <w14:textFill>
            <w14:solidFill>
              <w14:schemeClr w14:val="tx1"/>
            </w14:solidFill>
          </w14:textFill>
        </w:rPr>
        <w:t>与评价</w:t>
      </w:r>
      <w:bookmarkEnd w:id="407"/>
    </w:p>
    <w:p w14:paraId="6E996109">
      <w:pPr>
        <w:pStyle w:val="3"/>
        <w:jc w:val="left"/>
        <w:rPr>
          <w:rFonts w:hint="eastAsia" w:eastAsia="宋体"/>
          <w:bCs/>
          <w:color w:val="000000" w:themeColor="text1"/>
          <w:kern w:val="2"/>
          <w:szCs w:val="32"/>
          <w:lang w:eastAsia="zh-CN"/>
          <w14:textFill>
            <w14:solidFill>
              <w14:schemeClr w14:val="tx1"/>
            </w14:solidFill>
          </w14:textFill>
        </w:rPr>
      </w:pPr>
      <w:bookmarkStart w:id="408" w:name="_Toc15040"/>
      <w:r>
        <w:rPr>
          <w:rFonts w:hint="eastAsia"/>
          <w:bCs/>
          <w:color w:val="000000" w:themeColor="text1"/>
          <w:kern w:val="2"/>
          <w:szCs w:val="32"/>
          <w:lang w:val="en-US" w:eastAsia="zh-CN"/>
          <w14:textFill>
            <w14:solidFill>
              <w14:schemeClr w14:val="tx1"/>
            </w14:solidFill>
          </w14:textFill>
        </w:rPr>
        <w:t>5</w:t>
      </w:r>
      <w:r>
        <w:rPr>
          <w:rFonts w:hint="eastAsia"/>
          <w:bCs/>
          <w:color w:val="000000" w:themeColor="text1"/>
          <w:kern w:val="2"/>
          <w:szCs w:val="32"/>
          <w14:textFill>
            <w14:solidFill>
              <w14:schemeClr w14:val="tx1"/>
            </w14:solidFill>
          </w14:textFill>
        </w:rPr>
        <w:t>.1</w:t>
      </w:r>
      <w:r>
        <w:rPr>
          <w:rFonts w:hint="eastAsia"/>
          <w:bCs/>
          <w:color w:val="000000" w:themeColor="text1"/>
          <w:kern w:val="2"/>
          <w:szCs w:val="32"/>
          <w:lang w:eastAsia="zh-CN"/>
          <w14:textFill>
            <w14:solidFill>
              <w14:schemeClr w14:val="tx1"/>
            </w14:solidFill>
          </w14:textFill>
        </w:rPr>
        <w:t>施工期环境影响预测与评价</w:t>
      </w:r>
      <w:bookmarkEnd w:id="408"/>
    </w:p>
    <w:p w14:paraId="732E2DAD">
      <w:pPr>
        <w:pStyle w:val="4"/>
        <w:spacing w:before="60" w:after="60" w:line="480" w:lineRule="exact"/>
        <w:rPr>
          <w:rFonts w:hint="eastAsia" w:eastAsia="宋体"/>
          <w:color w:val="000000" w:themeColor="text1"/>
          <w:kern w:val="2"/>
          <w:lang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5</w:t>
      </w:r>
      <w:r>
        <w:rPr>
          <w:color w:val="000000" w:themeColor="text1"/>
          <w:kern w:val="2"/>
          <w14:textFill>
            <w14:solidFill>
              <w14:schemeClr w14:val="tx1"/>
            </w14:solidFill>
          </w14:textFill>
        </w:rPr>
        <w:t>.1.1</w:t>
      </w:r>
      <w:r>
        <w:rPr>
          <w:rFonts w:hint="eastAsia"/>
          <w:color w:val="000000" w:themeColor="text1"/>
          <w:kern w:val="2"/>
          <w:lang w:eastAsia="zh-CN"/>
          <w14:textFill>
            <w14:solidFill>
              <w14:schemeClr w14:val="tx1"/>
            </w14:solidFill>
          </w14:textFill>
        </w:rPr>
        <w:t>施工期环境影响因素</w:t>
      </w:r>
    </w:p>
    <w:p w14:paraId="3C70050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baseline"/>
        <w:rPr>
          <w:rFonts w:hint="eastAsia"/>
          <w:color w:val="000000" w:themeColor="text1"/>
          <w:kern w:val="0"/>
          <w:sz w:val="24"/>
          <w14:textFill>
            <w14:solidFill>
              <w14:schemeClr w14:val="tx1"/>
            </w14:solidFill>
          </w14:textFill>
        </w:rPr>
      </w:pPr>
      <w:r>
        <w:rPr>
          <w:rFonts w:hint="eastAsia"/>
          <w:color w:val="000000" w:themeColor="text1"/>
          <w:kern w:val="0"/>
          <w:sz w:val="24"/>
          <w:lang w:eastAsia="zh-CN"/>
          <w14:textFill>
            <w14:solidFill>
              <w14:schemeClr w14:val="tx1"/>
            </w14:solidFill>
          </w14:textFill>
        </w:rPr>
        <w:t>本项目</w:t>
      </w:r>
      <w:r>
        <w:rPr>
          <w:color w:val="000000" w:themeColor="text1"/>
          <w:kern w:val="0"/>
          <w:sz w:val="24"/>
          <w14:textFill>
            <w14:solidFill>
              <w14:schemeClr w14:val="tx1"/>
            </w14:solidFill>
          </w14:textFill>
        </w:rPr>
        <w:t>为铁矿开采项目，施工期新增建设内容包括：</w:t>
      </w:r>
      <w:r>
        <w:rPr>
          <w:rFonts w:hint="eastAsia"/>
          <w:color w:val="000000" w:themeColor="text1"/>
          <w:kern w:val="0"/>
          <w:sz w:val="24"/>
          <w14:textFill>
            <w14:solidFill>
              <w14:schemeClr w14:val="tx1"/>
            </w14:solidFill>
          </w14:textFill>
        </w:rPr>
        <w:t>2处废石堆场、2处西风井工业场地及矿山道路。</w:t>
      </w:r>
    </w:p>
    <w:p w14:paraId="32E03A25">
      <w:pPr>
        <w:autoSpaceDE w:val="0"/>
        <w:autoSpaceDN w:val="0"/>
        <w:spacing w:line="480" w:lineRule="exact"/>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在工程实施过程中会产生少量的摒弃废石，地面建筑物的建设、场地平整、掘土、地基深层处理及土石方、建筑材料运输、设备装配等施工行为，产生的噪声、扬尘、生产生活污水和固体废物等在一定时期内都将会对周围环境造成一定的影响，</w:t>
      </w:r>
      <w:r>
        <w:rPr>
          <w:color w:val="000000" w:themeColor="text1"/>
          <w:sz w:val="24"/>
          <w14:textFill>
            <w14:solidFill>
              <w14:schemeClr w14:val="tx1"/>
            </w14:solidFill>
          </w14:textFill>
        </w:rPr>
        <w:t>这些污染贯穿整个施工过程，但不同污染因子在不同施工段污染强度不同，</w:t>
      </w:r>
      <w:r>
        <w:rPr>
          <w:color w:val="000000" w:themeColor="text1"/>
          <w:kern w:val="0"/>
          <w:sz w:val="24"/>
          <w14:textFill>
            <w14:solidFill>
              <w14:schemeClr w14:val="tx1"/>
            </w14:solidFill>
          </w14:textFill>
        </w:rPr>
        <w:t>这种影响除永久占地外一般属于可逆的，在施工期结束后将一并消失。</w:t>
      </w:r>
    </w:p>
    <w:p w14:paraId="58C274D0">
      <w:pPr>
        <w:spacing w:line="480" w:lineRule="exact"/>
        <w:jc w:val="center"/>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表5.1-1    施工期环境影响因素一览表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498"/>
        <w:gridCol w:w="2388"/>
        <w:gridCol w:w="1541"/>
        <w:gridCol w:w="1979"/>
      </w:tblGrid>
      <w:tr w14:paraId="7C9D2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653" w:type="pct"/>
            <w:noWrap w:val="0"/>
            <w:vAlign w:val="center"/>
          </w:tcPr>
          <w:p w14:paraId="49B6FD0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zh-CN"/>
                <w14:textFill>
                  <w14:solidFill>
                    <w14:schemeClr w14:val="tx1"/>
                  </w14:solidFill>
                </w14:textFill>
              </w:rPr>
              <w:t>环境要素</w:t>
            </w:r>
          </w:p>
        </w:tc>
        <w:tc>
          <w:tcPr>
            <w:tcW w:w="879" w:type="pct"/>
            <w:noWrap w:val="0"/>
            <w:vAlign w:val="center"/>
          </w:tcPr>
          <w:p w14:paraId="583861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zh-CN"/>
                <w14:textFill>
                  <w14:solidFill>
                    <w14:schemeClr w14:val="tx1"/>
                  </w14:solidFill>
                </w14:textFill>
              </w:rPr>
              <w:t>影响因子</w:t>
            </w:r>
          </w:p>
        </w:tc>
        <w:tc>
          <w:tcPr>
            <w:tcW w:w="1401" w:type="pct"/>
            <w:noWrap w:val="0"/>
            <w:vAlign w:val="center"/>
          </w:tcPr>
          <w:p w14:paraId="118637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zh-CN"/>
                <w14:textFill>
                  <w14:solidFill>
                    <w14:schemeClr w14:val="tx1"/>
                  </w14:solidFill>
                </w14:textFill>
              </w:rPr>
              <w:t>产生源</w:t>
            </w:r>
          </w:p>
        </w:tc>
        <w:tc>
          <w:tcPr>
            <w:tcW w:w="904" w:type="pct"/>
            <w:noWrap w:val="0"/>
            <w:vAlign w:val="center"/>
          </w:tcPr>
          <w:p w14:paraId="745ABB5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zh-CN"/>
                <w14:textFill>
                  <w14:solidFill>
                    <w14:schemeClr w14:val="tx1"/>
                  </w14:solidFill>
                </w14:textFill>
              </w:rPr>
              <w:t>源强</w:t>
            </w:r>
          </w:p>
        </w:tc>
        <w:tc>
          <w:tcPr>
            <w:tcW w:w="1161" w:type="pct"/>
            <w:noWrap w:val="0"/>
            <w:vAlign w:val="center"/>
          </w:tcPr>
          <w:p w14:paraId="58CDF84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lang w:val="zh-CN"/>
                <w14:textFill>
                  <w14:solidFill>
                    <w14:schemeClr w14:val="tx1"/>
                  </w14:solidFill>
                </w14:textFill>
              </w:rPr>
              <w:t>排放特征</w:t>
            </w:r>
          </w:p>
        </w:tc>
      </w:tr>
      <w:tr w14:paraId="36B39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noWrap w:val="0"/>
            <w:vAlign w:val="center"/>
          </w:tcPr>
          <w:p w14:paraId="652DA8C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环境空气</w:t>
            </w:r>
          </w:p>
        </w:tc>
        <w:tc>
          <w:tcPr>
            <w:tcW w:w="879" w:type="pct"/>
            <w:noWrap w:val="0"/>
            <w:vAlign w:val="center"/>
          </w:tcPr>
          <w:p w14:paraId="4D6AB6C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扬尘</w:t>
            </w:r>
          </w:p>
        </w:tc>
        <w:tc>
          <w:tcPr>
            <w:tcW w:w="1401" w:type="pct"/>
            <w:noWrap w:val="0"/>
            <w:vAlign w:val="center"/>
          </w:tcPr>
          <w:p w14:paraId="219F077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挖方、填方、弃土堆放、运输</w:t>
            </w:r>
          </w:p>
        </w:tc>
        <w:tc>
          <w:tcPr>
            <w:tcW w:w="904" w:type="pct"/>
            <w:noWrap w:val="0"/>
            <w:vAlign w:val="center"/>
          </w:tcPr>
          <w:p w14:paraId="2C11DFC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风速</w:t>
            </w:r>
            <w:r>
              <w:rPr>
                <w:rFonts w:hint="default" w:ascii="Times New Roman" w:hAnsi="Times New Roman" w:cs="Times New Roman"/>
                <w:color w:val="000000" w:themeColor="text1"/>
                <w:szCs w:val="21"/>
                <w14:textFill>
                  <w14:solidFill>
                    <w14:schemeClr w14:val="tx1"/>
                  </w14:solidFill>
                </w14:textFill>
              </w:rPr>
              <w:t>1.5m/s</w:t>
            </w:r>
            <w:r>
              <w:rPr>
                <w:rFonts w:hint="default" w:ascii="Times New Roman" w:hAnsi="Times New Roman" w:cs="Times New Roman"/>
                <w:color w:val="000000" w:themeColor="text1"/>
                <w:szCs w:val="21"/>
                <w:lang w:val="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150m</w:t>
            </w:r>
            <w:r>
              <w:rPr>
                <w:rFonts w:hint="default" w:ascii="Times New Roman" w:hAnsi="Times New Roman" w:cs="Times New Roman"/>
                <w:color w:val="000000" w:themeColor="text1"/>
                <w:szCs w:val="21"/>
                <w:lang w:val="zh-CN"/>
                <w14:textFill>
                  <w14:solidFill>
                    <w14:schemeClr w14:val="tx1"/>
                  </w14:solidFill>
                </w14:textFill>
              </w:rPr>
              <w:t>内影响明显</w:t>
            </w:r>
          </w:p>
        </w:tc>
        <w:tc>
          <w:tcPr>
            <w:tcW w:w="1161" w:type="pct"/>
            <w:noWrap w:val="0"/>
            <w:vAlign w:val="center"/>
          </w:tcPr>
          <w:p w14:paraId="5BABBD1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有风时影响下风向，时限性明显</w:t>
            </w:r>
          </w:p>
        </w:tc>
      </w:tr>
      <w:tr w14:paraId="4B362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noWrap w:val="0"/>
            <w:vAlign w:val="center"/>
          </w:tcPr>
          <w:p w14:paraId="56C4CDB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879" w:type="pct"/>
            <w:noWrap w:val="0"/>
            <w:vAlign w:val="center"/>
          </w:tcPr>
          <w:p w14:paraId="72CE1A9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粉尘</w:t>
            </w:r>
          </w:p>
        </w:tc>
        <w:tc>
          <w:tcPr>
            <w:tcW w:w="1401" w:type="pct"/>
            <w:noWrap w:val="0"/>
            <w:vAlign w:val="center"/>
          </w:tcPr>
          <w:p w14:paraId="6E12942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粉状物料装卸、运输、堆放、敷设、拌和</w:t>
            </w:r>
          </w:p>
        </w:tc>
        <w:tc>
          <w:tcPr>
            <w:tcW w:w="904" w:type="pct"/>
            <w:noWrap w:val="0"/>
            <w:vAlign w:val="center"/>
          </w:tcPr>
          <w:p w14:paraId="73331CC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微小</w:t>
            </w:r>
          </w:p>
        </w:tc>
        <w:tc>
          <w:tcPr>
            <w:tcW w:w="1161" w:type="pct"/>
            <w:noWrap w:val="0"/>
            <w:vAlign w:val="center"/>
          </w:tcPr>
          <w:p w14:paraId="16B543C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散落，有风时对下风向有影响</w:t>
            </w:r>
          </w:p>
        </w:tc>
      </w:tr>
      <w:tr w14:paraId="6FDA8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noWrap w:val="0"/>
            <w:vAlign w:val="center"/>
          </w:tcPr>
          <w:p w14:paraId="2A3A487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879" w:type="pct"/>
            <w:noWrap w:val="0"/>
            <w:vAlign w:val="center"/>
          </w:tcPr>
          <w:p w14:paraId="0C0784B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尾气</w:t>
            </w:r>
            <w:r>
              <w:rPr>
                <w:rFonts w:hint="default" w:ascii="Times New Roman" w:hAnsi="Times New Roman" w:cs="Times New Roman"/>
                <w:color w:val="000000" w:themeColor="text1"/>
                <w:szCs w:val="21"/>
                <w14:textFill>
                  <w14:solidFill>
                    <w14:schemeClr w14:val="tx1"/>
                  </w14:solidFill>
                </w14:textFill>
              </w:rPr>
              <w:t>：C</w:t>
            </w:r>
            <w:r>
              <w:rPr>
                <w:rFonts w:hint="default" w:ascii="Times New Roman" w:hAnsi="Times New Roman" w:cs="Times New Roman"/>
                <w:color w:val="000000" w:themeColor="text1"/>
                <w:szCs w:val="21"/>
                <w:vertAlign w:val="subscript"/>
                <w14:textFill>
                  <w14:solidFill>
                    <w14:schemeClr w14:val="tx1"/>
                  </w14:solidFill>
                </w14:textFill>
              </w:rPr>
              <w:t>m</w:t>
            </w:r>
            <w:r>
              <w:rPr>
                <w:rFonts w:hint="default" w:ascii="Times New Roman" w:hAnsi="Times New Roman" w:cs="Times New Roman"/>
                <w:color w:val="000000" w:themeColor="text1"/>
                <w:szCs w:val="21"/>
                <w14:textFill>
                  <w14:solidFill>
                    <w14:schemeClr w14:val="tx1"/>
                  </w14:solidFill>
                </w14:textFill>
              </w:rPr>
              <w:t>H</w:t>
            </w:r>
            <w:r>
              <w:rPr>
                <w:rFonts w:hint="default" w:ascii="Times New Roman" w:hAnsi="Times New Roman" w:cs="Times New Roman"/>
                <w:color w:val="000000" w:themeColor="text1"/>
                <w:szCs w:val="21"/>
                <w:vertAlign w:val="subscript"/>
                <w14:textFill>
                  <w14:solidFill>
                    <w14:schemeClr w14:val="tx1"/>
                  </w14:solidFill>
                </w14:textFill>
              </w:rPr>
              <w:t>n</w:t>
            </w:r>
            <w:r>
              <w:rPr>
                <w:rFonts w:hint="default" w:ascii="Times New Roman" w:hAnsi="Times New Roman" w:cs="Times New Roman"/>
                <w:color w:val="000000" w:themeColor="text1"/>
                <w:szCs w:val="21"/>
                <w:lang w:val="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CO</w:t>
            </w:r>
            <w:r>
              <w:rPr>
                <w:rFonts w:hint="default" w:ascii="Times New Roman" w:hAnsi="Times New Roman" w:cs="Times New Roman"/>
                <w:color w:val="000000" w:themeColor="text1"/>
                <w:szCs w:val="21"/>
                <w:lang w:val="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NO</w:t>
            </w:r>
            <w:r>
              <w:rPr>
                <w:rFonts w:hint="default" w:ascii="Times New Roman" w:hAnsi="Times New Roman" w:cs="Times New Roman"/>
                <w:color w:val="000000" w:themeColor="text1"/>
                <w:szCs w:val="21"/>
                <w:vertAlign w:val="subscript"/>
                <w14:textFill>
                  <w14:solidFill>
                    <w14:schemeClr w14:val="tx1"/>
                  </w14:solidFill>
                </w14:textFill>
              </w:rPr>
              <w:t>x</w:t>
            </w:r>
          </w:p>
        </w:tc>
        <w:tc>
          <w:tcPr>
            <w:tcW w:w="1401" w:type="pct"/>
            <w:noWrap w:val="0"/>
            <w:vAlign w:val="center"/>
          </w:tcPr>
          <w:p w14:paraId="791071E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燃油设备、运输车辆</w:t>
            </w:r>
          </w:p>
        </w:tc>
        <w:tc>
          <w:tcPr>
            <w:tcW w:w="904" w:type="pct"/>
            <w:noWrap w:val="0"/>
            <w:vAlign w:val="center"/>
          </w:tcPr>
          <w:p w14:paraId="572664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微小</w:t>
            </w:r>
          </w:p>
        </w:tc>
        <w:tc>
          <w:tcPr>
            <w:tcW w:w="1161" w:type="pct"/>
            <w:noWrap w:val="0"/>
            <w:vAlign w:val="center"/>
          </w:tcPr>
          <w:p w14:paraId="3DAA61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面源、扩散范围有限，排放不连续</w:t>
            </w:r>
          </w:p>
        </w:tc>
      </w:tr>
      <w:tr w14:paraId="23577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noWrap w:val="0"/>
            <w:vAlign w:val="center"/>
          </w:tcPr>
          <w:p w14:paraId="7A0072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水环境</w:t>
            </w:r>
          </w:p>
        </w:tc>
        <w:tc>
          <w:tcPr>
            <w:tcW w:w="879" w:type="pct"/>
            <w:noWrap w:val="0"/>
            <w:vAlign w:val="center"/>
          </w:tcPr>
          <w:p w14:paraId="40722B4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施工废水：SS</w:t>
            </w:r>
            <w:r>
              <w:rPr>
                <w:rFonts w:hint="eastAsia" w:ascii="Times New Roman" w:hAnsi="Times New Roman" w:cs="Times New Roman"/>
                <w:color w:val="000000" w:themeColor="text1"/>
                <w:szCs w:val="21"/>
                <w14:textFill>
                  <w14:solidFill>
                    <w14:schemeClr w14:val="tx1"/>
                  </w14:solidFill>
                </w14:textFill>
              </w:rPr>
              <w:t>、石油类</w:t>
            </w:r>
            <w:r>
              <w:rPr>
                <w:rFonts w:hint="default" w:ascii="Times New Roman" w:hAnsi="Times New Roman" w:cs="Times New Roman"/>
                <w:color w:val="000000" w:themeColor="text1"/>
                <w:szCs w:val="21"/>
                <w14:textFill>
                  <w14:solidFill>
                    <w14:schemeClr w14:val="tx1"/>
                  </w14:solidFill>
                </w14:textFill>
              </w:rPr>
              <w:t>等</w:t>
            </w:r>
          </w:p>
        </w:tc>
        <w:tc>
          <w:tcPr>
            <w:tcW w:w="1401" w:type="pct"/>
            <w:noWrap w:val="0"/>
            <w:vAlign w:val="center"/>
          </w:tcPr>
          <w:p w14:paraId="355CFC1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施工设备、机械、混凝土养护</w:t>
            </w:r>
          </w:p>
        </w:tc>
        <w:tc>
          <w:tcPr>
            <w:tcW w:w="904" w:type="pct"/>
            <w:noWrap w:val="0"/>
            <w:vAlign w:val="center"/>
          </w:tcPr>
          <w:p w14:paraId="543DB3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1161" w:type="pct"/>
            <w:noWrap w:val="0"/>
            <w:vAlign w:val="center"/>
          </w:tcPr>
          <w:p w14:paraId="45B792B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不连续，</w:t>
            </w:r>
            <w:r>
              <w:rPr>
                <w:rFonts w:hint="eastAsia" w:ascii="Times New Roman" w:hAnsi="Times New Roman" w:cs="Times New Roman"/>
                <w:color w:val="000000" w:themeColor="text1"/>
                <w:szCs w:val="21"/>
                <w14:textFill>
                  <w14:solidFill>
                    <w14:schemeClr w14:val="tx1"/>
                  </w14:solidFill>
                </w14:textFill>
              </w:rPr>
              <w:t>收集处理后回用</w:t>
            </w:r>
          </w:p>
        </w:tc>
      </w:tr>
      <w:tr w14:paraId="6FDCB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noWrap w:val="0"/>
            <w:vAlign w:val="center"/>
          </w:tcPr>
          <w:p w14:paraId="0A7610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879" w:type="pct"/>
            <w:noWrap w:val="0"/>
            <w:vAlign w:val="center"/>
          </w:tcPr>
          <w:p w14:paraId="71F2EBC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w:t>
            </w:r>
          </w:p>
        </w:tc>
        <w:tc>
          <w:tcPr>
            <w:tcW w:w="1401" w:type="pct"/>
            <w:noWrap w:val="0"/>
            <w:vAlign w:val="center"/>
          </w:tcPr>
          <w:p w14:paraId="1CD2F4C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施工人员</w:t>
            </w:r>
          </w:p>
        </w:tc>
        <w:tc>
          <w:tcPr>
            <w:tcW w:w="904" w:type="pct"/>
            <w:noWrap w:val="0"/>
            <w:vAlign w:val="center"/>
          </w:tcPr>
          <w:p w14:paraId="04256AD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4.0</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/d</w:t>
            </w:r>
          </w:p>
        </w:tc>
        <w:tc>
          <w:tcPr>
            <w:tcW w:w="1161" w:type="pct"/>
            <w:noWrap w:val="0"/>
            <w:vAlign w:val="center"/>
          </w:tcPr>
          <w:p w14:paraId="5A7F76F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不连续，</w:t>
            </w:r>
            <w:r>
              <w:rPr>
                <w:rFonts w:hint="eastAsia" w:ascii="Times New Roman" w:hAnsi="Times New Roman" w:cs="Times New Roman"/>
                <w:color w:val="000000" w:themeColor="text1"/>
                <w:szCs w:val="21"/>
                <w14:textFill>
                  <w14:solidFill>
                    <w14:schemeClr w14:val="tx1"/>
                  </w14:solidFill>
                </w14:textFill>
              </w:rPr>
              <w:t>依托矿区</w:t>
            </w:r>
            <w:r>
              <w:rPr>
                <w:rFonts w:hint="eastAsia" w:ascii="Times New Roman" w:hAnsi="Times New Roman" w:cs="Times New Roman"/>
                <w:color w:val="000000" w:themeColor="text1"/>
                <w:szCs w:val="21"/>
                <w:lang w:eastAsia="zh-CN"/>
                <w14:textFill>
                  <w14:solidFill>
                    <w14:schemeClr w14:val="tx1"/>
                  </w14:solidFill>
                </w14:textFill>
              </w:rPr>
              <w:t>现有</w:t>
            </w:r>
            <w:r>
              <w:rPr>
                <w:rFonts w:hint="eastAsia" w:ascii="Times New Roman" w:hAnsi="Times New Roman" w:cs="Times New Roman"/>
                <w:color w:val="000000" w:themeColor="text1"/>
                <w:szCs w:val="21"/>
                <w14:textFill>
                  <w14:solidFill>
                    <w14:schemeClr w14:val="tx1"/>
                  </w14:solidFill>
                </w14:textFill>
              </w:rPr>
              <w:t>办公生活区</w:t>
            </w:r>
          </w:p>
        </w:tc>
      </w:tr>
      <w:tr w14:paraId="3CB61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noWrap w:val="0"/>
            <w:vAlign w:val="center"/>
          </w:tcPr>
          <w:p w14:paraId="2A1BD3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声环境</w:t>
            </w:r>
          </w:p>
        </w:tc>
        <w:tc>
          <w:tcPr>
            <w:tcW w:w="879" w:type="pct"/>
            <w:noWrap w:val="0"/>
            <w:vAlign w:val="center"/>
          </w:tcPr>
          <w:p w14:paraId="1B50E04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设备噪声</w:t>
            </w:r>
          </w:p>
        </w:tc>
        <w:tc>
          <w:tcPr>
            <w:tcW w:w="1401" w:type="pct"/>
            <w:noWrap w:val="0"/>
            <w:vAlign w:val="center"/>
          </w:tcPr>
          <w:p w14:paraId="0455240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szCs w:val="21"/>
                <w:lang w:val="zh-CN"/>
                <w14:textFill>
                  <w14:solidFill>
                    <w14:schemeClr w14:val="tx1"/>
                  </w14:solidFill>
                </w14:textFill>
              </w:rPr>
              <w:t>空压机</w:t>
            </w:r>
            <w:r>
              <w:rPr>
                <w:rFonts w:hint="default" w:ascii="Times New Roman" w:hAnsi="Times New Roman" w:cs="Times New Roman"/>
                <w:color w:val="000000" w:themeColor="text1"/>
                <w:szCs w:val="21"/>
                <w:lang w:val="zh-CN"/>
                <w14:textFill>
                  <w14:solidFill>
                    <w14:schemeClr w14:val="tx1"/>
                  </w14:solidFill>
                </w14:textFill>
              </w:rPr>
              <w:t>、挖掘机、装载机、翻斗车、载重汽车、</w:t>
            </w:r>
            <w:r>
              <w:rPr>
                <w:rFonts w:hint="eastAsia" w:ascii="Times New Roman" w:hAnsi="Times New Roman" w:cs="Times New Roman"/>
                <w:color w:val="000000" w:themeColor="text1"/>
                <w:szCs w:val="21"/>
                <w:lang w:val="zh-CN"/>
                <w14:textFill>
                  <w14:solidFill>
                    <w14:schemeClr w14:val="tx1"/>
                  </w14:solidFill>
                </w14:textFill>
              </w:rPr>
              <w:t>电锯、</w:t>
            </w:r>
            <w:r>
              <w:rPr>
                <w:rFonts w:hint="default" w:ascii="Times New Roman" w:hAnsi="Times New Roman" w:cs="Times New Roman"/>
                <w:color w:val="000000" w:themeColor="text1"/>
                <w:szCs w:val="21"/>
                <w:lang w:val="zh-CN"/>
                <w14:textFill>
                  <w14:solidFill>
                    <w14:schemeClr w14:val="tx1"/>
                  </w14:solidFill>
                </w14:textFill>
              </w:rPr>
              <w:t>混凝土搅拌机</w:t>
            </w:r>
            <w:r>
              <w:rPr>
                <w:rFonts w:hint="eastAsia" w:ascii="Times New Roman" w:hAnsi="Times New Roman" w:cs="Times New Roman"/>
                <w:color w:val="000000" w:themeColor="text1"/>
                <w:szCs w:val="21"/>
                <w:lang w:val="zh-CN"/>
                <w14:textFill>
                  <w14:solidFill>
                    <w14:schemeClr w14:val="tx1"/>
                  </w14:solidFill>
                </w14:textFill>
              </w:rPr>
              <w:t>、焊接机、液压起重机</w:t>
            </w:r>
          </w:p>
        </w:tc>
        <w:tc>
          <w:tcPr>
            <w:tcW w:w="904" w:type="pct"/>
            <w:noWrap w:val="0"/>
            <w:vAlign w:val="center"/>
          </w:tcPr>
          <w:p w14:paraId="3392BF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75~90</w:t>
            </w:r>
            <w:r>
              <w:rPr>
                <w:rFonts w:hint="default" w:ascii="Times New Roman" w:hAnsi="Times New Roman" w:cs="Times New Roman"/>
                <w:color w:val="000000" w:themeColor="text1"/>
                <w:szCs w:val="21"/>
                <w14:textFill>
                  <w14:solidFill>
                    <w14:schemeClr w14:val="tx1"/>
                  </w14:solidFill>
                </w14:textFill>
              </w:rPr>
              <w:t>dB（A）</w:t>
            </w:r>
          </w:p>
        </w:tc>
        <w:tc>
          <w:tcPr>
            <w:tcW w:w="1161" w:type="pct"/>
            <w:noWrap w:val="0"/>
            <w:vAlign w:val="center"/>
          </w:tcPr>
          <w:p w14:paraId="38A1644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无指向性，不连续</w:t>
            </w:r>
          </w:p>
        </w:tc>
      </w:tr>
      <w:tr w14:paraId="6D399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noWrap w:val="0"/>
            <w:vAlign w:val="center"/>
          </w:tcPr>
          <w:p w14:paraId="691BE3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szCs w:val="21"/>
                <w:lang w:val="zh-CN"/>
                <w14:textFill>
                  <w14:solidFill>
                    <w14:schemeClr w14:val="tx1"/>
                  </w14:solidFill>
                </w14:textFill>
              </w:rPr>
              <w:t>土壤环境</w:t>
            </w:r>
          </w:p>
        </w:tc>
        <w:tc>
          <w:tcPr>
            <w:tcW w:w="879" w:type="pct"/>
            <w:vMerge w:val="restart"/>
            <w:noWrap w:val="0"/>
            <w:vAlign w:val="center"/>
          </w:tcPr>
          <w:p w14:paraId="6F9F32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szCs w:val="21"/>
                <w:lang w:val="zh-CN"/>
                <w14:textFill>
                  <w14:solidFill>
                    <w14:schemeClr w14:val="tx1"/>
                  </w14:solidFill>
                </w14:textFill>
              </w:rPr>
              <w:t>生产固废</w:t>
            </w:r>
          </w:p>
        </w:tc>
        <w:tc>
          <w:tcPr>
            <w:tcW w:w="1401" w:type="pct"/>
            <w:noWrap w:val="0"/>
            <w:vAlign w:val="center"/>
          </w:tcPr>
          <w:p w14:paraId="695FDEE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szCs w:val="21"/>
                <w:lang w:val="zh-CN"/>
                <w14:textFill>
                  <w14:solidFill>
                    <w14:schemeClr w14:val="tx1"/>
                  </w14:solidFill>
                </w14:textFill>
              </w:rPr>
              <w:t>掘进废石</w:t>
            </w:r>
          </w:p>
        </w:tc>
        <w:tc>
          <w:tcPr>
            <w:tcW w:w="904" w:type="pct"/>
            <w:noWrap w:val="0"/>
            <w:vAlign w:val="center"/>
          </w:tcPr>
          <w:p w14:paraId="38CBBC3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22.13</w:t>
            </w:r>
            <w:r>
              <w:rPr>
                <w:rFonts w:hint="eastAsia" w:ascii="Times New Roman" w:hAnsi="Times New Roman" w:cs="Times New Roman"/>
                <w:color w:val="000000" w:themeColor="text1"/>
                <w:szCs w:val="21"/>
                <w14:textFill>
                  <w14:solidFill>
                    <w14:schemeClr w14:val="tx1"/>
                  </w14:solidFill>
                </w14:textFill>
              </w:rPr>
              <w:t>×10</w:t>
            </w:r>
            <w:r>
              <w:rPr>
                <w:rFonts w:hint="eastAsia" w:ascii="Times New Roman" w:hAnsi="Times New Roman" w:cs="Times New Roman"/>
                <w:color w:val="000000" w:themeColor="text1"/>
                <w:szCs w:val="21"/>
                <w:vertAlign w:val="superscript"/>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t</w:t>
            </w:r>
          </w:p>
        </w:tc>
        <w:tc>
          <w:tcPr>
            <w:tcW w:w="1161" w:type="pct"/>
            <w:noWrap w:val="0"/>
            <w:vAlign w:val="center"/>
          </w:tcPr>
          <w:p w14:paraId="5F48B52F">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szCs w:val="21"/>
                <w:lang w:val="zh-CN"/>
                <w14:textFill>
                  <w14:solidFill>
                    <w14:schemeClr w14:val="tx1"/>
                  </w14:solidFill>
                </w14:textFill>
              </w:rPr>
              <w:t>堆放于废石堆场</w:t>
            </w:r>
          </w:p>
        </w:tc>
      </w:tr>
      <w:tr w14:paraId="2EAF8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noWrap w:val="0"/>
            <w:vAlign w:val="center"/>
          </w:tcPr>
          <w:p w14:paraId="781380BE">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val="zh-CN"/>
                <w14:textFill>
                  <w14:solidFill>
                    <w14:schemeClr w14:val="tx1"/>
                  </w14:solidFill>
                </w14:textFill>
              </w:rPr>
            </w:pPr>
          </w:p>
        </w:tc>
        <w:tc>
          <w:tcPr>
            <w:tcW w:w="879" w:type="pct"/>
            <w:vMerge w:val="continue"/>
            <w:noWrap w:val="0"/>
            <w:vAlign w:val="center"/>
          </w:tcPr>
          <w:p w14:paraId="70970905">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val="zh-CN"/>
                <w14:textFill>
                  <w14:solidFill>
                    <w14:schemeClr w14:val="tx1"/>
                  </w14:solidFill>
                </w14:textFill>
              </w:rPr>
            </w:pPr>
          </w:p>
        </w:tc>
        <w:tc>
          <w:tcPr>
            <w:tcW w:w="1401" w:type="pct"/>
            <w:noWrap w:val="0"/>
            <w:vAlign w:val="center"/>
          </w:tcPr>
          <w:p w14:paraId="3A87CC24">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szCs w:val="21"/>
                <w:lang w:val="zh-CN"/>
                <w14:textFill>
                  <w14:solidFill>
                    <w14:schemeClr w14:val="tx1"/>
                  </w14:solidFill>
                </w14:textFill>
              </w:rPr>
              <w:t>建筑垃圾</w:t>
            </w:r>
          </w:p>
        </w:tc>
        <w:tc>
          <w:tcPr>
            <w:tcW w:w="904" w:type="pct"/>
            <w:noWrap w:val="0"/>
            <w:vAlign w:val="center"/>
          </w:tcPr>
          <w:p w14:paraId="42CD80E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5t</w:t>
            </w:r>
          </w:p>
        </w:tc>
        <w:tc>
          <w:tcPr>
            <w:tcW w:w="1161" w:type="pct"/>
            <w:noWrap w:val="0"/>
            <w:vAlign w:val="center"/>
          </w:tcPr>
          <w:p w14:paraId="583990A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部分回收、不可回收部分运至</w:t>
            </w:r>
            <w:r>
              <w:rPr>
                <w:rFonts w:hint="eastAsia" w:cs="Times New Roman"/>
                <w:color w:val="000000" w:themeColor="text1"/>
                <w:szCs w:val="21"/>
                <w:lang w:val="en-US" w:eastAsia="zh-CN"/>
                <w14:textFill>
                  <w14:solidFill>
                    <w14:schemeClr w14:val="tx1"/>
                  </w14:solidFill>
                </w14:textFill>
              </w:rPr>
              <w:t>当地环卫部门</w:t>
            </w:r>
            <w:r>
              <w:rPr>
                <w:rFonts w:hint="eastAsia" w:ascii="Times New Roman" w:hAnsi="Times New Roman" w:cs="Times New Roman"/>
                <w:color w:val="000000" w:themeColor="text1"/>
                <w:szCs w:val="21"/>
                <w14:textFill>
                  <w14:solidFill>
                    <w14:schemeClr w14:val="tx1"/>
                  </w14:solidFill>
                </w14:textFill>
              </w:rPr>
              <w:t>指定场所处置</w:t>
            </w:r>
          </w:p>
        </w:tc>
      </w:tr>
      <w:tr w14:paraId="2E0CE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noWrap w:val="0"/>
            <w:vAlign w:val="center"/>
          </w:tcPr>
          <w:p w14:paraId="57460139">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val="zh-CN"/>
                <w14:textFill>
                  <w14:solidFill>
                    <w14:schemeClr w14:val="tx1"/>
                  </w14:solidFill>
                </w14:textFill>
              </w:rPr>
            </w:pPr>
          </w:p>
        </w:tc>
        <w:tc>
          <w:tcPr>
            <w:tcW w:w="879" w:type="pct"/>
            <w:noWrap w:val="0"/>
            <w:vAlign w:val="center"/>
          </w:tcPr>
          <w:p w14:paraId="106F8ED6">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szCs w:val="21"/>
                <w:lang w:val="zh-CN"/>
                <w14:textFill>
                  <w14:solidFill>
                    <w14:schemeClr w14:val="tx1"/>
                  </w14:solidFill>
                </w14:textFill>
              </w:rPr>
              <w:t>生活垃圾</w:t>
            </w:r>
          </w:p>
        </w:tc>
        <w:tc>
          <w:tcPr>
            <w:tcW w:w="1401" w:type="pct"/>
            <w:noWrap w:val="0"/>
            <w:vAlign w:val="center"/>
          </w:tcPr>
          <w:p w14:paraId="36D5895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000000" w:themeColor="text1"/>
                <w:szCs w:val="21"/>
                <w:lang w:val="zh-CN"/>
                <w14:textFill>
                  <w14:solidFill>
                    <w14:schemeClr w14:val="tx1"/>
                  </w14:solidFill>
                </w14:textFill>
              </w:rPr>
              <w:t>施工人员</w:t>
            </w:r>
          </w:p>
        </w:tc>
        <w:tc>
          <w:tcPr>
            <w:tcW w:w="904" w:type="pct"/>
            <w:noWrap w:val="0"/>
            <w:vAlign w:val="center"/>
          </w:tcPr>
          <w:p w14:paraId="155E2F0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0.025t/d</w:t>
            </w:r>
          </w:p>
        </w:tc>
        <w:tc>
          <w:tcPr>
            <w:tcW w:w="1161" w:type="pct"/>
            <w:noWrap w:val="0"/>
            <w:vAlign w:val="center"/>
          </w:tcPr>
          <w:p w14:paraId="3D74401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收集后定期</w:t>
            </w:r>
            <w:r>
              <w:rPr>
                <w:rFonts w:hint="eastAsia" w:ascii="Times New Roman" w:hAnsi="Times New Roman" w:cs="Times New Roman"/>
                <w:color w:val="000000" w:themeColor="text1"/>
                <w:szCs w:val="21"/>
                <w:lang w:eastAsia="zh-CN"/>
                <w14:textFill>
                  <w14:solidFill>
                    <w14:schemeClr w14:val="tx1"/>
                  </w14:solidFill>
                </w14:textFill>
              </w:rPr>
              <w:t>运至</w:t>
            </w:r>
            <w:r>
              <w:rPr>
                <w:rFonts w:hint="eastAsia" w:ascii="Times New Roman" w:hAnsi="Times New Roman" w:cs="Times New Roman"/>
                <w:color w:val="000000" w:themeColor="text1"/>
                <w:szCs w:val="21"/>
                <w14:textFill>
                  <w14:solidFill>
                    <w14:schemeClr w14:val="tx1"/>
                  </w14:solidFill>
                </w14:textFill>
              </w:rPr>
              <w:t>雅满苏镇生活垃圾填埋场</w:t>
            </w:r>
            <w:r>
              <w:rPr>
                <w:rFonts w:hint="eastAsia" w:ascii="Times New Roman" w:hAnsi="Times New Roman" w:cs="Times New Roman"/>
                <w:color w:val="000000" w:themeColor="text1"/>
                <w:szCs w:val="21"/>
                <w:lang w:eastAsia="zh-CN"/>
                <w14:textFill>
                  <w14:solidFill>
                    <w14:schemeClr w14:val="tx1"/>
                  </w14:solidFill>
                </w14:textFill>
              </w:rPr>
              <w:t>处置</w:t>
            </w:r>
          </w:p>
        </w:tc>
      </w:tr>
      <w:tr w14:paraId="37FDA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noWrap w:val="0"/>
            <w:vAlign w:val="center"/>
          </w:tcPr>
          <w:p w14:paraId="6E5012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生态</w:t>
            </w:r>
          </w:p>
        </w:tc>
        <w:tc>
          <w:tcPr>
            <w:tcW w:w="879" w:type="pct"/>
            <w:noWrap w:val="0"/>
            <w:vAlign w:val="center"/>
          </w:tcPr>
          <w:p w14:paraId="0B20C4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水土流失</w:t>
            </w:r>
          </w:p>
        </w:tc>
        <w:tc>
          <w:tcPr>
            <w:tcW w:w="1401" w:type="pct"/>
            <w:noWrap w:val="0"/>
            <w:vAlign w:val="center"/>
          </w:tcPr>
          <w:p w14:paraId="159B8B9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降水形成的地表径流对松动的土层冲刷带走泥沙，风蚀带走泥沙</w:t>
            </w:r>
          </w:p>
        </w:tc>
        <w:tc>
          <w:tcPr>
            <w:tcW w:w="904" w:type="pct"/>
            <w:noWrap w:val="0"/>
            <w:vAlign w:val="center"/>
          </w:tcPr>
          <w:p w14:paraId="1134A24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61" w:type="pct"/>
            <w:noWrap w:val="0"/>
            <w:vAlign w:val="center"/>
          </w:tcPr>
          <w:p w14:paraId="3A09DB9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冲刷、堆积</w:t>
            </w:r>
          </w:p>
        </w:tc>
      </w:tr>
      <w:tr w14:paraId="0058A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noWrap w:val="0"/>
            <w:vAlign w:val="center"/>
          </w:tcPr>
          <w:p w14:paraId="6439708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879" w:type="pct"/>
            <w:noWrap w:val="0"/>
            <w:vAlign w:val="center"/>
          </w:tcPr>
          <w:p w14:paraId="40A297C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土地占用</w:t>
            </w:r>
          </w:p>
        </w:tc>
        <w:tc>
          <w:tcPr>
            <w:tcW w:w="1401" w:type="pct"/>
            <w:noWrap w:val="0"/>
            <w:vAlign w:val="center"/>
          </w:tcPr>
          <w:p w14:paraId="40AA2A8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临时、永久占地使土地使用功能改变</w:t>
            </w:r>
          </w:p>
        </w:tc>
        <w:tc>
          <w:tcPr>
            <w:tcW w:w="904" w:type="pct"/>
            <w:noWrap w:val="0"/>
            <w:vAlign w:val="center"/>
          </w:tcPr>
          <w:p w14:paraId="3D90720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61" w:type="pct"/>
            <w:noWrap w:val="0"/>
            <w:vAlign w:val="center"/>
          </w:tcPr>
          <w:p w14:paraId="05747A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成为道路建设用地</w:t>
            </w:r>
          </w:p>
        </w:tc>
      </w:tr>
    </w:tbl>
    <w:p w14:paraId="6936484A">
      <w:pPr>
        <w:pStyle w:val="4"/>
        <w:spacing w:before="60" w:after="60" w:line="480" w:lineRule="exact"/>
        <w:rPr>
          <w:rFonts w:hint="eastAsia" w:eastAsia="宋体"/>
          <w:color w:val="000000" w:themeColor="text1"/>
          <w:kern w:val="2"/>
          <w:lang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5</w:t>
      </w:r>
      <w:r>
        <w:rPr>
          <w:color w:val="000000" w:themeColor="text1"/>
          <w:kern w:val="2"/>
          <w14:textFill>
            <w14:solidFill>
              <w14:schemeClr w14:val="tx1"/>
            </w14:solidFill>
          </w14:textFill>
        </w:rPr>
        <w:t>.1.</w:t>
      </w:r>
      <w:r>
        <w:rPr>
          <w:rFonts w:hint="eastAsia"/>
          <w:color w:val="000000" w:themeColor="text1"/>
          <w:kern w:val="2"/>
          <w:lang w:val="en-US" w:eastAsia="zh-CN"/>
          <w14:textFill>
            <w14:solidFill>
              <w14:schemeClr w14:val="tx1"/>
            </w14:solidFill>
          </w14:textFill>
        </w:rPr>
        <w:t>2</w:t>
      </w:r>
      <w:r>
        <w:rPr>
          <w:rFonts w:hint="eastAsia"/>
          <w:color w:val="000000" w:themeColor="text1"/>
          <w:kern w:val="2"/>
          <w:lang w:eastAsia="zh-CN"/>
          <w14:textFill>
            <w14:solidFill>
              <w14:schemeClr w14:val="tx1"/>
            </w14:solidFill>
          </w14:textFill>
        </w:rPr>
        <w:t>施工期大气环境影响分析</w:t>
      </w:r>
    </w:p>
    <w:p w14:paraId="69821048">
      <w:pPr>
        <w:autoSpaceDE w:val="0"/>
        <w:autoSpaceDN w:val="0"/>
        <w:spacing w:line="480" w:lineRule="exact"/>
        <w:ind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施工活动对大气环境的影响主要为扬尘及少量汽车尾气，包括施工扬尘、运输道路扬尘及施工料场扬尘。</w:t>
      </w:r>
    </w:p>
    <w:p w14:paraId="778ABB1C">
      <w:pPr>
        <w:spacing w:line="480" w:lineRule="exact"/>
        <w:ind w:firstLine="480" w:firstLineChars="200"/>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（1）扬尘废气的影响</w:t>
      </w:r>
    </w:p>
    <w:p w14:paraId="260D158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lang w:bidi="ar"/>
          <w14:textFill>
            <w14:solidFill>
              <w14:schemeClr w14:val="tx1"/>
            </w14:solidFill>
          </w14:textFill>
        </w:rPr>
        <w:t>建设施工过程中的大气污染主要来自项目区内基础设施建设的扬尘。在整个施工期产生扬尘的作业有场地平整、开挖、部分道路修建、建材运输、露天堆放、装卸和搅拌等过程，如遇干旱无雨季节，加上大风，施工扬尘将更严重。</w:t>
      </w:r>
    </w:p>
    <w:p w14:paraId="60D8EE3E">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据有关调查，施工工地的扬尘主要是由运输车辆的行驶产生，约占扬尘总量的60%，在完全干燥情况下，道路扬尘可按下列经验公式计算：</w:t>
      </w:r>
    </w:p>
    <w:p w14:paraId="5E5FD859">
      <w:pPr>
        <w:spacing w:line="480" w:lineRule="exact"/>
        <w:ind w:firstLine="200"/>
        <w:rPr>
          <w:color w:val="000000" w:themeColor="text1"/>
          <w:kern w:val="28"/>
          <w:sz w:val="24"/>
          <w14:textFill>
            <w14:solidFill>
              <w14:schemeClr w14:val="tx1"/>
            </w14:solidFill>
          </w14:textFill>
        </w:rPr>
      </w:pPr>
      <w:r>
        <w:rPr>
          <w:color w:val="000000" w:themeColor="text1"/>
          <w:lang w:bidi="ar"/>
          <w14:textFill>
            <w14:solidFill>
              <w14:schemeClr w14:val="tx1"/>
            </w14:solidFill>
          </w14:textFill>
        </w:rPr>
        <w:pict>
          <v:shape id="对象 242" o:spid="_x0000_s1026" o:spt="75" type="#_x0000_t75" style="position:absolute;left:0pt;margin-left:123.25pt;margin-top:12.95pt;height:31pt;width:164pt;z-index:251661312;mso-width-relative:page;mso-height-relative:page;" o:ole="t" filled="f" o:preferrelative="t" stroked="f" coordsize="21600,21600">
            <v:path/>
            <v:fill on="f" focussize="0,0"/>
            <v:stroke on="f"/>
            <v:imagedata r:id="rId50" o:title=""/>
            <o:lock v:ext="edit" aspectratio="t"/>
          </v:shape>
          <o:OLEObject Type="Embed" ProgID="Equation.3" ShapeID="对象 242" DrawAspect="Content" ObjectID="_1468075731" r:id="rId49">
            <o:LockedField>false</o:LockedField>
          </o:OLEObject>
        </w:pict>
      </w:r>
      <w:r>
        <w:rPr>
          <w:color w:val="000000" w:themeColor="text1"/>
          <w:kern w:val="28"/>
          <w:sz w:val="24"/>
          <w:lang w:bidi="ar"/>
          <w14:textFill>
            <w14:solidFill>
              <w14:schemeClr w14:val="tx1"/>
            </w14:solidFill>
          </w14:textFill>
        </w:rPr>
        <w:t xml:space="preserve">        </w:t>
      </w:r>
    </w:p>
    <w:p w14:paraId="3F387B15">
      <w:pPr>
        <w:spacing w:line="480" w:lineRule="exact"/>
        <w:ind w:firstLine="480" w:firstLineChars="200"/>
        <w:rPr>
          <w:color w:val="000000" w:themeColor="text1"/>
          <w:sz w:val="24"/>
          <w14:textFill>
            <w14:solidFill>
              <w14:schemeClr w14:val="tx1"/>
            </w14:solidFill>
          </w14:textFill>
        </w:rPr>
      </w:pPr>
    </w:p>
    <w:p w14:paraId="7E9F207B">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式中：Q——汽车行驶的扬尘，kg/km·辆；</w:t>
      </w:r>
    </w:p>
    <w:p w14:paraId="77B58F26">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 xml:space="preserve">      V——汽车速度，km/h；</w:t>
      </w:r>
    </w:p>
    <w:p w14:paraId="64029C37">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 xml:space="preserve">      W——汽车载重量，t；</w:t>
      </w:r>
    </w:p>
    <w:p w14:paraId="5B8EC713">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 xml:space="preserve">      P——道路表面粉尘量，kg/m</w:t>
      </w:r>
      <w:r>
        <w:rPr>
          <w:color w:val="000000" w:themeColor="text1"/>
          <w:sz w:val="24"/>
          <w:vertAlign w:val="superscript"/>
          <w:lang w:bidi="ar"/>
          <w14:textFill>
            <w14:solidFill>
              <w14:schemeClr w14:val="tx1"/>
            </w14:solidFill>
          </w14:textFill>
        </w:rPr>
        <w:t>2</w:t>
      </w:r>
      <w:r>
        <w:rPr>
          <w:color w:val="000000" w:themeColor="text1"/>
          <w:sz w:val="24"/>
          <w:lang w:bidi="ar"/>
          <w14:textFill>
            <w14:solidFill>
              <w14:schemeClr w14:val="tx1"/>
            </w14:solidFill>
          </w14:textFill>
        </w:rPr>
        <w:t>。</w:t>
      </w:r>
    </w:p>
    <w:p w14:paraId="4B751AEA">
      <w:pPr>
        <w:spacing w:line="480" w:lineRule="exact"/>
        <w:ind w:firstLine="480" w:firstLineChars="200"/>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表5.1-2为一辆载重5吨的卡车，通过一段长度为500m的路面时，不同路面清洁程度、不同行驶速度情况下产生的扬尘量。由此可见，在同样路面清洁情况下，车速越快，扬尘量越大；而在同样车速情况下，路面清洁度越差，则扬尘量越大。</w:t>
      </w:r>
    </w:p>
    <w:p w14:paraId="3DC4B0DD">
      <w:pPr>
        <w:spacing w:line="480" w:lineRule="exact"/>
        <w:jc w:val="center"/>
        <w:rPr>
          <w:b/>
          <w:color w:val="000000" w:themeColor="text1"/>
          <w:kern w:val="0"/>
          <w:sz w:val="24"/>
          <w:szCs w:val="24"/>
          <w:lang w:val="zh-CN"/>
          <w14:textFill>
            <w14:solidFill>
              <w14:schemeClr w14:val="tx1"/>
            </w14:solidFill>
          </w14:textFill>
        </w:rPr>
      </w:pPr>
    </w:p>
    <w:p w14:paraId="42E053B4">
      <w:pPr>
        <w:spacing w:line="480" w:lineRule="exact"/>
        <w:jc w:val="center"/>
        <w:rPr>
          <w:b/>
          <w:color w:val="000000" w:themeColor="text1"/>
          <w:kern w:val="0"/>
          <w:sz w:val="24"/>
          <w:szCs w:val="24"/>
          <w:lang w:val="zh-CN"/>
          <w14:textFill>
            <w14:solidFill>
              <w14:schemeClr w14:val="tx1"/>
            </w14:solidFill>
          </w14:textFill>
        </w:rPr>
      </w:pPr>
    </w:p>
    <w:p w14:paraId="023FFB8B">
      <w:pPr>
        <w:spacing w:line="480" w:lineRule="exact"/>
        <w:jc w:val="center"/>
        <w:rPr>
          <w:b/>
          <w:color w:val="000000" w:themeColor="text1"/>
          <w:kern w:val="0"/>
          <w:sz w:val="24"/>
          <w:szCs w:val="24"/>
          <w:lang w:val="zh-CN"/>
          <w14:textFill>
            <w14:solidFill>
              <w14:schemeClr w14:val="tx1"/>
            </w14:solidFill>
          </w14:textFill>
        </w:rPr>
      </w:pPr>
      <w:r>
        <w:rPr>
          <w:b/>
          <w:color w:val="000000" w:themeColor="text1"/>
          <w:kern w:val="0"/>
          <w:sz w:val="24"/>
          <w:szCs w:val="24"/>
          <w:lang w:val="zh-CN"/>
          <w14:textFill>
            <w14:solidFill>
              <w14:schemeClr w14:val="tx1"/>
            </w14:solidFill>
          </w14:textFill>
        </w:rPr>
        <w:t>表5.1-2    不同车速和地面清洁程度时的汽车扬尘     单位：kg/辆·km</w:t>
      </w:r>
    </w:p>
    <w:tbl>
      <w:tblPr>
        <w:tblStyle w:val="7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91"/>
        <w:gridCol w:w="1207"/>
        <w:gridCol w:w="1207"/>
        <w:gridCol w:w="1209"/>
        <w:gridCol w:w="1207"/>
        <w:gridCol w:w="1210"/>
        <w:gridCol w:w="1203"/>
      </w:tblGrid>
      <w:tr w14:paraId="5CF0F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4" w:type="pct"/>
            <w:tcBorders>
              <w:top w:val="single" w:color="auto" w:sz="12" w:space="0"/>
              <w:left w:val="single" w:color="auto" w:sz="12" w:space="0"/>
              <w:bottom w:val="single" w:color="auto" w:sz="4" w:space="0"/>
              <w:right w:val="single" w:color="auto" w:sz="4" w:space="0"/>
            </w:tcBorders>
            <w:noWrap w:val="0"/>
            <w:vAlign w:val="center"/>
          </w:tcPr>
          <w:p w14:paraId="7F15AFE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1637665</wp:posOffset>
                      </wp:positionH>
                      <wp:positionV relativeFrom="paragraph">
                        <wp:posOffset>-768711950</wp:posOffset>
                      </wp:positionV>
                      <wp:extent cx="5080" cy="445135"/>
                      <wp:effectExtent l="4445" t="0" r="9525" b="12065"/>
                      <wp:wrapNone/>
                      <wp:docPr id="174" name="直接连接符 1"/>
                      <wp:cNvGraphicFramePr/>
                      <a:graphic xmlns:a="http://schemas.openxmlformats.org/drawingml/2006/main">
                        <a:graphicData uri="http://schemas.microsoft.com/office/word/2010/wordprocessingShape">
                          <wps:wsp>
                            <wps:cNvCnPr/>
                            <wps:spPr>
                              <a:xfrm flipH="1">
                                <a:off x="0" y="0"/>
                                <a:ext cx="5080" cy="44513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直接连接符 1" o:spid="_x0000_s1026" o:spt="32" type="#_x0000_t32" style="position:absolute;left:0pt;flip:x;margin-left:128.95pt;margin-top:-60528.5pt;height:35.05pt;width:0.4pt;z-index:251662336;mso-width-relative:page;mso-height-relative:page;" filled="f" stroked="t" coordsize="21600,21600" o:gfxdata="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B12vDdAAAAEwEAAA8AAAAAAAAAAQAg&#10;AAAAIgAAAGRycy9kb3ducmV2LnhtbFBLAQIUABQAAAAIAIdO4kCts3ftCQIAAAwEAAAOAAAAAAAA&#10;AAEAIAAAACwBAABkcnMvZTJvRG9jLnhtbFBLBQYAAAAABgAGAFkBAACnBQ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000000" w:themeColor="text1"/>
                <w:szCs w:val="21"/>
                <w14:textFill>
                  <w14:solidFill>
                    <w14:schemeClr w14:val="tx1"/>
                  </w14:solidFill>
                </w14:textFill>
              </w:rPr>
              <w:t>P车速</w:t>
            </w:r>
          </w:p>
        </w:tc>
        <w:tc>
          <w:tcPr>
            <w:tcW w:w="724" w:type="pct"/>
            <w:tcBorders>
              <w:top w:val="single" w:color="auto" w:sz="12" w:space="0"/>
              <w:left w:val="single" w:color="auto" w:sz="4" w:space="0"/>
              <w:bottom w:val="single" w:color="auto" w:sz="4" w:space="0"/>
              <w:right w:val="single" w:color="auto" w:sz="4" w:space="0"/>
            </w:tcBorders>
            <w:noWrap w:val="0"/>
            <w:vAlign w:val="center"/>
          </w:tcPr>
          <w:p w14:paraId="13BF2D8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0.1（kg/m</w:t>
            </w:r>
            <w:r>
              <w:rPr>
                <w:rFonts w:hint="default" w:ascii="Times New Roman" w:hAnsi="Times New Roman" w:eastAsia="宋体" w:cs="Times New Roman"/>
                <w:b/>
                <w:bCs/>
                <w:color w:val="000000" w:themeColor="text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724" w:type="pct"/>
            <w:tcBorders>
              <w:top w:val="single" w:color="auto" w:sz="12" w:space="0"/>
              <w:left w:val="single" w:color="auto" w:sz="4" w:space="0"/>
              <w:bottom w:val="single" w:color="auto" w:sz="4" w:space="0"/>
              <w:right w:val="single" w:color="auto" w:sz="4" w:space="0"/>
            </w:tcBorders>
            <w:noWrap w:val="0"/>
            <w:vAlign w:val="center"/>
          </w:tcPr>
          <w:p w14:paraId="0142E97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0.2（kg/m</w:t>
            </w:r>
            <w:r>
              <w:rPr>
                <w:rFonts w:hint="default" w:ascii="Times New Roman" w:hAnsi="Times New Roman" w:eastAsia="宋体" w:cs="Times New Roman"/>
                <w:b/>
                <w:bCs/>
                <w:color w:val="000000" w:themeColor="text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725" w:type="pct"/>
            <w:tcBorders>
              <w:top w:val="single" w:color="auto" w:sz="12" w:space="0"/>
              <w:left w:val="single" w:color="auto" w:sz="4" w:space="0"/>
              <w:bottom w:val="single" w:color="auto" w:sz="4" w:space="0"/>
              <w:right w:val="single" w:color="auto" w:sz="4" w:space="0"/>
            </w:tcBorders>
            <w:noWrap w:val="0"/>
            <w:vAlign w:val="center"/>
          </w:tcPr>
          <w:p w14:paraId="3DE111D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0.3（kg/m</w:t>
            </w:r>
            <w:r>
              <w:rPr>
                <w:rFonts w:hint="default" w:ascii="Times New Roman" w:hAnsi="Times New Roman" w:eastAsia="宋体" w:cs="Times New Roman"/>
                <w:b/>
                <w:bCs/>
                <w:color w:val="000000" w:themeColor="text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724" w:type="pct"/>
            <w:tcBorders>
              <w:top w:val="single" w:color="auto" w:sz="12" w:space="0"/>
              <w:left w:val="single" w:color="auto" w:sz="4" w:space="0"/>
              <w:bottom w:val="single" w:color="auto" w:sz="4" w:space="0"/>
              <w:right w:val="single" w:color="auto" w:sz="4" w:space="0"/>
            </w:tcBorders>
            <w:noWrap w:val="0"/>
            <w:vAlign w:val="center"/>
          </w:tcPr>
          <w:p w14:paraId="2BAC562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0.4（kg/m</w:t>
            </w:r>
            <w:r>
              <w:rPr>
                <w:rFonts w:hint="default" w:ascii="Times New Roman" w:hAnsi="Times New Roman" w:eastAsia="宋体" w:cs="Times New Roman"/>
                <w:b/>
                <w:bCs/>
                <w:color w:val="000000" w:themeColor="text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725" w:type="pct"/>
            <w:tcBorders>
              <w:top w:val="single" w:color="auto" w:sz="12" w:space="0"/>
              <w:left w:val="single" w:color="auto" w:sz="4" w:space="0"/>
              <w:bottom w:val="single" w:color="auto" w:sz="4" w:space="0"/>
              <w:right w:val="single" w:color="auto" w:sz="4" w:space="0"/>
            </w:tcBorders>
            <w:noWrap w:val="0"/>
            <w:vAlign w:val="center"/>
          </w:tcPr>
          <w:p w14:paraId="627294F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0.5（kg/m</w:t>
            </w:r>
            <w:r>
              <w:rPr>
                <w:rFonts w:hint="default" w:ascii="Times New Roman" w:hAnsi="Times New Roman" w:eastAsia="宋体" w:cs="Times New Roman"/>
                <w:b/>
                <w:bCs/>
                <w:color w:val="000000" w:themeColor="text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721" w:type="pct"/>
            <w:tcBorders>
              <w:top w:val="single" w:color="auto" w:sz="12" w:space="0"/>
              <w:left w:val="single" w:color="auto" w:sz="4" w:space="0"/>
              <w:bottom w:val="single" w:color="auto" w:sz="4" w:space="0"/>
              <w:right w:val="single" w:color="auto" w:sz="12" w:space="0"/>
            </w:tcBorders>
            <w:noWrap w:val="0"/>
            <w:vAlign w:val="center"/>
          </w:tcPr>
          <w:p w14:paraId="5D9B9A8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1.0（kg/m</w:t>
            </w:r>
            <w:r>
              <w:rPr>
                <w:rFonts w:hint="default" w:ascii="Times New Roman" w:hAnsi="Times New Roman" w:eastAsia="宋体" w:cs="Times New Roman"/>
                <w:b/>
                <w:bCs/>
                <w:color w:val="000000" w:themeColor="text1"/>
                <w:szCs w:val="21"/>
                <w:vertAlign w:val="superscript"/>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w:t>
            </w:r>
          </w:p>
        </w:tc>
      </w:tr>
      <w:tr w14:paraId="10F94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4" w:type="pct"/>
            <w:tcBorders>
              <w:top w:val="single" w:color="auto" w:sz="4" w:space="0"/>
              <w:left w:val="single" w:color="auto" w:sz="12" w:space="0"/>
              <w:bottom w:val="single" w:color="auto" w:sz="4" w:space="0"/>
              <w:right w:val="single" w:color="auto" w:sz="4" w:space="0"/>
            </w:tcBorders>
            <w:noWrap w:val="0"/>
            <w:vAlign w:val="center"/>
          </w:tcPr>
          <w:p w14:paraId="7D3A70F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5（km/h）</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2A8EE23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0.0283</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5E9395B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0.0476</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011A9F8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0.0646</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6214F66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0.0801</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1ECF8F0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0.0947</w:t>
            </w:r>
          </w:p>
        </w:tc>
        <w:tc>
          <w:tcPr>
            <w:tcW w:w="721" w:type="pct"/>
            <w:tcBorders>
              <w:top w:val="single" w:color="auto" w:sz="4" w:space="0"/>
              <w:left w:val="single" w:color="auto" w:sz="4" w:space="0"/>
              <w:bottom w:val="single" w:color="auto" w:sz="4" w:space="0"/>
              <w:right w:val="single" w:color="auto" w:sz="12" w:space="0"/>
            </w:tcBorders>
            <w:noWrap w:val="0"/>
            <w:vAlign w:val="center"/>
          </w:tcPr>
          <w:p w14:paraId="0424435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0.1593</w:t>
            </w:r>
          </w:p>
        </w:tc>
      </w:tr>
      <w:tr w14:paraId="4D2BD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654" w:type="pct"/>
            <w:tcBorders>
              <w:top w:val="single" w:color="auto" w:sz="4" w:space="0"/>
              <w:left w:val="single" w:color="auto" w:sz="12" w:space="0"/>
              <w:bottom w:val="single" w:color="auto" w:sz="4" w:space="0"/>
              <w:right w:val="single" w:color="auto" w:sz="4" w:space="0"/>
            </w:tcBorders>
            <w:noWrap w:val="0"/>
            <w:vAlign w:val="center"/>
          </w:tcPr>
          <w:p w14:paraId="6997A44F">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10（km/h）</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19BD18E9">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0.0566</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4429658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0.0953</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70B681E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0.1291</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2A4230F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0.1602</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108E6D7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0.1894</w:t>
            </w:r>
          </w:p>
        </w:tc>
        <w:tc>
          <w:tcPr>
            <w:tcW w:w="721" w:type="pct"/>
            <w:tcBorders>
              <w:top w:val="single" w:color="auto" w:sz="4" w:space="0"/>
              <w:left w:val="single" w:color="auto" w:sz="4" w:space="0"/>
              <w:bottom w:val="single" w:color="auto" w:sz="4" w:space="0"/>
              <w:right w:val="single" w:color="auto" w:sz="12" w:space="0"/>
            </w:tcBorders>
            <w:noWrap w:val="0"/>
            <w:vAlign w:val="center"/>
          </w:tcPr>
          <w:p w14:paraId="31BDE51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0.3186</w:t>
            </w:r>
          </w:p>
        </w:tc>
      </w:tr>
      <w:tr w14:paraId="260E5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4" w:type="pct"/>
            <w:tcBorders>
              <w:top w:val="single" w:color="auto" w:sz="4" w:space="0"/>
              <w:left w:val="single" w:color="auto" w:sz="12" w:space="0"/>
              <w:bottom w:val="single" w:color="auto" w:sz="4" w:space="0"/>
              <w:right w:val="single" w:color="auto" w:sz="4" w:space="0"/>
            </w:tcBorders>
            <w:noWrap w:val="0"/>
            <w:vAlign w:val="center"/>
          </w:tcPr>
          <w:p w14:paraId="4F050EB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15（km/h）</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176D779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0.0850</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342C86D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0.1429</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42559C95">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0.1937</w:t>
            </w:r>
          </w:p>
        </w:tc>
        <w:tc>
          <w:tcPr>
            <w:tcW w:w="724" w:type="pct"/>
            <w:tcBorders>
              <w:top w:val="single" w:color="auto" w:sz="4" w:space="0"/>
              <w:left w:val="single" w:color="auto" w:sz="4" w:space="0"/>
              <w:bottom w:val="single" w:color="auto" w:sz="4" w:space="0"/>
              <w:right w:val="single" w:color="auto" w:sz="4" w:space="0"/>
            </w:tcBorders>
            <w:noWrap w:val="0"/>
            <w:vAlign w:val="center"/>
          </w:tcPr>
          <w:p w14:paraId="76ED1E9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0.2403</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10E8656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0.2841</w:t>
            </w:r>
          </w:p>
        </w:tc>
        <w:tc>
          <w:tcPr>
            <w:tcW w:w="721" w:type="pct"/>
            <w:tcBorders>
              <w:top w:val="single" w:color="auto" w:sz="4" w:space="0"/>
              <w:left w:val="single" w:color="auto" w:sz="4" w:space="0"/>
              <w:bottom w:val="single" w:color="auto" w:sz="4" w:space="0"/>
              <w:right w:val="single" w:color="auto" w:sz="12" w:space="0"/>
            </w:tcBorders>
            <w:noWrap w:val="0"/>
            <w:vAlign w:val="center"/>
          </w:tcPr>
          <w:p w14:paraId="32CDBEA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0.4778</w:t>
            </w:r>
          </w:p>
        </w:tc>
      </w:tr>
      <w:tr w14:paraId="5B536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4" w:type="pct"/>
            <w:tcBorders>
              <w:top w:val="single" w:color="auto" w:sz="4" w:space="0"/>
              <w:left w:val="single" w:color="auto" w:sz="12" w:space="0"/>
              <w:bottom w:val="single" w:color="auto" w:sz="12" w:space="0"/>
              <w:right w:val="single" w:color="auto" w:sz="4" w:space="0"/>
            </w:tcBorders>
            <w:noWrap w:val="0"/>
            <w:vAlign w:val="center"/>
          </w:tcPr>
          <w:p w14:paraId="77DBDE7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20（km/h）</w:t>
            </w:r>
          </w:p>
        </w:tc>
        <w:tc>
          <w:tcPr>
            <w:tcW w:w="724" w:type="pct"/>
            <w:tcBorders>
              <w:top w:val="single" w:color="auto" w:sz="4" w:space="0"/>
              <w:left w:val="single" w:color="auto" w:sz="4" w:space="0"/>
              <w:bottom w:val="single" w:color="auto" w:sz="12" w:space="0"/>
              <w:right w:val="single" w:color="auto" w:sz="4" w:space="0"/>
            </w:tcBorders>
            <w:noWrap w:val="0"/>
            <w:vAlign w:val="center"/>
          </w:tcPr>
          <w:p w14:paraId="0D867D1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0.1133</w:t>
            </w:r>
          </w:p>
        </w:tc>
        <w:tc>
          <w:tcPr>
            <w:tcW w:w="724" w:type="pct"/>
            <w:tcBorders>
              <w:top w:val="single" w:color="auto" w:sz="4" w:space="0"/>
              <w:left w:val="single" w:color="auto" w:sz="4" w:space="0"/>
              <w:bottom w:val="single" w:color="auto" w:sz="12" w:space="0"/>
              <w:right w:val="single" w:color="auto" w:sz="4" w:space="0"/>
            </w:tcBorders>
            <w:noWrap w:val="0"/>
            <w:vAlign w:val="center"/>
          </w:tcPr>
          <w:p w14:paraId="3FAACCB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0.1905</w:t>
            </w:r>
          </w:p>
        </w:tc>
        <w:tc>
          <w:tcPr>
            <w:tcW w:w="725" w:type="pct"/>
            <w:tcBorders>
              <w:top w:val="single" w:color="auto" w:sz="4" w:space="0"/>
              <w:left w:val="single" w:color="auto" w:sz="4" w:space="0"/>
              <w:bottom w:val="single" w:color="auto" w:sz="12" w:space="0"/>
              <w:right w:val="single" w:color="auto" w:sz="4" w:space="0"/>
            </w:tcBorders>
            <w:noWrap w:val="0"/>
            <w:vAlign w:val="center"/>
          </w:tcPr>
          <w:p w14:paraId="3A9767BC">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0.2583</w:t>
            </w:r>
          </w:p>
        </w:tc>
        <w:tc>
          <w:tcPr>
            <w:tcW w:w="724" w:type="pct"/>
            <w:tcBorders>
              <w:top w:val="single" w:color="auto" w:sz="4" w:space="0"/>
              <w:left w:val="single" w:color="auto" w:sz="4" w:space="0"/>
              <w:bottom w:val="single" w:color="auto" w:sz="12" w:space="0"/>
              <w:right w:val="single" w:color="auto" w:sz="4" w:space="0"/>
            </w:tcBorders>
            <w:noWrap w:val="0"/>
            <w:vAlign w:val="center"/>
          </w:tcPr>
          <w:p w14:paraId="7F09225E">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0.3204</w:t>
            </w:r>
          </w:p>
        </w:tc>
        <w:tc>
          <w:tcPr>
            <w:tcW w:w="725" w:type="pct"/>
            <w:tcBorders>
              <w:top w:val="single" w:color="auto" w:sz="4" w:space="0"/>
              <w:left w:val="single" w:color="auto" w:sz="4" w:space="0"/>
              <w:bottom w:val="single" w:color="auto" w:sz="12" w:space="0"/>
              <w:right w:val="single" w:color="auto" w:sz="4" w:space="0"/>
            </w:tcBorders>
            <w:noWrap w:val="0"/>
            <w:vAlign w:val="center"/>
          </w:tcPr>
          <w:p w14:paraId="47CA8A6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0.3788</w:t>
            </w:r>
          </w:p>
        </w:tc>
        <w:tc>
          <w:tcPr>
            <w:tcW w:w="721" w:type="pct"/>
            <w:tcBorders>
              <w:top w:val="single" w:color="auto" w:sz="4" w:space="0"/>
              <w:left w:val="single" w:color="auto" w:sz="4" w:space="0"/>
              <w:bottom w:val="single" w:color="auto" w:sz="12" w:space="0"/>
              <w:right w:val="single" w:color="auto" w:sz="12" w:space="0"/>
            </w:tcBorders>
            <w:noWrap w:val="0"/>
            <w:vAlign w:val="center"/>
          </w:tcPr>
          <w:p w14:paraId="34E727F2">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0.6371</w:t>
            </w:r>
          </w:p>
        </w:tc>
      </w:tr>
    </w:tbl>
    <w:p w14:paraId="70458EE1">
      <w:pPr>
        <w:spacing w:line="480" w:lineRule="exact"/>
        <w:ind w:firstLine="480" w:firstLineChars="200"/>
        <w:rPr>
          <w:b/>
          <w:color w:val="000000" w:themeColor="text1"/>
          <w:kern w:val="28"/>
          <w:sz w:val="24"/>
          <w:lang w:bidi="ar"/>
          <w14:textFill>
            <w14:solidFill>
              <w14:schemeClr w14:val="tx1"/>
            </w14:solidFill>
          </w14:textFill>
        </w:rPr>
      </w:pPr>
      <w:r>
        <w:rPr>
          <w:color w:val="000000" w:themeColor="text1"/>
          <w:sz w:val="24"/>
          <w:lang w:bidi="ar"/>
          <w14:textFill>
            <w14:solidFill>
              <w14:schemeClr w14:val="tx1"/>
            </w14:solidFill>
          </w14:textFill>
        </w:rPr>
        <w:t>表5.1-3为施工场地洒水抑尘的试验结果，结果表明采取每天适量洒水进行抑尘，可有效地控制施工扬尘，可使扬尘减少30%~80%左右，可将TSP污染距离缩小到20~50m范围。</w:t>
      </w:r>
    </w:p>
    <w:p w14:paraId="2357872D">
      <w:pPr>
        <w:spacing w:line="480" w:lineRule="exact"/>
        <w:jc w:val="center"/>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表5.1-3    施工场地洒水抑尘试验结果</w:t>
      </w:r>
    </w:p>
    <w:tbl>
      <w:tblPr>
        <w:tblStyle w:val="79"/>
        <w:tblW w:w="491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1340"/>
        <w:gridCol w:w="1293"/>
        <w:gridCol w:w="1293"/>
        <w:gridCol w:w="1293"/>
        <w:gridCol w:w="1242"/>
      </w:tblGrid>
      <w:tr w14:paraId="4ABA1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40" w:type="pct"/>
            <w:gridSpan w:val="2"/>
            <w:tcBorders>
              <w:top w:val="single" w:color="auto" w:sz="12" w:space="0"/>
              <w:left w:val="single" w:color="auto" w:sz="12" w:space="0"/>
              <w:bottom w:val="single" w:color="auto" w:sz="4" w:space="0"/>
              <w:right w:val="single" w:color="auto" w:sz="4" w:space="0"/>
            </w:tcBorders>
            <w:noWrap w:val="0"/>
            <w:vAlign w:val="center"/>
          </w:tcPr>
          <w:p w14:paraId="1352FF0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距离（m）</w:t>
            </w:r>
          </w:p>
        </w:tc>
        <w:tc>
          <w:tcPr>
            <w:tcW w:w="772" w:type="pct"/>
            <w:tcBorders>
              <w:top w:val="single" w:color="auto" w:sz="12" w:space="0"/>
              <w:left w:val="single" w:color="auto" w:sz="4" w:space="0"/>
              <w:bottom w:val="single" w:color="auto" w:sz="4" w:space="0"/>
              <w:right w:val="single" w:color="auto" w:sz="4" w:space="0"/>
            </w:tcBorders>
            <w:noWrap w:val="0"/>
            <w:vAlign w:val="center"/>
          </w:tcPr>
          <w:p w14:paraId="1C554A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5</w:t>
            </w:r>
          </w:p>
        </w:tc>
        <w:tc>
          <w:tcPr>
            <w:tcW w:w="772" w:type="pct"/>
            <w:tcBorders>
              <w:top w:val="single" w:color="auto" w:sz="12" w:space="0"/>
              <w:left w:val="single" w:color="auto" w:sz="4" w:space="0"/>
              <w:bottom w:val="single" w:color="auto" w:sz="4" w:space="0"/>
              <w:right w:val="single" w:color="auto" w:sz="4" w:space="0"/>
            </w:tcBorders>
            <w:noWrap w:val="0"/>
            <w:vAlign w:val="center"/>
          </w:tcPr>
          <w:p w14:paraId="2F8F69B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20</w:t>
            </w:r>
          </w:p>
        </w:tc>
        <w:tc>
          <w:tcPr>
            <w:tcW w:w="772" w:type="pct"/>
            <w:tcBorders>
              <w:top w:val="single" w:color="auto" w:sz="12" w:space="0"/>
              <w:left w:val="single" w:color="auto" w:sz="4" w:space="0"/>
              <w:bottom w:val="single" w:color="auto" w:sz="4" w:space="0"/>
              <w:right w:val="single" w:color="auto" w:sz="4" w:space="0"/>
            </w:tcBorders>
            <w:noWrap w:val="0"/>
            <w:vAlign w:val="center"/>
          </w:tcPr>
          <w:p w14:paraId="5EE88A9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50</w:t>
            </w:r>
          </w:p>
        </w:tc>
        <w:tc>
          <w:tcPr>
            <w:tcW w:w="742" w:type="pct"/>
            <w:tcBorders>
              <w:top w:val="single" w:color="auto" w:sz="12" w:space="0"/>
              <w:left w:val="single" w:color="auto" w:sz="4" w:space="0"/>
              <w:bottom w:val="single" w:color="auto" w:sz="4" w:space="0"/>
              <w:right w:val="single" w:color="auto" w:sz="12" w:space="0"/>
            </w:tcBorders>
            <w:noWrap w:val="0"/>
            <w:vAlign w:val="center"/>
          </w:tcPr>
          <w:p w14:paraId="291DE1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100</w:t>
            </w:r>
          </w:p>
        </w:tc>
      </w:tr>
      <w:tr w14:paraId="04DD7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40" w:type="pct"/>
            <w:vMerge w:val="restart"/>
            <w:tcBorders>
              <w:top w:val="single" w:color="auto" w:sz="4" w:space="0"/>
              <w:left w:val="single" w:color="auto" w:sz="12" w:space="0"/>
              <w:bottom w:val="single" w:color="auto" w:sz="12" w:space="0"/>
              <w:right w:val="single" w:color="auto" w:sz="4" w:space="0"/>
            </w:tcBorders>
            <w:noWrap w:val="0"/>
            <w:vAlign w:val="center"/>
          </w:tcPr>
          <w:p w14:paraId="1E3167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TSP小时平均浓度</w:t>
            </w:r>
          </w:p>
          <w:p w14:paraId="137C589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（mg/m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w:t>
            </w:r>
          </w:p>
        </w:tc>
        <w:tc>
          <w:tcPr>
            <w:tcW w:w="799" w:type="pct"/>
            <w:tcBorders>
              <w:top w:val="single" w:color="auto" w:sz="4" w:space="0"/>
              <w:left w:val="single" w:color="auto" w:sz="4" w:space="0"/>
              <w:bottom w:val="single" w:color="auto" w:sz="4" w:space="0"/>
              <w:right w:val="single" w:color="auto" w:sz="4" w:space="0"/>
            </w:tcBorders>
            <w:noWrap w:val="0"/>
            <w:vAlign w:val="center"/>
          </w:tcPr>
          <w:p w14:paraId="638AB4A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不洒水</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5CEB5A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10.14</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375B97A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2.89</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513B59E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742" w:type="pct"/>
            <w:tcBorders>
              <w:top w:val="single" w:color="auto" w:sz="4" w:space="0"/>
              <w:left w:val="single" w:color="auto" w:sz="4" w:space="0"/>
              <w:bottom w:val="single" w:color="auto" w:sz="4" w:space="0"/>
              <w:right w:val="single" w:color="auto" w:sz="12" w:space="0"/>
            </w:tcBorders>
            <w:noWrap w:val="0"/>
            <w:vAlign w:val="center"/>
          </w:tcPr>
          <w:p w14:paraId="62B3ED1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0.86</w:t>
            </w:r>
          </w:p>
        </w:tc>
      </w:tr>
      <w:tr w14:paraId="16A47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40" w:type="pct"/>
            <w:vMerge w:val="continue"/>
            <w:tcBorders>
              <w:top w:val="single" w:color="auto" w:sz="4" w:space="0"/>
              <w:left w:val="single" w:color="auto" w:sz="12" w:space="0"/>
              <w:bottom w:val="single" w:color="auto" w:sz="12" w:space="0"/>
              <w:right w:val="single" w:color="auto" w:sz="4" w:space="0"/>
            </w:tcBorders>
            <w:noWrap w:val="0"/>
            <w:vAlign w:val="center"/>
          </w:tcPr>
          <w:p w14:paraId="41206AE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99" w:type="pct"/>
            <w:tcBorders>
              <w:top w:val="single" w:color="auto" w:sz="4" w:space="0"/>
              <w:left w:val="single" w:color="auto" w:sz="4" w:space="0"/>
              <w:bottom w:val="single" w:color="auto" w:sz="12" w:space="0"/>
              <w:right w:val="single" w:color="auto" w:sz="4" w:space="0"/>
            </w:tcBorders>
            <w:noWrap w:val="0"/>
            <w:vAlign w:val="center"/>
          </w:tcPr>
          <w:p w14:paraId="35BEF80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洒水</w:t>
            </w:r>
          </w:p>
        </w:tc>
        <w:tc>
          <w:tcPr>
            <w:tcW w:w="772" w:type="pct"/>
            <w:tcBorders>
              <w:top w:val="single" w:color="auto" w:sz="4" w:space="0"/>
              <w:left w:val="single" w:color="auto" w:sz="4" w:space="0"/>
              <w:bottom w:val="single" w:color="auto" w:sz="12" w:space="0"/>
              <w:right w:val="single" w:color="auto" w:sz="4" w:space="0"/>
            </w:tcBorders>
            <w:noWrap w:val="0"/>
            <w:vAlign w:val="center"/>
          </w:tcPr>
          <w:p w14:paraId="1C9FD3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2.01</w:t>
            </w:r>
          </w:p>
        </w:tc>
        <w:tc>
          <w:tcPr>
            <w:tcW w:w="772" w:type="pct"/>
            <w:tcBorders>
              <w:top w:val="single" w:color="auto" w:sz="4" w:space="0"/>
              <w:left w:val="single" w:color="auto" w:sz="4" w:space="0"/>
              <w:bottom w:val="single" w:color="auto" w:sz="12" w:space="0"/>
              <w:right w:val="single" w:color="auto" w:sz="4" w:space="0"/>
            </w:tcBorders>
            <w:noWrap w:val="0"/>
            <w:vAlign w:val="center"/>
          </w:tcPr>
          <w:p w14:paraId="160F9D6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1.40</w:t>
            </w:r>
          </w:p>
        </w:tc>
        <w:tc>
          <w:tcPr>
            <w:tcW w:w="772" w:type="pct"/>
            <w:tcBorders>
              <w:top w:val="single" w:color="auto" w:sz="4" w:space="0"/>
              <w:left w:val="single" w:color="auto" w:sz="4" w:space="0"/>
              <w:bottom w:val="single" w:color="auto" w:sz="12" w:space="0"/>
              <w:right w:val="single" w:color="auto" w:sz="4" w:space="0"/>
            </w:tcBorders>
            <w:noWrap w:val="0"/>
            <w:vAlign w:val="center"/>
          </w:tcPr>
          <w:p w14:paraId="0ED336E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0.67</w:t>
            </w:r>
          </w:p>
        </w:tc>
        <w:tc>
          <w:tcPr>
            <w:tcW w:w="742" w:type="pct"/>
            <w:tcBorders>
              <w:top w:val="single" w:color="auto" w:sz="4" w:space="0"/>
              <w:left w:val="single" w:color="auto" w:sz="4" w:space="0"/>
              <w:bottom w:val="single" w:color="auto" w:sz="12" w:space="0"/>
              <w:right w:val="single" w:color="auto" w:sz="12" w:space="0"/>
            </w:tcBorders>
            <w:noWrap w:val="0"/>
            <w:vAlign w:val="center"/>
          </w:tcPr>
          <w:p w14:paraId="51522DA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0.60</w:t>
            </w:r>
          </w:p>
        </w:tc>
      </w:tr>
    </w:tbl>
    <w:p w14:paraId="52CB4999">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因此，限速行驶及保持路面清洁，同时适当洒水是减少汽车扬尘的有效手段。</w:t>
      </w:r>
    </w:p>
    <w:p w14:paraId="42B2A255">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施工扬尘的另一种情况是露天堆场和裸露场地的风力扬尘，由于施工需要，一些建材需露天堆放，一些施工点表层土壤需人工开挖、堆放，在气候干燥又有风的情况下，会产生扬尘，其扬尘量可按堆场起尘的经验公式计算：</w:t>
      </w:r>
    </w:p>
    <w:p w14:paraId="2712AAD8">
      <w:pPr>
        <w:spacing w:line="480" w:lineRule="exact"/>
        <w:ind w:firstLine="200"/>
        <w:jc w:val="center"/>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Q=2.1（V</w:t>
      </w:r>
      <w:r>
        <w:rPr>
          <w:color w:val="000000" w:themeColor="text1"/>
          <w:sz w:val="24"/>
          <w:vertAlign w:val="subscript"/>
          <w:lang w:bidi="ar"/>
          <w14:textFill>
            <w14:solidFill>
              <w14:schemeClr w14:val="tx1"/>
            </w14:solidFill>
          </w14:textFill>
        </w:rPr>
        <w:t>1</w:t>
      </w:r>
      <w:r>
        <w:rPr>
          <w:color w:val="000000" w:themeColor="text1"/>
          <w:sz w:val="24"/>
          <w:lang w:bidi="ar"/>
          <w14:textFill>
            <w14:solidFill>
              <w14:schemeClr w14:val="tx1"/>
            </w14:solidFill>
          </w14:textFill>
        </w:rPr>
        <w:t>–V</w:t>
      </w:r>
      <w:r>
        <w:rPr>
          <w:color w:val="000000" w:themeColor="text1"/>
          <w:sz w:val="24"/>
          <w:vertAlign w:val="subscript"/>
          <w:lang w:bidi="ar"/>
          <w14:textFill>
            <w14:solidFill>
              <w14:schemeClr w14:val="tx1"/>
            </w14:solidFill>
          </w14:textFill>
        </w:rPr>
        <w:t>0</w:t>
      </w:r>
      <w:r>
        <w:rPr>
          <w:color w:val="000000" w:themeColor="text1"/>
          <w:sz w:val="24"/>
          <w:lang w:bidi="ar"/>
          <w14:textFill>
            <w14:solidFill>
              <w14:schemeClr w14:val="tx1"/>
            </w14:solidFill>
          </w14:textFill>
        </w:rPr>
        <w:t>）</w:t>
      </w:r>
      <w:r>
        <w:rPr>
          <w:color w:val="000000" w:themeColor="text1"/>
          <w:sz w:val="24"/>
          <w:vertAlign w:val="superscript"/>
          <w:lang w:bidi="ar"/>
          <w14:textFill>
            <w14:solidFill>
              <w14:schemeClr w14:val="tx1"/>
            </w14:solidFill>
          </w14:textFill>
        </w:rPr>
        <w:t>3</w:t>
      </w:r>
      <w:r>
        <w:rPr>
          <w:color w:val="000000" w:themeColor="text1"/>
          <w:sz w:val="24"/>
          <w:lang w:bidi="ar"/>
          <w14:textFill>
            <w14:solidFill>
              <w14:schemeClr w14:val="tx1"/>
            </w14:solidFill>
          </w14:textFill>
        </w:rPr>
        <w:t>e</w:t>
      </w:r>
      <w:r>
        <w:rPr>
          <w:color w:val="000000" w:themeColor="text1"/>
          <w:sz w:val="24"/>
          <w:vertAlign w:val="superscript"/>
          <w:lang w:bidi="ar"/>
          <w14:textFill>
            <w14:solidFill>
              <w14:schemeClr w14:val="tx1"/>
            </w14:solidFill>
          </w14:textFill>
        </w:rPr>
        <w:t>-1.023W</w:t>
      </w:r>
    </w:p>
    <w:p w14:paraId="1F1E38E8">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式中：Q——起尘量，kg/t·a；</w:t>
      </w:r>
    </w:p>
    <w:p w14:paraId="54554CBD">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 xml:space="preserve">      V</w:t>
      </w:r>
      <w:r>
        <w:rPr>
          <w:color w:val="000000" w:themeColor="text1"/>
          <w:sz w:val="24"/>
          <w:vertAlign w:val="subscript"/>
          <w:lang w:bidi="ar"/>
          <w14:textFill>
            <w14:solidFill>
              <w14:schemeClr w14:val="tx1"/>
            </w14:solidFill>
          </w14:textFill>
        </w:rPr>
        <w:t>10</w:t>
      </w:r>
      <w:r>
        <w:rPr>
          <w:color w:val="000000" w:themeColor="text1"/>
          <w:sz w:val="24"/>
          <w:lang w:bidi="ar"/>
          <w14:textFill>
            <w14:solidFill>
              <w14:schemeClr w14:val="tx1"/>
            </w14:solidFill>
          </w14:textFill>
        </w:rPr>
        <w:t>——距地面10</w:t>
      </w:r>
      <w:r>
        <w:rPr>
          <w:rFonts w:hint="eastAsia"/>
          <w:color w:val="000000" w:themeColor="text1"/>
          <w:sz w:val="24"/>
          <w:lang w:bidi="ar"/>
          <w14:textFill>
            <w14:solidFill>
              <w14:schemeClr w14:val="tx1"/>
            </w14:solidFill>
          </w14:textFill>
        </w:rPr>
        <w:t>m</w:t>
      </w:r>
      <w:r>
        <w:rPr>
          <w:color w:val="000000" w:themeColor="text1"/>
          <w:sz w:val="24"/>
          <w:lang w:bidi="ar"/>
          <w14:textFill>
            <w14:solidFill>
              <w14:schemeClr w14:val="tx1"/>
            </w14:solidFill>
          </w14:textFill>
        </w:rPr>
        <w:t>出风速，m/s；</w:t>
      </w:r>
    </w:p>
    <w:p w14:paraId="46ABAE1E">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 xml:space="preserve">      V</w:t>
      </w:r>
      <w:r>
        <w:rPr>
          <w:color w:val="000000" w:themeColor="text1"/>
          <w:sz w:val="24"/>
          <w:vertAlign w:val="subscript"/>
          <w:lang w:bidi="ar"/>
          <w14:textFill>
            <w14:solidFill>
              <w14:schemeClr w14:val="tx1"/>
            </w14:solidFill>
          </w14:textFill>
        </w:rPr>
        <w:t>0</w:t>
      </w:r>
      <w:r>
        <w:rPr>
          <w:color w:val="000000" w:themeColor="text1"/>
          <w:sz w:val="24"/>
          <w:lang w:bidi="ar"/>
          <w14:textFill>
            <w14:solidFill>
              <w14:schemeClr w14:val="tx1"/>
            </w14:solidFill>
          </w14:textFill>
        </w:rPr>
        <w:t>——起尘风速，m/s；</w:t>
      </w:r>
    </w:p>
    <w:p w14:paraId="0DD15436">
      <w:pPr>
        <w:spacing w:line="480" w:lineRule="exact"/>
        <w:ind w:firstLine="1200" w:firstLineChars="5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W——尘粒含水率，%。</w:t>
      </w:r>
    </w:p>
    <w:p w14:paraId="61B43822">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由此可见，这类扬尘的主要特点是与风速和尘粒含水率有关，因此，减少建材的露天堆放和保证一定的含水率是抑制这类扬尘的有效手段。</w:t>
      </w:r>
    </w:p>
    <w:p w14:paraId="693689EC">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尘粒在空气中的传播扩散情况与风速等气象条件有关，也与尘粒本身的沉降速度有关。以沙尘土为例，其沉降速度随粒径的增大而迅速增大。当粒径为250</w:t>
      </w:r>
      <w:r>
        <w:rPr>
          <w:rFonts w:hint="default" w:ascii="Times New Roman" w:hAnsi="Times New Roman" w:cs="Times New Roman"/>
          <w:color w:val="000000" w:themeColor="text1"/>
          <w:sz w:val="24"/>
          <w:lang w:val="en-US" w:eastAsia="zh-CN" w:bidi="ar"/>
          <w14:textFill>
            <w14:solidFill>
              <w14:schemeClr w14:val="tx1"/>
            </w14:solidFill>
          </w14:textFill>
        </w:rPr>
        <w:t>μ</w:t>
      </w:r>
      <w:r>
        <w:rPr>
          <w:color w:val="000000" w:themeColor="text1"/>
          <w:sz w:val="24"/>
          <w:lang w:bidi="ar"/>
          <w14:textFill>
            <w14:solidFill>
              <w14:schemeClr w14:val="tx1"/>
            </w14:solidFill>
          </w14:textFill>
        </w:rPr>
        <w:t>m时，沉降速度为1.005m/s，因此当尘粒大于250</w:t>
      </w:r>
      <w:r>
        <w:rPr>
          <w:rFonts w:hint="default" w:ascii="Times New Roman" w:hAnsi="Times New Roman" w:cs="Times New Roman"/>
          <w:color w:val="000000" w:themeColor="text1"/>
          <w:sz w:val="24"/>
          <w:lang w:val="en-US" w:eastAsia="zh-CN" w:bidi="ar"/>
          <w14:textFill>
            <w14:solidFill>
              <w14:schemeClr w14:val="tx1"/>
            </w14:solidFill>
          </w14:textFill>
        </w:rPr>
        <w:t>μ</w:t>
      </w:r>
      <w:r>
        <w:rPr>
          <w:color w:val="000000" w:themeColor="text1"/>
          <w:sz w:val="24"/>
          <w:lang w:bidi="ar"/>
          <w14:textFill>
            <w14:solidFill>
              <w14:schemeClr w14:val="tx1"/>
            </w14:solidFill>
          </w14:textFill>
        </w:rPr>
        <w:t>m时，主要影响范围在扬尘点下风向近距离范围内，而真正对外环境产生影响的是一些微小尘粒。根据现场施工季节的气候情况不同，其影响范围和方向也有所不同。因此，施工期间应特别注意施工扬尘中细小颗粒污染的防治问题，须制定必要的防治措施，在施工区域设置挡风墙，以减少施工扬尘对周围环境的影响。</w:t>
      </w:r>
    </w:p>
    <w:p w14:paraId="28B51B91">
      <w:pPr>
        <w:spacing w:line="48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施工场地粉尘的污染程度与风速、粉尘粒径、粉尘含湿量和汽车行驶速度等因素有关，其中风速及汽车行驶速度两因素对粉尘的污染影响最大。行驶速度增大，粉尘污染范围相应扩大。因此，尽可能降低车速，可有效降低道路扬尘。</w:t>
      </w:r>
    </w:p>
    <w:p w14:paraId="5D0244B1">
      <w:pPr>
        <w:widowControl/>
        <w:spacing w:line="480" w:lineRule="exact"/>
        <w:ind w:firstLine="480" w:firstLineChars="200"/>
        <w:rPr>
          <w:color w:val="000000" w:themeColor="text1"/>
          <w:kern w:val="0"/>
          <w:sz w:val="24"/>
          <w:szCs w:val="24"/>
          <w:lang w:bidi="ar"/>
          <w14:textFill>
            <w14:solidFill>
              <w14:schemeClr w14:val="tx1"/>
            </w14:solidFill>
          </w14:textFill>
        </w:rPr>
      </w:pPr>
      <w:r>
        <w:rPr>
          <w:color w:val="000000" w:themeColor="text1"/>
          <w:kern w:val="0"/>
          <w:sz w:val="24"/>
          <w:szCs w:val="24"/>
          <w:lang w:bidi="ar"/>
          <w14:textFill>
            <w14:solidFill>
              <w14:schemeClr w14:val="tx1"/>
            </w14:solidFill>
          </w14:textFill>
        </w:rPr>
        <w:t>根据相关资料，在正常风情况下，建设场地产生的粉尘在施工地近地面浓度为1.5~30mg/m</w:t>
      </w:r>
      <w:r>
        <w:rPr>
          <w:color w:val="000000" w:themeColor="text1"/>
          <w:kern w:val="0"/>
          <w:sz w:val="24"/>
          <w:szCs w:val="24"/>
          <w:vertAlign w:val="superscript"/>
          <w:lang w:bidi="ar"/>
          <w14:textFill>
            <w14:solidFill>
              <w14:schemeClr w14:val="tx1"/>
            </w14:solidFill>
          </w14:textFill>
        </w:rPr>
        <w:t>3</w:t>
      </w:r>
      <w:r>
        <w:rPr>
          <w:color w:val="000000" w:themeColor="text1"/>
          <w:kern w:val="0"/>
          <w:sz w:val="24"/>
          <w:szCs w:val="24"/>
          <w:lang w:bidi="ar"/>
          <w14:textFill>
            <w14:solidFill>
              <w14:schemeClr w14:val="tx1"/>
            </w14:solidFill>
          </w14:textFill>
        </w:rPr>
        <w:t>，其影响范围在下风向30m内，TSP影响浓度最大为5.0mg/m</w:t>
      </w:r>
      <w:r>
        <w:rPr>
          <w:color w:val="000000" w:themeColor="text1"/>
          <w:kern w:val="0"/>
          <w:sz w:val="24"/>
          <w:szCs w:val="24"/>
          <w:vertAlign w:val="superscript"/>
          <w:lang w:bidi="ar"/>
          <w14:textFill>
            <w14:solidFill>
              <w14:schemeClr w14:val="tx1"/>
            </w14:solidFill>
          </w14:textFill>
        </w:rPr>
        <w:t>3</w:t>
      </w:r>
      <w:r>
        <w:rPr>
          <w:color w:val="000000" w:themeColor="text1"/>
          <w:kern w:val="0"/>
          <w:sz w:val="24"/>
          <w:szCs w:val="24"/>
          <w:lang w:bidi="ar"/>
          <w14:textFill>
            <w14:solidFill>
              <w14:schemeClr w14:val="tx1"/>
            </w14:solidFill>
          </w14:textFill>
        </w:rPr>
        <w:t>，其余区域预测浓度值较低，在施工期内对施工区及运输路线的环境空气质量形成一定影响。</w:t>
      </w:r>
    </w:p>
    <w:p w14:paraId="4A61243A">
      <w:pPr>
        <w:widowControl/>
        <w:spacing w:line="480" w:lineRule="exact"/>
        <w:ind w:firstLine="480" w:firstLineChars="200"/>
        <w:rPr>
          <w:color w:val="000000" w:themeColor="text1"/>
          <w:sz w:val="24"/>
          <w:szCs w:val="20"/>
          <w:lang w:bidi="ar"/>
          <w14:textFill>
            <w14:solidFill>
              <w14:schemeClr w14:val="tx1"/>
            </w14:solidFill>
          </w14:textFill>
        </w:rPr>
      </w:pPr>
      <w:r>
        <w:rPr>
          <w:color w:val="000000" w:themeColor="text1"/>
          <w:sz w:val="24"/>
          <w:szCs w:val="20"/>
          <w:lang w:bidi="ar"/>
          <w14:textFill>
            <w14:solidFill>
              <w14:schemeClr w14:val="tx1"/>
            </w14:solidFill>
          </w14:textFill>
        </w:rPr>
        <w:t>（2）施工机具废气的影响</w:t>
      </w:r>
    </w:p>
    <w:p w14:paraId="707949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14:textFill>
            <w14:solidFill>
              <w14:schemeClr w14:val="tx1"/>
            </w14:solidFill>
          </w14:textFill>
        </w:rPr>
      </w:pPr>
      <w:r>
        <w:rPr>
          <w:color w:val="000000" w:themeColor="text1"/>
          <w:sz w:val="24"/>
          <w:szCs w:val="20"/>
          <w:lang w:bidi="ar"/>
          <w14:textFill>
            <w14:solidFill>
              <w14:schemeClr w14:val="tx1"/>
            </w14:solidFill>
          </w14:textFill>
        </w:rPr>
        <w:t>本期项目施工机具主要使用柴油等燃料燃烧，废气中主要空气污染成分有SO</w:t>
      </w:r>
      <w:r>
        <w:rPr>
          <w:color w:val="000000" w:themeColor="text1"/>
          <w:sz w:val="24"/>
          <w:szCs w:val="20"/>
          <w:vertAlign w:val="subscript"/>
          <w:lang w:bidi="ar"/>
          <w14:textFill>
            <w14:solidFill>
              <w14:schemeClr w14:val="tx1"/>
            </w14:solidFill>
          </w14:textFill>
        </w:rPr>
        <w:t>2</w:t>
      </w:r>
      <w:r>
        <w:rPr>
          <w:color w:val="000000" w:themeColor="text1"/>
          <w:sz w:val="24"/>
          <w:szCs w:val="20"/>
          <w:lang w:bidi="ar"/>
          <w14:textFill>
            <w14:solidFill>
              <w14:schemeClr w14:val="tx1"/>
            </w14:solidFill>
          </w14:textFill>
        </w:rPr>
        <w:t>、NO</w:t>
      </w:r>
      <w:r>
        <w:rPr>
          <w:color w:val="000000" w:themeColor="text1"/>
          <w:sz w:val="24"/>
          <w:szCs w:val="20"/>
          <w:vertAlign w:val="subscript"/>
          <w:lang w:bidi="ar"/>
          <w14:textFill>
            <w14:solidFill>
              <w14:schemeClr w14:val="tx1"/>
            </w14:solidFill>
          </w14:textFill>
        </w:rPr>
        <w:t>x</w:t>
      </w:r>
      <w:r>
        <w:rPr>
          <w:color w:val="000000" w:themeColor="text1"/>
          <w:sz w:val="24"/>
          <w:szCs w:val="20"/>
          <w:lang w:bidi="ar"/>
          <w14:textFill>
            <w14:solidFill>
              <w14:schemeClr w14:val="tx1"/>
            </w14:solidFill>
          </w14:textFill>
        </w:rPr>
        <w:t>、烃类和CO，</w:t>
      </w:r>
      <w:r>
        <w:rPr>
          <w:rFonts w:hint="eastAsia"/>
          <w:color w:val="000000" w:themeColor="text1"/>
          <w:sz w:val="24"/>
          <w:szCs w:val="20"/>
          <w:lang w:eastAsia="zh-CN" w:bidi="ar"/>
          <w14:textFill>
            <w14:solidFill>
              <w14:schemeClr w14:val="tx1"/>
            </w14:solidFill>
          </w14:textFill>
        </w:rPr>
        <w:t>本项目</w:t>
      </w:r>
      <w:r>
        <w:rPr>
          <w:color w:val="000000" w:themeColor="text1"/>
          <w:sz w:val="24"/>
          <w:szCs w:val="20"/>
          <w:lang w:bidi="ar"/>
          <w14:textFill>
            <w14:solidFill>
              <w14:schemeClr w14:val="tx1"/>
            </w14:solidFill>
          </w14:textFill>
        </w:rPr>
        <w:t>施工期较短。因此仅会对施工机具使用集中区造成短期影响，对整个区域的环境空气质量影响较小。</w:t>
      </w:r>
    </w:p>
    <w:p w14:paraId="42A69AEF">
      <w:pPr>
        <w:pStyle w:val="4"/>
        <w:spacing w:before="60" w:after="60" w:line="480" w:lineRule="exact"/>
        <w:rPr>
          <w:rFonts w:hint="eastAsia" w:eastAsia="宋体"/>
          <w:color w:val="000000" w:themeColor="text1"/>
          <w:kern w:val="2"/>
          <w:lang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5</w:t>
      </w:r>
      <w:r>
        <w:rPr>
          <w:color w:val="000000" w:themeColor="text1"/>
          <w:kern w:val="2"/>
          <w14:textFill>
            <w14:solidFill>
              <w14:schemeClr w14:val="tx1"/>
            </w14:solidFill>
          </w14:textFill>
        </w:rPr>
        <w:t>.1.</w:t>
      </w:r>
      <w:r>
        <w:rPr>
          <w:rFonts w:hint="eastAsia"/>
          <w:color w:val="000000" w:themeColor="text1"/>
          <w:kern w:val="2"/>
          <w:lang w:val="en-US" w:eastAsia="zh-CN"/>
          <w14:textFill>
            <w14:solidFill>
              <w14:schemeClr w14:val="tx1"/>
            </w14:solidFill>
          </w14:textFill>
        </w:rPr>
        <w:t>3</w:t>
      </w:r>
      <w:r>
        <w:rPr>
          <w:rFonts w:hint="eastAsia"/>
          <w:color w:val="000000" w:themeColor="text1"/>
          <w:kern w:val="2"/>
          <w:lang w:eastAsia="zh-CN"/>
          <w14:textFill>
            <w14:solidFill>
              <w14:schemeClr w14:val="tx1"/>
            </w14:solidFill>
          </w14:textFill>
        </w:rPr>
        <w:t>施工期水环境影响分析</w:t>
      </w:r>
    </w:p>
    <w:p w14:paraId="1D51890B">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（1）施工废水主要来源</w:t>
      </w:r>
    </w:p>
    <w:p w14:paraId="1EAB9575">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①施工人员产生的少量生活污水，主要污染物为</w:t>
      </w:r>
      <w:r>
        <w:rPr>
          <w:color w:val="000000" w:themeColor="text1"/>
          <w:kern w:val="0"/>
          <w:sz w:val="24"/>
          <w:szCs w:val="28"/>
          <w14:textFill>
            <w14:solidFill>
              <w14:schemeClr w14:val="tx1"/>
            </w14:solidFill>
          </w14:textFill>
        </w:rPr>
        <w:t>SS、BOD</w:t>
      </w:r>
      <w:r>
        <w:rPr>
          <w:color w:val="000000" w:themeColor="text1"/>
          <w:kern w:val="0"/>
          <w:sz w:val="24"/>
          <w:szCs w:val="28"/>
          <w:vertAlign w:val="subscript"/>
          <w14:textFill>
            <w14:solidFill>
              <w14:schemeClr w14:val="tx1"/>
            </w14:solidFill>
          </w14:textFill>
        </w:rPr>
        <w:t>5</w:t>
      </w:r>
      <w:r>
        <w:rPr>
          <w:color w:val="000000" w:themeColor="text1"/>
          <w:kern w:val="0"/>
          <w:sz w:val="24"/>
          <w:szCs w:val="28"/>
          <w14:textFill>
            <w14:solidFill>
              <w14:schemeClr w14:val="tx1"/>
            </w14:solidFill>
          </w14:textFill>
        </w:rPr>
        <w:t>、COD</w:t>
      </w:r>
      <w:r>
        <w:rPr>
          <w:rFonts w:hint="eastAsia"/>
          <w:color w:val="000000" w:themeColor="text1"/>
          <w:kern w:val="0"/>
          <w:sz w:val="24"/>
          <w:szCs w:val="28"/>
          <w14:textFill>
            <w14:solidFill>
              <w14:schemeClr w14:val="tx1"/>
            </w14:solidFill>
          </w14:textFill>
        </w:rPr>
        <w:t>、氨氮</w:t>
      </w:r>
      <w:r>
        <w:rPr>
          <w:color w:val="000000" w:themeColor="text1"/>
          <w:kern w:val="0"/>
          <w:sz w:val="24"/>
          <w:szCs w:val="28"/>
          <w14:textFill>
            <w14:solidFill>
              <w14:schemeClr w14:val="tx1"/>
            </w14:solidFill>
          </w14:textFill>
        </w:rPr>
        <w:t>等</w:t>
      </w:r>
      <w:r>
        <w:rPr>
          <w:color w:val="000000" w:themeColor="text1"/>
          <w:kern w:val="0"/>
          <w:sz w:val="24"/>
          <w:lang w:val="zh-CN"/>
          <w14:textFill>
            <w14:solidFill>
              <w14:schemeClr w14:val="tx1"/>
            </w14:solidFill>
          </w14:textFill>
        </w:rPr>
        <w:t>；</w:t>
      </w:r>
    </w:p>
    <w:p w14:paraId="22C40E72">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②建筑材料</w:t>
      </w:r>
      <w:r>
        <w:rPr>
          <w:rFonts w:hint="eastAsia"/>
          <w:color w:val="000000" w:themeColor="text1"/>
          <w:kern w:val="0"/>
          <w:sz w:val="24"/>
          <w:lang w:val="en-US" w:eastAsia="zh-CN"/>
          <w14:textFill>
            <w14:solidFill>
              <w14:schemeClr w14:val="tx1"/>
            </w14:solidFill>
          </w14:textFill>
        </w:rPr>
        <w:t>拌和</w:t>
      </w:r>
      <w:r>
        <w:rPr>
          <w:color w:val="000000" w:themeColor="text1"/>
          <w:kern w:val="0"/>
          <w:sz w:val="24"/>
          <w:lang w:val="zh-CN"/>
          <w14:textFill>
            <w14:solidFill>
              <w14:schemeClr w14:val="tx1"/>
            </w14:solidFill>
          </w14:textFill>
        </w:rPr>
        <w:t>溢流水；</w:t>
      </w:r>
    </w:p>
    <w:p w14:paraId="5FD74948">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③砂石、水泥搅拌机等施工设备冲洗过程产生的废水；</w:t>
      </w:r>
    </w:p>
    <w:p w14:paraId="6968C2E8">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④废水中含固体杂质较多，以泥沙为主。这类废水一般在施工现场以自然蒸发为主。</w:t>
      </w:r>
    </w:p>
    <w:p w14:paraId="5EED89EE">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（2）施工废水影响</w:t>
      </w:r>
    </w:p>
    <w:p w14:paraId="192D43C7">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rFonts w:hint="eastAsia"/>
          <w:color w:val="000000" w:themeColor="text1"/>
          <w:kern w:val="0"/>
          <w:sz w:val="24"/>
          <w:lang w:val="zh-CN"/>
          <w14:textFill>
            <w14:solidFill>
              <w14:schemeClr w14:val="tx1"/>
            </w14:solidFill>
          </w14:textFill>
        </w:rPr>
        <w:t>本项目</w:t>
      </w:r>
      <w:r>
        <w:rPr>
          <w:color w:val="000000" w:themeColor="text1"/>
          <w:kern w:val="0"/>
          <w:sz w:val="24"/>
          <w:lang w:val="zh-CN"/>
          <w14:textFill>
            <w14:solidFill>
              <w14:schemeClr w14:val="tx1"/>
            </w14:solidFill>
          </w14:textFill>
        </w:rPr>
        <w:t>施工高峰期可达到</w:t>
      </w:r>
      <w:r>
        <w:rPr>
          <w:rFonts w:hint="eastAsia"/>
          <w:color w:val="000000" w:themeColor="text1"/>
          <w:kern w:val="0"/>
          <w:sz w:val="24"/>
          <w14:textFill>
            <w14:solidFill>
              <w14:schemeClr w14:val="tx1"/>
            </w14:solidFill>
          </w14:textFill>
        </w:rPr>
        <w:t>50</w:t>
      </w:r>
      <w:r>
        <w:rPr>
          <w:color w:val="000000" w:themeColor="text1"/>
          <w:kern w:val="0"/>
          <w:sz w:val="24"/>
          <w:lang w:val="zh-CN"/>
          <w14:textFill>
            <w14:solidFill>
              <w14:schemeClr w14:val="tx1"/>
            </w14:solidFill>
          </w14:textFill>
        </w:rPr>
        <w:t>人，产生生活污水量为</w:t>
      </w:r>
      <w:r>
        <w:rPr>
          <w:rFonts w:hint="eastAsia"/>
          <w:color w:val="000000" w:themeColor="text1"/>
          <w:kern w:val="0"/>
          <w:sz w:val="24"/>
          <w14:textFill>
            <w14:solidFill>
              <w14:schemeClr w14:val="tx1"/>
            </w14:solidFill>
          </w14:textFill>
        </w:rPr>
        <w:t>4.0</w:t>
      </w:r>
      <w:r>
        <w:rPr>
          <w:color w:val="000000" w:themeColor="text1"/>
          <w:kern w:val="0"/>
          <w:sz w:val="24"/>
          <w:lang w:val="zh-CN"/>
          <w14:textFill>
            <w14:solidFill>
              <w14:schemeClr w14:val="tx1"/>
            </w14:solidFill>
          </w14:textFill>
        </w:rPr>
        <w:t>m</w:t>
      </w:r>
      <w:r>
        <w:rPr>
          <w:color w:val="000000" w:themeColor="text1"/>
          <w:kern w:val="0"/>
          <w:sz w:val="24"/>
          <w:vertAlign w:val="superscript"/>
          <w:lang w:val="zh-CN"/>
          <w14:textFill>
            <w14:solidFill>
              <w14:schemeClr w14:val="tx1"/>
            </w14:solidFill>
          </w14:textFill>
        </w:rPr>
        <w:t>3</w:t>
      </w:r>
      <w:r>
        <w:rPr>
          <w:color w:val="000000" w:themeColor="text1"/>
          <w:kern w:val="0"/>
          <w:sz w:val="24"/>
          <w:lang w:val="zh-CN"/>
          <w14:textFill>
            <w14:solidFill>
              <w14:schemeClr w14:val="tx1"/>
            </w14:solidFill>
          </w14:textFill>
        </w:rPr>
        <w:t>/d</w:t>
      </w:r>
      <w:r>
        <w:rPr>
          <w:color w:val="000000" w:themeColor="text1"/>
          <w:sz w:val="24"/>
          <w:szCs w:val="24"/>
          <w14:textFill>
            <w14:solidFill>
              <w14:schemeClr w14:val="tx1"/>
            </w14:solidFill>
          </w14:textFill>
        </w:rPr>
        <w:t>，主要污染物为</w:t>
      </w:r>
      <w:r>
        <w:rPr>
          <w:color w:val="000000" w:themeColor="text1"/>
          <w:kern w:val="0"/>
          <w:sz w:val="24"/>
          <w:szCs w:val="28"/>
          <w14:textFill>
            <w14:solidFill>
              <w14:schemeClr w14:val="tx1"/>
            </w14:solidFill>
          </w14:textFill>
        </w:rPr>
        <w:t>SS、BOD</w:t>
      </w:r>
      <w:r>
        <w:rPr>
          <w:color w:val="000000" w:themeColor="text1"/>
          <w:kern w:val="0"/>
          <w:sz w:val="24"/>
          <w:szCs w:val="28"/>
          <w:vertAlign w:val="subscript"/>
          <w14:textFill>
            <w14:solidFill>
              <w14:schemeClr w14:val="tx1"/>
            </w14:solidFill>
          </w14:textFill>
        </w:rPr>
        <w:t>5</w:t>
      </w:r>
      <w:r>
        <w:rPr>
          <w:color w:val="000000" w:themeColor="text1"/>
          <w:kern w:val="0"/>
          <w:sz w:val="24"/>
          <w:szCs w:val="28"/>
          <w14:textFill>
            <w14:solidFill>
              <w14:schemeClr w14:val="tx1"/>
            </w14:solidFill>
          </w14:textFill>
        </w:rPr>
        <w:t>、COD</w:t>
      </w:r>
      <w:r>
        <w:rPr>
          <w:rFonts w:hint="eastAsia"/>
          <w:color w:val="000000" w:themeColor="text1"/>
          <w:kern w:val="0"/>
          <w:sz w:val="24"/>
          <w:szCs w:val="28"/>
          <w14:textFill>
            <w14:solidFill>
              <w14:schemeClr w14:val="tx1"/>
            </w14:solidFill>
          </w14:textFill>
        </w:rPr>
        <w:t>、氨氮</w:t>
      </w:r>
      <w:r>
        <w:rPr>
          <w:color w:val="000000" w:themeColor="text1"/>
          <w:kern w:val="0"/>
          <w:sz w:val="24"/>
          <w:szCs w:val="28"/>
          <w14:textFill>
            <w14:solidFill>
              <w14:schemeClr w14:val="tx1"/>
            </w14:solidFill>
          </w14:textFill>
        </w:rPr>
        <w:t>等</w:t>
      </w:r>
      <w:r>
        <w:rPr>
          <w:color w:val="000000" w:themeColor="text1"/>
          <w:sz w:val="24"/>
          <w:szCs w:val="24"/>
          <w14:textFill>
            <w14:solidFill>
              <w14:schemeClr w14:val="tx1"/>
            </w14:solidFill>
          </w14:textFill>
        </w:rPr>
        <w:t>，</w:t>
      </w:r>
      <w:r>
        <w:rPr>
          <w:color w:val="000000" w:themeColor="text1"/>
          <w:kern w:val="0"/>
          <w:sz w:val="24"/>
          <w:lang w:val="zh-CN"/>
          <w14:textFill>
            <w14:solidFill>
              <w14:schemeClr w14:val="tx1"/>
            </w14:solidFill>
          </w14:textFill>
        </w:rPr>
        <w:t>项目施工污水处置不当会对施工场地周围产生短时间的不良影响，具体影响如下：</w:t>
      </w:r>
    </w:p>
    <w:p w14:paraId="73B174CF">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①施工车辆、施工机械的洗涤水含有较高的悬浮物，直接排放将会使土壤受到一定程度的污染。</w:t>
      </w:r>
    </w:p>
    <w:p w14:paraId="718A47A2">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②若施工污水任其随意排放，会影响施工场地周围的视觉景观及散发臭气。因此，必须采取有效措施杜绝施工污水的环境影响问题。</w:t>
      </w:r>
    </w:p>
    <w:p w14:paraId="72704215">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③</w:t>
      </w:r>
      <w:r>
        <w:rPr>
          <w:rFonts w:hint="eastAsia"/>
          <w:color w:val="000000" w:themeColor="text1"/>
          <w:kern w:val="0"/>
          <w:sz w:val="24"/>
          <w14:textFill>
            <w14:solidFill>
              <w14:schemeClr w14:val="tx1"/>
            </w14:solidFill>
          </w14:textFill>
        </w:rPr>
        <w:t>施工废水乱排乱弃，可能导致</w:t>
      </w:r>
      <w:r>
        <w:rPr>
          <w:rFonts w:hint="eastAsia"/>
          <w:color w:val="000000" w:themeColor="text1"/>
          <w:sz w:val="24"/>
          <w14:textFill>
            <w14:solidFill>
              <w14:schemeClr w14:val="tx1"/>
            </w14:solidFill>
          </w14:textFill>
        </w:rPr>
        <w:t>土壤污染及地下水污染。</w:t>
      </w:r>
    </w:p>
    <w:p w14:paraId="6AD2D930">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baseline"/>
        <w:rPr>
          <w:rFonts w:ascii="Times New Roman" w:hAnsi="Times New Roman" w:eastAsia="宋体" w:cs="Times New Roman"/>
          <w:color w:val="000000" w:themeColor="text1"/>
          <w:sz w:val="24"/>
          <w:szCs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④</w:t>
      </w:r>
      <w:r>
        <w:rPr>
          <w:color w:val="000000" w:themeColor="text1"/>
          <w:kern w:val="0"/>
          <w:sz w:val="24"/>
          <w14:textFill>
            <w14:solidFill>
              <w14:schemeClr w14:val="tx1"/>
            </w14:solidFill>
          </w14:textFill>
        </w:rPr>
        <w:t>施工期生活污水日均量较小，</w:t>
      </w:r>
      <w:r>
        <w:rPr>
          <w:rFonts w:hint="eastAsia"/>
          <w:color w:val="000000" w:themeColor="text1"/>
          <w:kern w:val="0"/>
          <w:sz w:val="24"/>
          <w14:textFill>
            <w14:solidFill>
              <w14:schemeClr w14:val="tx1"/>
            </w14:solidFill>
          </w14:textFill>
        </w:rPr>
        <w:t>生活污水依托矿山现有的</w:t>
      </w:r>
      <w:r>
        <w:rPr>
          <w:color w:val="000000" w:themeColor="text1"/>
          <w:kern w:val="0"/>
          <w:sz w:val="24"/>
          <w14:textFill>
            <w14:solidFill>
              <w14:schemeClr w14:val="tx1"/>
            </w14:solidFill>
          </w14:textFill>
        </w:rPr>
        <w:t>地埋式一体化生活污水处理设施处理，处理达标后</w:t>
      </w:r>
      <w:r>
        <w:rPr>
          <w:rFonts w:hint="eastAsia"/>
          <w:color w:val="000000" w:themeColor="text1"/>
          <w:kern w:val="0"/>
          <w:sz w:val="24"/>
          <w14:textFill>
            <w14:solidFill>
              <w14:schemeClr w14:val="tx1"/>
            </w14:solidFill>
          </w14:textFill>
        </w:rPr>
        <w:t>用于矿区绿化</w:t>
      </w:r>
      <w:r>
        <w:rPr>
          <w:color w:val="000000" w:themeColor="text1"/>
          <w:kern w:val="0"/>
          <w:sz w:val="24"/>
          <w14:textFill>
            <w14:solidFill>
              <w14:schemeClr w14:val="tx1"/>
            </w14:solidFill>
          </w14:textFill>
        </w:rPr>
        <w:t>。</w:t>
      </w:r>
    </w:p>
    <w:p w14:paraId="622A3A1D">
      <w:pPr>
        <w:pStyle w:val="4"/>
        <w:spacing w:before="60" w:after="60" w:line="480" w:lineRule="exact"/>
        <w:rPr>
          <w:rFonts w:hint="eastAsia" w:eastAsia="宋体"/>
          <w:color w:val="000000" w:themeColor="text1"/>
          <w:kern w:val="2"/>
          <w:lang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5</w:t>
      </w:r>
      <w:r>
        <w:rPr>
          <w:color w:val="000000" w:themeColor="text1"/>
          <w:kern w:val="2"/>
          <w14:textFill>
            <w14:solidFill>
              <w14:schemeClr w14:val="tx1"/>
            </w14:solidFill>
          </w14:textFill>
        </w:rPr>
        <w:t>.1.</w:t>
      </w:r>
      <w:r>
        <w:rPr>
          <w:rFonts w:hint="eastAsia"/>
          <w:color w:val="000000" w:themeColor="text1"/>
          <w:kern w:val="2"/>
          <w:lang w:val="en-US" w:eastAsia="zh-CN"/>
          <w14:textFill>
            <w14:solidFill>
              <w14:schemeClr w14:val="tx1"/>
            </w14:solidFill>
          </w14:textFill>
        </w:rPr>
        <w:t>4</w:t>
      </w:r>
      <w:r>
        <w:rPr>
          <w:rFonts w:hint="eastAsia"/>
          <w:color w:val="000000" w:themeColor="text1"/>
          <w:kern w:val="2"/>
          <w:lang w:eastAsia="zh-CN"/>
          <w14:textFill>
            <w14:solidFill>
              <w14:schemeClr w14:val="tx1"/>
            </w14:solidFill>
          </w14:textFill>
        </w:rPr>
        <w:t>施工期声环境影响分析</w:t>
      </w:r>
    </w:p>
    <w:p w14:paraId="1DF7133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（1）噪声源强及特点</w:t>
      </w:r>
    </w:p>
    <w:p w14:paraId="61D5A3B2">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筑施工在不同的阶段产生的噪声具有各自的噪声特性，土方阶段噪声源主要有挖掘机、推土机、装载机和各种运输车辆，基本为移动式声源，无明显指向性；基础阶段噪声源主要有各种压桩机、平地车、移动式空气压缩机和风镐等，基本属固定声源，其中压桩机是强噪声源，为周期性脉冲声源，具有明显的指向性；结构阶段是建筑施工中周期最长的阶段，使用设备较多，是噪声重点控制阶段，主要噪声源包括各种运输设备、吊车等，多属于撞击噪声，无明显指向性；装修阶段施工时间较长，但声源数量较少。在实际施工过程中，往往是各种机械同时工作，各种噪声源的声能量相互</w:t>
      </w:r>
      <w:r>
        <w:rPr>
          <w:rFonts w:hint="eastAsia"/>
          <w:color w:val="000000" w:themeColor="text1"/>
          <w:sz w:val="24"/>
          <w:szCs w:val="24"/>
          <w:lang w:val="en-US" w:eastAsia="zh-CN"/>
          <w14:textFill>
            <w14:solidFill>
              <w14:schemeClr w14:val="tx1"/>
            </w14:solidFill>
          </w14:textFill>
        </w:rPr>
        <w:t>叠加</w:t>
      </w:r>
      <w:r>
        <w:rPr>
          <w:color w:val="000000" w:themeColor="text1"/>
          <w:sz w:val="24"/>
          <w:szCs w:val="24"/>
          <w14:textFill>
            <w14:solidFill>
              <w14:schemeClr w14:val="tx1"/>
            </w14:solidFill>
          </w14:textFill>
        </w:rPr>
        <w:t>，噪声级将会更高，辐射面也会更大。</w:t>
      </w:r>
    </w:p>
    <w:p w14:paraId="45A68839">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（2）噪声预测</w:t>
      </w:r>
    </w:p>
    <w:p w14:paraId="4AF3342D">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由于施工过程中，各类施工机械可处于施工区内任意位置，但在某一时段内其位置相对固定，对外界环境的影响可用半自由声场点声源几何发散衰减公式计算：</w:t>
      </w:r>
    </w:p>
    <w:p w14:paraId="3F5A16E7">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anchor distT="0" distB="0" distL="114300" distR="114300" simplePos="0" relativeHeight="251663360" behindDoc="0" locked="0" layoutInCell="1" allowOverlap="1">
            <wp:simplePos x="0" y="0"/>
            <wp:positionH relativeFrom="column">
              <wp:posOffset>1313815</wp:posOffset>
            </wp:positionH>
            <wp:positionV relativeFrom="paragraph">
              <wp:posOffset>83820</wp:posOffset>
            </wp:positionV>
            <wp:extent cx="2556510" cy="252730"/>
            <wp:effectExtent l="0" t="0" r="0" b="14605"/>
            <wp:wrapNone/>
            <wp:docPr id="175" name="Picture 476"/>
            <wp:cNvGraphicFramePr/>
            <a:graphic xmlns:a="http://schemas.openxmlformats.org/drawingml/2006/main">
              <a:graphicData uri="http://schemas.openxmlformats.org/drawingml/2006/picture">
                <pic:pic xmlns:pic="http://schemas.openxmlformats.org/drawingml/2006/picture">
                  <pic:nvPicPr>
                    <pic:cNvPr id="175" name="Picture 476"/>
                    <pic:cNvPicPr/>
                  </pic:nvPicPr>
                  <pic:blipFill>
                    <a:blip r:embed="rId51"/>
                    <a:stretch>
                      <a:fillRect/>
                    </a:stretch>
                  </pic:blipFill>
                  <pic:spPr>
                    <a:xfrm>
                      <a:off x="0" y="0"/>
                      <a:ext cx="2556510" cy="252730"/>
                    </a:xfrm>
                    <a:prstGeom prst="rect">
                      <a:avLst/>
                    </a:prstGeom>
                    <a:noFill/>
                    <a:ln>
                      <a:noFill/>
                    </a:ln>
                  </pic:spPr>
                </pic:pic>
              </a:graphicData>
            </a:graphic>
          </wp:anchor>
        </w:drawing>
      </w:r>
      <w:r>
        <w:rPr>
          <w:color w:val="000000" w:themeColor="text1"/>
          <w:sz w:val="24"/>
          <w:szCs w:val="24"/>
          <w14:textFill>
            <w14:solidFill>
              <w14:schemeClr w14:val="tx1"/>
            </w14:solidFill>
          </w14:textFill>
        </w:rPr>
        <w:t></w:t>
      </w:r>
    </w:p>
    <w:p w14:paraId="62AAB071">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式中：Lp（r）—受声点声压级，dB（A）；</w:t>
      </w:r>
    </w:p>
    <w:p w14:paraId="6C5258B3">
      <w:pPr>
        <w:keepNext w:val="0"/>
        <w:keepLines w:val="0"/>
        <w:pageBreakBefore w:val="0"/>
        <w:kinsoku/>
        <w:wordWrap/>
        <w:overflowPunct/>
        <w:topLinePunct w:val="0"/>
        <w:autoSpaceDE/>
        <w:autoSpaceDN/>
        <w:bidi w:val="0"/>
        <w:adjustRightInd/>
        <w:snapToGrid/>
        <w:spacing w:line="480" w:lineRule="exact"/>
        <w:ind w:firstLine="1200" w:firstLineChars="5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L（r</w:t>
      </w:r>
      <w:r>
        <w:rPr>
          <w:color w:val="000000" w:themeColor="text1"/>
          <w:sz w:val="24"/>
          <w:szCs w:val="24"/>
          <w:vertAlign w:val="subscript"/>
          <w14:textFill>
            <w14:solidFill>
              <w14:schemeClr w14:val="tx1"/>
            </w14:solidFill>
          </w14:textFill>
        </w:rPr>
        <w:t>0</w:t>
      </w:r>
      <w:r>
        <w:rPr>
          <w:color w:val="000000" w:themeColor="text1"/>
          <w:sz w:val="24"/>
          <w:szCs w:val="24"/>
          <w14:textFill>
            <w14:solidFill>
              <w14:schemeClr w14:val="tx1"/>
            </w14:solidFill>
          </w14:textFill>
        </w:rPr>
        <w:t>）—参考点r</w:t>
      </w:r>
      <w:r>
        <w:rPr>
          <w:color w:val="000000" w:themeColor="text1"/>
          <w:sz w:val="24"/>
          <w:szCs w:val="24"/>
          <w:vertAlign w:val="subscript"/>
          <w14:textFill>
            <w14:solidFill>
              <w14:schemeClr w14:val="tx1"/>
            </w14:solidFill>
          </w14:textFill>
        </w:rPr>
        <w:t>0</w:t>
      </w:r>
      <w:r>
        <w:rPr>
          <w:color w:val="000000" w:themeColor="text1"/>
          <w:sz w:val="24"/>
          <w:szCs w:val="24"/>
          <w14:textFill>
            <w14:solidFill>
              <w14:schemeClr w14:val="tx1"/>
            </w14:solidFill>
          </w14:textFill>
        </w:rPr>
        <w:t>处声压级，d</w:t>
      </w:r>
      <w:r>
        <w:rPr>
          <w:rFonts w:hint="eastAsia"/>
          <w:color w:val="000000" w:themeColor="text1"/>
          <w:sz w:val="24"/>
          <w:szCs w:val="24"/>
          <w:lang w:val="en-US" w:eastAsia="zh-CN"/>
          <w14:textFill>
            <w14:solidFill>
              <w14:schemeClr w14:val="tx1"/>
            </w14:solidFill>
          </w14:textFill>
        </w:rPr>
        <w:t>B</w:t>
      </w:r>
      <w:r>
        <w:rPr>
          <w:color w:val="000000" w:themeColor="text1"/>
          <w:sz w:val="24"/>
          <w:szCs w:val="24"/>
          <w14:textFill>
            <w14:solidFill>
              <w14:schemeClr w14:val="tx1"/>
            </w14:solidFill>
          </w14:textFill>
        </w:rPr>
        <w:t>（A）；</w:t>
      </w:r>
    </w:p>
    <w:p w14:paraId="36067C6B">
      <w:pPr>
        <w:keepNext w:val="0"/>
        <w:keepLines w:val="0"/>
        <w:pageBreakBefore w:val="0"/>
        <w:kinsoku/>
        <w:wordWrap/>
        <w:overflowPunct/>
        <w:topLinePunct w:val="0"/>
        <w:autoSpaceDE/>
        <w:autoSpaceDN/>
        <w:bidi w:val="0"/>
        <w:adjustRightInd/>
        <w:snapToGrid/>
        <w:spacing w:line="480" w:lineRule="exact"/>
        <w:ind w:firstLine="1200" w:firstLineChars="5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r—受声点至声源距离，m；</w:t>
      </w:r>
    </w:p>
    <w:p w14:paraId="377A9FD5">
      <w:pPr>
        <w:keepNext w:val="0"/>
        <w:keepLines w:val="0"/>
        <w:pageBreakBefore w:val="0"/>
        <w:kinsoku/>
        <w:wordWrap/>
        <w:overflowPunct/>
        <w:topLinePunct w:val="0"/>
        <w:autoSpaceDE/>
        <w:autoSpaceDN/>
        <w:bidi w:val="0"/>
        <w:adjustRightInd/>
        <w:snapToGrid/>
        <w:spacing w:line="480" w:lineRule="exact"/>
        <w:ind w:firstLine="1200" w:firstLineChars="5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r</w:t>
      </w:r>
      <w:r>
        <w:rPr>
          <w:color w:val="000000" w:themeColor="text1"/>
          <w:sz w:val="24"/>
          <w:szCs w:val="24"/>
          <w:vertAlign w:val="subscript"/>
          <w14:textFill>
            <w14:solidFill>
              <w14:schemeClr w14:val="tx1"/>
            </w14:solidFill>
          </w14:textFill>
        </w:rPr>
        <w:t>0</w:t>
      </w:r>
      <w:r>
        <w:rPr>
          <w:color w:val="000000" w:themeColor="text1"/>
          <w:sz w:val="24"/>
          <w:szCs w:val="24"/>
          <w14:textFill>
            <w14:solidFill>
              <w14:schemeClr w14:val="tx1"/>
            </w14:solidFill>
          </w14:textFill>
        </w:rPr>
        <w:t>—参考点至声源距离，m。</w:t>
      </w:r>
    </w:p>
    <w:p w14:paraId="0F9D5973">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周围区域声环境功能为《声环境质量标准》（GB3906-2008）中2类区，因此建设项目周围区域声环境功能执行《声环境质量标准》（GB3906-2008）中2类标准，即昼间、夜间环境噪声执行的标准分别为60B（A）、50dB（A），据此计算各类施工机械辐射的噪声对周围区域声环境的影响距离，本次预测采用设备最大声级计算，计算结果见表5.1-4。</w:t>
      </w:r>
    </w:p>
    <w:p w14:paraId="73F15F5B">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000000" w:themeColor="text1"/>
          <w:sz w:val="24"/>
          <w:szCs w:val="24"/>
          <w:lang w:val="zh-CN"/>
          <w14:textFill>
            <w14:solidFill>
              <w14:schemeClr w14:val="tx1"/>
            </w14:solidFill>
          </w14:textFill>
        </w:rPr>
      </w:pPr>
    </w:p>
    <w:p w14:paraId="360A44C0">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color w:val="000000" w:themeColor="text1"/>
          <w:sz w:val="24"/>
          <w:szCs w:val="24"/>
          <w:lang w:val="zh-CN"/>
          <w14:textFill>
            <w14:solidFill>
              <w14:schemeClr w14:val="tx1"/>
            </w14:solidFill>
          </w14:textFill>
        </w:rPr>
      </w:pPr>
    </w:p>
    <w:p w14:paraId="78480E6A">
      <w:pPr>
        <w:spacing w:line="480" w:lineRule="exact"/>
        <w:jc w:val="center"/>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表5.1-4    主要施工机械的噪声级     单位：dB（A）</w:t>
      </w:r>
    </w:p>
    <w:tbl>
      <w:tblPr>
        <w:tblStyle w:val="7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710"/>
        <w:gridCol w:w="712"/>
        <w:gridCol w:w="711"/>
        <w:gridCol w:w="711"/>
        <w:gridCol w:w="711"/>
        <w:gridCol w:w="711"/>
        <w:gridCol w:w="711"/>
        <w:gridCol w:w="711"/>
        <w:gridCol w:w="711"/>
        <w:gridCol w:w="719"/>
      </w:tblGrid>
      <w:tr w14:paraId="6D0D6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3" w:type="pct"/>
            <w:vMerge w:val="restart"/>
            <w:noWrap w:val="0"/>
            <w:vAlign w:val="center"/>
          </w:tcPr>
          <w:p w14:paraId="1BD4197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机械名称</w:t>
            </w:r>
          </w:p>
        </w:tc>
        <w:tc>
          <w:tcPr>
            <w:tcW w:w="4176" w:type="pct"/>
            <w:gridSpan w:val="10"/>
            <w:noWrap w:val="0"/>
            <w:vAlign w:val="center"/>
          </w:tcPr>
          <w:p w14:paraId="4429178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离开施工机械的距离（m）</w:t>
            </w:r>
          </w:p>
        </w:tc>
      </w:tr>
      <w:tr w14:paraId="23F26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3" w:type="pct"/>
            <w:vMerge w:val="continue"/>
            <w:noWrap w:val="0"/>
            <w:vAlign w:val="center"/>
          </w:tcPr>
          <w:p w14:paraId="12D089E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417" w:type="pct"/>
            <w:noWrap w:val="0"/>
            <w:vAlign w:val="center"/>
          </w:tcPr>
          <w:p w14:paraId="2EF6DAC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1</w:t>
            </w:r>
          </w:p>
        </w:tc>
        <w:tc>
          <w:tcPr>
            <w:tcW w:w="418" w:type="pct"/>
            <w:noWrap w:val="0"/>
            <w:vAlign w:val="center"/>
          </w:tcPr>
          <w:p w14:paraId="743A0AB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10</w:t>
            </w:r>
          </w:p>
        </w:tc>
        <w:tc>
          <w:tcPr>
            <w:tcW w:w="417" w:type="pct"/>
            <w:noWrap w:val="0"/>
            <w:vAlign w:val="center"/>
          </w:tcPr>
          <w:p w14:paraId="12009C6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20</w:t>
            </w:r>
          </w:p>
        </w:tc>
        <w:tc>
          <w:tcPr>
            <w:tcW w:w="417" w:type="pct"/>
            <w:noWrap w:val="0"/>
            <w:vAlign w:val="center"/>
          </w:tcPr>
          <w:p w14:paraId="2E34C6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40</w:t>
            </w:r>
          </w:p>
        </w:tc>
        <w:tc>
          <w:tcPr>
            <w:tcW w:w="417" w:type="pct"/>
            <w:noWrap w:val="0"/>
            <w:vAlign w:val="center"/>
          </w:tcPr>
          <w:p w14:paraId="28A263B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60</w:t>
            </w:r>
          </w:p>
        </w:tc>
        <w:tc>
          <w:tcPr>
            <w:tcW w:w="417" w:type="pct"/>
            <w:noWrap w:val="0"/>
            <w:vAlign w:val="center"/>
          </w:tcPr>
          <w:p w14:paraId="50AB32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80</w:t>
            </w:r>
          </w:p>
        </w:tc>
        <w:tc>
          <w:tcPr>
            <w:tcW w:w="417" w:type="pct"/>
            <w:noWrap w:val="0"/>
            <w:vAlign w:val="center"/>
          </w:tcPr>
          <w:p w14:paraId="1669BD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100</w:t>
            </w:r>
          </w:p>
        </w:tc>
        <w:tc>
          <w:tcPr>
            <w:tcW w:w="417" w:type="pct"/>
            <w:noWrap w:val="0"/>
            <w:vAlign w:val="center"/>
          </w:tcPr>
          <w:p w14:paraId="77B3289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200</w:t>
            </w:r>
          </w:p>
        </w:tc>
        <w:tc>
          <w:tcPr>
            <w:tcW w:w="417" w:type="pct"/>
            <w:noWrap w:val="0"/>
            <w:vAlign w:val="center"/>
          </w:tcPr>
          <w:p w14:paraId="0B42738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300</w:t>
            </w:r>
          </w:p>
        </w:tc>
        <w:tc>
          <w:tcPr>
            <w:tcW w:w="418" w:type="pct"/>
            <w:noWrap w:val="0"/>
            <w:vAlign w:val="center"/>
          </w:tcPr>
          <w:p w14:paraId="20999B6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2000</w:t>
            </w:r>
          </w:p>
        </w:tc>
      </w:tr>
      <w:tr w14:paraId="789A9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noWrap w:val="0"/>
            <w:vAlign w:val="center"/>
          </w:tcPr>
          <w:p w14:paraId="7E05374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振捣棒</w:t>
            </w:r>
          </w:p>
        </w:tc>
        <w:tc>
          <w:tcPr>
            <w:tcW w:w="417" w:type="pct"/>
            <w:noWrap w:val="0"/>
            <w:vAlign w:val="center"/>
          </w:tcPr>
          <w:p w14:paraId="0A1F95B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w:t>
            </w:r>
          </w:p>
        </w:tc>
        <w:tc>
          <w:tcPr>
            <w:tcW w:w="418" w:type="pct"/>
            <w:noWrap w:val="0"/>
            <w:vAlign w:val="center"/>
          </w:tcPr>
          <w:p w14:paraId="6514FBC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83</w:t>
            </w:r>
          </w:p>
        </w:tc>
        <w:tc>
          <w:tcPr>
            <w:tcW w:w="417" w:type="pct"/>
            <w:noWrap w:val="0"/>
            <w:vAlign w:val="center"/>
          </w:tcPr>
          <w:p w14:paraId="3890E82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76</w:t>
            </w:r>
          </w:p>
        </w:tc>
        <w:tc>
          <w:tcPr>
            <w:tcW w:w="417" w:type="pct"/>
            <w:noWrap w:val="0"/>
            <w:vAlign w:val="center"/>
          </w:tcPr>
          <w:p w14:paraId="28A8C6B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c>
          <w:tcPr>
            <w:tcW w:w="417" w:type="pct"/>
            <w:noWrap w:val="0"/>
            <w:vAlign w:val="center"/>
          </w:tcPr>
          <w:p w14:paraId="5124811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65.5</w:t>
            </w:r>
          </w:p>
        </w:tc>
        <w:tc>
          <w:tcPr>
            <w:tcW w:w="417" w:type="pct"/>
            <w:noWrap w:val="0"/>
            <w:vAlign w:val="center"/>
          </w:tcPr>
          <w:p w14:paraId="6139B59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63</w:t>
            </w:r>
          </w:p>
        </w:tc>
        <w:tc>
          <w:tcPr>
            <w:tcW w:w="417" w:type="pct"/>
            <w:noWrap w:val="0"/>
            <w:vAlign w:val="center"/>
          </w:tcPr>
          <w:p w14:paraId="22BF7F1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61</w:t>
            </w:r>
          </w:p>
        </w:tc>
        <w:tc>
          <w:tcPr>
            <w:tcW w:w="417" w:type="pct"/>
            <w:noWrap w:val="0"/>
            <w:vAlign w:val="center"/>
          </w:tcPr>
          <w:p w14:paraId="31036E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417" w:type="pct"/>
            <w:noWrap w:val="0"/>
            <w:vAlign w:val="center"/>
          </w:tcPr>
          <w:p w14:paraId="7F772D9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51.5</w:t>
            </w:r>
          </w:p>
        </w:tc>
        <w:tc>
          <w:tcPr>
            <w:tcW w:w="418" w:type="pct"/>
            <w:noWrap w:val="0"/>
            <w:vAlign w:val="center"/>
          </w:tcPr>
          <w:p w14:paraId="08D3E1A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35</w:t>
            </w:r>
          </w:p>
        </w:tc>
      </w:tr>
      <w:tr w14:paraId="7F5B6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noWrap w:val="0"/>
            <w:vAlign w:val="center"/>
          </w:tcPr>
          <w:p w14:paraId="154C55A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挖掘机</w:t>
            </w:r>
          </w:p>
        </w:tc>
        <w:tc>
          <w:tcPr>
            <w:tcW w:w="417" w:type="pct"/>
            <w:noWrap w:val="0"/>
            <w:vAlign w:val="center"/>
          </w:tcPr>
          <w:p w14:paraId="7F411BF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w:t>
            </w:r>
          </w:p>
        </w:tc>
        <w:tc>
          <w:tcPr>
            <w:tcW w:w="418" w:type="pct"/>
            <w:noWrap w:val="0"/>
            <w:vAlign w:val="center"/>
          </w:tcPr>
          <w:p w14:paraId="5EB0241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78</w:t>
            </w:r>
          </w:p>
        </w:tc>
        <w:tc>
          <w:tcPr>
            <w:tcW w:w="417" w:type="pct"/>
            <w:noWrap w:val="0"/>
            <w:vAlign w:val="center"/>
          </w:tcPr>
          <w:p w14:paraId="01D5D26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72</w:t>
            </w:r>
          </w:p>
        </w:tc>
        <w:tc>
          <w:tcPr>
            <w:tcW w:w="417" w:type="pct"/>
            <w:noWrap w:val="0"/>
            <w:vAlign w:val="center"/>
          </w:tcPr>
          <w:p w14:paraId="2FBED0A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66</w:t>
            </w:r>
          </w:p>
        </w:tc>
        <w:tc>
          <w:tcPr>
            <w:tcW w:w="417" w:type="pct"/>
            <w:noWrap w:val="0"/>
            <w:vAlign w:val="center"/>
          </w:tcPr>
          <w:p w14:paraId="4255117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62.5</w:t>
            </w:r>
          </w:p>
        </w:tc>
        <w:tc>
          <w:tcPr>
            <w:tcW w:w="417" w:type="pct"/>
            <w:noWrap w:val="0"/>
            <w:vAlign w:val="center"/>
          </w:tcPr>
          <w:p w14:paraId="466BD9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417" w:type="pct"/>
            <w:noWrap w:val="0"/>
            <w:vAlign w:val="center"/>
          </w:tcPr>
          <w:p w14:paraId="0B270D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58</w:t>
            </w:r>
          </w:p>
        </w:tc>
        <w:tc>
          <w:tcPr>
            <w:tcW w:w="417" w:type="pct"/>
            <w:noWrap w:val="0"/>
            <w:vAlign w:val="center"/>
          </w:tcPr>
          <w:p w14:paraId="4E3C2D1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52</w:t>
            </w:r>
          </w:p>
        </w:tc>
        <w:tc>
          <w:tcPr>
            <w:tcW w:w="417" w:type="pct"/>
            <w:noWrap w:val="0"/>
            <w:vAlign w:val="center"/>
          </w:tcPr>
          <w:p w14:paraId="3B4B4BA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48.5</w:t>
            </w:r>
          </w:p>
        </w:tc>
        <w:tc>
          <w:tcPr>
            <w:tcW w:w="418" w:type="pct"/>
            <w:noWrap w:val="0"/>
            <w:vAlign w:val="center"/>
          </w:tcPr>
          <w:p w14:paraId="21EA59B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w:t>
            </w:r>
          </w:p>
        </w:tc>
      </w:tr>
      <w:tr w14:paraId="32C5B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noWrap w:val="0"/>
            <w:vAlign w:val="center"/>
          </w:tcPr>
          <w:p w14:paraId="6F60BF4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推土机</w:t>
            </w:r>
          </w:p>
        </w:tc>
        <w:tc>
          <w:tcPr>
            <w:tcW w:w="417" w:type="pct"/>
            <w:noWrap w:val="0"/>
            <w:vAlign w:val="center"/>
          </w:tcPr>
          <w:p w14:paraId="3EE21E6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w:t>
            </w:r>
          </w:p>
        </w:tc>
        <w:tc>
          <w:tcPr>
            <w:tcW w:w="418" w:type="pct"/>
            <w:noWrap w:val="0"/>
            <w:vAlign w:val="center"/>
          </w:tcPr>
          <w:p w14:paraId="2A06407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80</w:t>
            </w:r>
          </w:p>
        </w:tc>
        <w:tc>
          <w:tcPr>
            <w:tcW w:w="417" w:type="pct"/>
            <w:noWrap w:val="0"/>
            <w:vAlign w:val="center"/>
          </w:tcPr>
          <w:p w14:paraId="5A5C73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74</w:t>
            </w:r>
          </w:p>
        </w:tc>
        <w:tc>
          <w:tcPr>
            <w:tcW w:w="417" w:type="pct"/>
            <w:noWrap w:val="0"/>
            <w:vAlign w:val="center"/>
          </w:tcPr>
          <w:p w14:paraId="39B0D63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68</w:t>
            </w:r>
          </w:p>
        </w:tc>
        <w:tc>
          <w:tcPr>
            <w:tcW w:w="417" w:type="pct"/>
            <w:noWrap w:val="0"/>
            <w:vAlign w:val="center"/>
          </w:tcPr>
          <w:p w14:paraId="5F93557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64.5</w:t>
            </w:r>
          </w:p>
        </w:tc>
        <w:tc>
          <w:tcPr>
            <w:tcW w:w="417" w:type="pct"/>
            <w:noWrap w:val="0"/>
            <w:vAlign w:val="center"/>
          </w:tcPr>
          <w:p w14:paraId="2CC1D1B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62</w:t>
            </w:r>
          </w:p>
        </w:tc>
        <w:tc>
          <w:tcPr>
            <w:tcW w:w="417" w:type="pct"/>
            <w:noWrap w:val="0"/>
            <w:vAlign w:val="center"/>
          </w:tcPr>
          <w:p w14:paraId="67085FC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417" w:type="pct"/>
            <w:noWrap w:val="0"/>
            <w:vAlign w:val="center"/>
          </w:tcPr>
          <w:p w14:paraId="1A122D5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54</w:t>
            </w:r>
          </w:p>
        </w:tc>
        <w:tc>
          <w:tcPr>
            <w:tcW w:w="417" w:type="pct"/>
            <w:noWrap w:val="0"/>
            <w:vAlign w:val="center"/>
          </w:tcPr>
          <w:p w14:paraId="566C56A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50.5</w:t>
            </w:r>
          </w:p>
        </w:tc>
        <w:tc>
          <w:tcPr>
            <w:tcW w:w="418" w:type="pct"/>
            <w:noWrap w:val="0"/>
            <w:vAlign w:val="center"/>
          </w:tcPr>
          <w:p w14:paraId="69DE5E9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w:t>
            </w:r>
          </w:p>
        </w:tc>
      </w:tr>
      <w:tr w14:paraId="0C161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noWrap w:val="0"/>
            <w:vAlign w:val="center"/>
          </w:tcPr>
          <w:p w14:paraId="02C4633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自卸汽车</w:t>
            </w:r>
          </w:p>
        </w:tc>
        <w:tc>
          <w:tcPr>
            <w:tcW w:w="417" w:type="pct"/>
            <w:noWrap w:val="0"/>
            <w:vAlign w:val="center"/>
          </w:tcPr>
          <w:p w14:paraId="3B4E62A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w:t>
            </w:r>
          </w:p>
        </w:tc>
        <w:tc>
          <w:tcPr>
            <w:tcW w:w="418" w:type="pct"/>
            <w:noWrap w:val="0"/>
            <w:vAlign w:val="center"/>
          </w:tcPr>
          <w:p w14:paraId="708E657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w:t>
            </w:r>
          </w:p>
        </w:tc>
        <w:tc>
          <w:tcPr>
            <w:tcW w:w="417" w:type="pct"/>
            <w:noWrap w:val="0"/>
            <w:vAlign w:val="center"/>
          </w:tcPr>
          <w:p w14:paraId="744C861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62</w:t>
            </w:r>
          </w:p>
        </w:tc>
        <w:tc>
          <w:tcPr>
            <w:tcW w:w="417" w:type="pct"/>
            <w:noWrap w:val="0"/>
            <w:vAlign w:val="center"/>
          </w:tcPr>
          <w:p w14:paraId="7666FEA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58</w:t>
            </w:r>
          </w:p>
        </w:tc>
        <w:tc>
          <w:tcPr>
            <w:tcW w:w="417" w:type="pct"/>
            <w:noWrap w:val="0"/>
            <w:vAlign w:val="center"/>
          </w:tcPr>
          <w:p w14:paraId="115B3F5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54</w:t>
            </w:r>
          </w:p>
        </w:tc>
        <w:tc>
          <w:tcPr>
            <w:tcW w:w="417" w:type="pct"/>
            <w:noWrap w:val="0"/>
            <w:vAlign w:val="center"/>
          </w:tcPr>
          <w:p w14:paraId="41EF528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52</w:t>
            </w:r>
          </w:p>
        </w:tc>
        <w:tc>
          <w:tcPr>
            <w:tcW w:w="417" w:type="pct"/>
            <w:noWrap w:val="0"/>
            <w:vAlign w:val="center"/>
          </w:tcPr>
          <w:p w14:paraId="22855DB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417" w:type="pct"/>
            <w:noWrap w:val="0"/>
            <w:vAlign w:val="center"/>
          </w:tcPr>
          <w:p w14:paraId="092599E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43</w:t>
            </w:r>
          </w:p>
        </w:tc>
        <w:tc>
          <w:tcPr>
            <w:tcW w:w="417" w:type="pct"/>
            <w:noWrap w:val="0"/>
            <w:vAlign w:val="center"/>
          </w:tcPr>
          <w:p w14:paraId="4A40203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w:t>
            </w:r>
          </w:p>
        </w:tc>
        <w:tc>
          <w:tcPr>
            <w:tcW w:w="418" w:type="pct"/>
            <w:noWrap w:val="0"/>
            <w:vAlign w:val="center"/>
          </w:tcPr>
          <w:p w14:paraId="11A8D3D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w:t>
            </w:r>
          </w:p>
        </w:tc>
      </w:tr>
      <w:tr w14:paraId="2D41A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noWrap w:val="0"/>
            <w:vAlign w:val="center"/>
          </w:tcPr>
          <w:p w14:paraId="3EA5DE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装载机</w:t>
            </w:r>
          </w:p>
        </w:tc>
        <w:tc>
          <w:tcPr>
            <w:tcW w:w="417" w:type="pct"/>
            <w:noWrap w:val="0"/>
            <w:vAlign w:val="center"/>
          </w:tcPr>
          <w:p w14:paraId="5A9B1A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w:t>
            </w:r>
          </w:p>
        </w:tc>
        <w:tc>
          <w:tcPr>
            <w:tcW w:w="418" w:type="pct"/>
            <w:noWrap w:val="0"/>
            <w:vAlign w:val="center"/>
          </w:tcPr>
          <w:p w14:paraId="6A84874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w:t>
            </w:r>
          </w:p>
        </w:tc>
        <w:tc>
          <w:tcPr>
            <w:tcW w:w="417" w:type="pct"/>
            <w:noWrap w:val="0"/>
            <w:vAlign w:val="center"/>
          </w:tcPr>
          <w:p w14:paraId="2212C36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78</w:t>
            </w:r>
          </w:p>
        </w:tc>
        <w:tc>
          <w:tcPr>
            <w:tcW w:w="417" w:type="pct"/>
            <w:noWrap w:val="0"/>
            <w:vAlign w:val="center"/>
          </w:tcPr>
          <w:p w14:paraId="4085670A">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72</w:t>
            </w:r>
          </w:p>
        </w:tc>
        <w:tc>
          <w:tcPr>
            <w:tcW w:w="417" w:type="pct"/>
            <w:noWrap w:val="0"/>
            <w:vAlign w:val="center"/>
          </w:tcPr>
          <w:p w14:paraId="10832D5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68.5</w:t>
            </w:r>
          </w:p>
        </w:tc>
        <w:tc>
          <w:tcPr>
            <w:tcW w:w="417" w:type="pct"/>
            <w:noWrap w:val="0"/>
            <w:vAlign w:val="center"/>
          </w:tcPr>
          <w:p w14:paraId="136CBD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66</w:t>
            </w:r>
          </w:p>
        </w:tc>
        <w:tc>
          <w:tcPr>
            <w:tcW w:w="417" w:type="pct"/>
            <w:noWrap w:val="0"/>
            <w:vAlign w:val="center"/>
          </w:tcPr>
          <w:p w14:paraId="3666A49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w:t>
            </w:r>
          </w:p>
        </w:tc>
        <w:tc>
          <w:tcPr>
            <w:tcW w:w="417" w:type="pct"/>
            <w:noWrap w:val="0"/>
            <w:vAlign w:val="center"/>
          </w:tcPr>
          <w:p w14:paraId="601FFAD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58</w:t>
            </w:r>
          </w:p>
        </w:tc>
        <w:tc>
          <w:tcPr>
            <w:tcW w:w="417" w:type="pct"/>
            <w:noWrap w:val="0"/>
            <w:vAlign w:val="center"/>
          </w:tcPr>
          <w:p w14:paraId="173D3AC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54.5</w:t>
            </w:r>
          </w:p>
        </w:tc>
        <w:tc>
          <w:tcPr>
            <w:tcW w:w="418" w:type="pct"/>
            <w:noWrap w:val="0"/>
            <w:vAlign w:val="center"/>
          </w:tcPr>
          <w:p w14:paraId="04A9191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w:t>
            </w:r>
          </w:p>
        </w:tc>
      </w:tr>
    </w:tbl>
    <w:p w14:paraId="200BE53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表5.1-4中计算结果表明，昼间离施工场地约80~100m处可符合规定的噪声限值要求。</w:t>
      </w:r>
    </w:p>
    <w:p w14:paraId="59C3FF7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根据现场勘</w:t>
      </w:r>
      <w:r>
        <w:rPr>
          <w:rFonts w:hint="eastAsia"/>
          <w:color w:val="000000" w:themeColor="text1"/>
          <w:sz w:val="24"/>
          <w:szCs w:val="24"/>
          <w:lang w:val="en-US" w:eastAsia="zh-CN"/>
          <w14:textFill>
            <w14:solidFill>
              <w14:schemeClr w14:val="tx1"/>
            </w14:solidFill>
          </w14:textFill>
        </w:rPr>
        <w:t>查</w:t>
      </w:r>
      <w:r>
        <w:rPr>
          <w:color w:val="000000" w:themeColor="text1"/>
          <w:sz w:val="24"/>
          <w:szCs w:val="24"/>
          <w14:textFill>
            <w14:solidFill>
              <w14:schemeClr w14:val="tx1"/>
            </w14:solidFill>
          </w14:textFill>
        </w:rPr>
        <w:t>，距项目区1.0km内无需特殊保护的</w:t>
      </w:r>
      <w:r>
        <w:rPr>
          <w:rFonts w:hint="eastAsia"/>
          <w:color w:val="000000" w:themeColor="text1"/>
          <w:sz w:val="24"/>
          <w:szCs w:val="24"/>
          <w14:textFill>
            <w14:solidFill>
              <w14:schemeClr w14:val="tx1"/>
            </w14:solidFill>
          </w14:textFill>
        </w:rPr>
        <w:t>声</w:t>
      </w:r>
      <w:r>
        <w:rPr>
          <w:color w:val="000000" w:themeColor="text1"/>
          <w:sz w:val="24"/>
          <w:szCs w:val="24"/>
          <w14:textFill>
            <w14:solidFill>
              <w14:schemeClr w14:val="tx1"/>
            </w14:solidFill>
          </w14:textFill>
        </w:rPr>
        <w:t>环境敏感目标，但为进一步减轻施工期噪声对环境影响，施工期间向周围排放噪声必须按照《中华人民共和国噪声污染防治法》规定，严格按《建筑施工噪声排放标准》（GB12523-20</w:t>
      </w:r>
      <w:r>
        <w:rPr>
          <w:rFonts w:hint="eastAsia"/>
          <w:color w:val="000000" w:themeColor="text1"/>
          <w:sz w:val="24"/>
          <w:szCs w:val="24"/>
          <w:lang w:val="en-US" w:eastAsia="zh-CN"/>
          <w14:textFill>
            <w14:solidFill>
              <w14:schemeClr w14:val="tx1"/>
            </w14:solidFill>
          </w14:textFill>
        </w:rPr>
        <w:t>25</w:t>
      </w:r>
      <w:r>
        <w:rPr>
          <w:color w:val="000000" w:themeColor="text1"/>
          <w:sz w:val="24"/>
          <w:szCs w:val="24"/>
          <w14:textFill>
            <w14:solidFill>
              <w14:schemeClr w14:val="tx1"/>
            </w14:solidFill>
          </w14:textFill>
        </w:rPr>
        <w:t>）进行控制。</w:t>
      </w:r>
    </w:p>
    <w:p w14:paraId="6BF22BE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针对</w:t>
      </w:r>
      <w:r>
        <w:rPr>
          <w:rFonts w:hint="eastAsia"/>
          <w:color w:val="000000" w:themeColor="text1"/>
          <w:sz w:val="24"/>
          <w:szCs w:val="24"/>
          <w:lang w:eastAsia="zh-CN"/>
          <w14:textFill>
            <w14:solidFill>
              <w14:schemeClr w14:val="tx1"/>
            </w14:solidFill>
          </w14:textFill>
        </w:rPr>
        <w:t>本项目</w:t>
      </w:r>
      <w:r>
        <w:rPr>
          <w:color w:val="000000" w:themeColor="text1"/>
          <w:sz w:val="24"/>
          <w:szCs w:val="24"/>
          <w14:textFill>
            <w14:solidFill>
              <w14:schemeClr w14:val="tx1"/>
            </w14:solidFill>
          </w14:textFill>
        </w:rPr>
        <w:t>的施工特点，为将施工期的噪声影响减小到尽可能低的程度，</w:t>
      </w:r>
      <w:r>
        <w:rPr>
          <w:rFonts w:hint="eastAsia"/>
          <w:color w:val="000000" w:themeColor="text1"/>
          <w:sz w:val="24"/>
          <w:szCs w:val="24"/>
          <w14:textFill>
            <w14:solidFill>
              <w14:schemeClr w14:val="tx1"/>
            </w14:solidFill>
          </w14:textFill>
        </w:rPr>
        <w:t>应</w:t>
      </w:r>
      <w:r>
        <w:rPr>
          <w:color w:val="000000" w:themeColor="text1"/>
          <w:sz w:val="24"/>
          <w:szCs w:val="24"/>
          <w14:textFill>
            <w14:solidFill>
              <w14:schemeClr w14:val="tx1"/>
            </w14:solidFill>
          </w14:textFill>
        </w:rPr>
        <w:t>采取以下措施：</w:t>
      </w:r>
    </w:p>
    <w:p w14:paraId="32A261C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（1）施工期间应严格遵守《建筑施工噪声排放标准》（GB12523-20</w:t>
      </w:r>
      <w:r>
        <w:rPr>
          <w:rFonts w:hint="eastAsia"/>
          <w:color w:val="000000" w:themeColor="text1"/>
          <w:sz w:val="24"/>
          <w:szCs w:val="24"/>
          <w:lang w:val="en-US" w:eastAsia="zh-CN"/>
          <w14:textFill>
            <w14:solidFill>
              <w14:schemeClr w14:val="tx1"/>
            </w14:solidFill>
          </w14:textFill>
        </w:rPr>
        <w:t>25</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相关</w:t>
      </w:r>
      <w:r>
        <w:rPr>
          <w:color w:val="000000" w:themeColor="text1"/>
          <w:sz w:val="24"/>
          <w:szCs w:val="24"/>
          <w14:textFill>
            <w14:solidFill>
              <w14:schemeClr w14:val="tx1"/>
            </w14:solidFill>
          </w14:textFill>
        </w:rPr>
        <w:t>规定要求，合理安排施工时间，优化施工方案，在夜间尽可能不用或少用高噪声设备；同时物料进施工区安排尽量在白天。</w:t>
      </w:r>
    </w:p>
    <w:p w14:paraId="211CFF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（2）应尽可能避免地面大量高噪声设备同时施工，减少夜间施工量。</w:t>
      </w:r>
    </w:p>
    <w:p w14:paraId="29ED6C5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（3）合理布局施工场地，避免在同一地点安装大量动力机械设备，以避免局部声级过高。</w:t>
      </w:r>
    </w:p>
    <w:p w14:paraId="5085E00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（4）降低设备声级：应尽量采用低噪声施工设备，如以液压机械代替燃油机械，振捣棒采用低频振捣棒等；固定机械设备与挖土、运土机械，如挖掘机、推土机等，可通过排气管</w:t>
      </w:r>
      <w:r>
        <w:rPr>
          <w:rFonts w:hint="eastAsia"/>
          <w:color w:val="000000" w:themeColor="text1"/>
          <w:sz w:val="24"/>
          <w:szCs w:val="24"/>
          <w:lang w:val="en-US" w:eastAsia="zh-CN"/>
          <w14:textFill>
            <w14:solidFill>
              <w14:schemeClr w14:val="tx1"/>
            </w14:solidFill>
          </w14:textFill>
        </w:rPr>
        <w:t>消声器</w:t>
      </w:r>
      <w:r>
        <w:rPr>
          <w:color w:val="000000" w:themeColor="text1"/>
          <w:sz w:val="24"/>
          <w:szCs w:val="24"/>
          <w14:textFill>
            <w14:solidFill>
              <w14:schemeClr w14:val="tx1"/>
            </w14:solidFill>
          </w14:textFill>
        </w:rPr>
        <w:t>和隔离发动机振动部件的方法降低噪声；对动力机械设备和运输车辆进行定期的维修和养护</w:t>
      </w:r>
      <w:r>
        <w:rPr>
          <w:rFonts w:hint="eastAsia"/>
          <w:color w:val="000000" w:themeColor="text1"/>
          <w:sz w:val="24"/>
          <w:szCs w:val="24"/>
          <w:lang w:eastAsia="zh-CN"/>
          <w14:textFill>
            <w14:solidFill>
              <w14:schemeClr w14:val="tx1"/>
            </w14:solidFill>
          </w14:textFill>
        </w:rPr>
        <w:t>。</w:t>
      </w:r>
    </w:p>
    <w:p w14:paraId="03DF7F77">
      <w:pPr>
        <w:keepNext/>
        <w:keepLines/>
        <w:spacing w:before="60" w:after="60" w:line="480" w:lineRule="exact"/>
        <w:outlineLvl w:val="2"/>
        <w:rPr>
          <w:b/>
          <w:bCs/>
          <w:color w:val="000000" w:themeColor="text1"/>
          <w:sz w:val="30"/>
          <w:szCs w:val="32"/>
          <w14:textFill>
            <w14:solidFill>
              <w14:schemeClr w14:val="tx1"/>
            </w14:solidFill>
          </w14:textFill>
        </w:rPr>
      </w:pPr>
      <w:bookmarkStart w:id="409" w:name="_Toc22126254"/>
      <w:bookmarkStart w:id="410" w:name="_Toc20111"/>
      <w:bookmarkStart w:id="411" w:name="_Toc3410"/>
      <w:bookmarkStart w:id="412" w:name="_Toc10388"/>
      <w:bookmarkStart w:id="413" w:name="_Toc3841"/>
      <w:r>
        <w:rPr>
          <w:b/>
          <w:bCs/>
          <w:color w:val="000000" w:themeColor="text1"/>
          <w:sz w:val="30"/>
          <w:szCs w:val="32"/>
          <w14:textFill>
            <w14:solidFill>
              <w14:schemeClr w14:val="tx1"/>
            </w14:solidFill>
          </w14:textFill>
        </w:rPr>
        <w:t>5.1.5施工期固体废物对环境影响分析</w:t>
      </w:r>
      <w:bookmarkEnd w:id="409"/>
      <w:bookmarkEnd w:id="410"/>
      <w:bookmarkEnd w:id="411"/>
      <w:bookmarkEnd w:id="412"/>
      <w:bookmarkEnd w:id="413"/>
    </w:p>
    <w:p w14:paraId="5EC4803E">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施工过程中产生的固废主要为</w:t>
      </w:r>
      <w:r>
        <w:rPr>
          <w:rFonts w:hint="eastAsia"/>
          <w:color w:val="000000" w:themeColor="text1"/>
          <w:sz w:val="24"/>
          <w14:textFill>
            <w14:solidFill>
              <w14:schemeClr w14:val="tx1"/>
            </w14:solidFill>
          </w14:textFill>
        </w:rPr>
        <w:t>掘进废石、</w:t>
      </w:r>
      <w:r>
        <w:rPr>
          <w:color w:val="000000" w:themeColor="text1"/>
          <w:sz w:val="24"/>
          <w14:textFill>
            <w14:solidFill>
              <w14:schemeClr w14:val="tx1"/>
            </w14:solidFill>
          </w14:textFill>
        </w:rPr>
        <w:t>地面建（构）筑物建设产生的建筑垃圾和施工废料；施工人员产生的生活垃圾等。</w:t>
      </w:r>
    </w:p>
    <w:p w14:paraId="5A35AF0C">
      <w:pPr>
        <w:widowControl/>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（1）建筑垃圾和施工废料</w:t>
      </w:r>
    </w:p>
    <w:p w14:paraId="61381786">
      <w:pPr>
        <w:widowControl/>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井下施工期掘进废石根据矿区废石</w:t>
      </w:r>
      <w:r>
        <w:rPr>
          <w:rFonts w:hint="eastAsia"/>
          <w:color w:val="000000" w:themeColor="text1"/>
          <w:sz w:val="24"/>
          <w:szCs w:val="28"/>
          <w14:textFill>
            <w14:solidFill>
              <w14:schemeClr w14:val="tx1"/>
            </w14:solidFill>
          </w14:textFill>
        </w:rPr>
        <w:t>（代码：081-001-</w:t>
      </w:r>
      <w:r>
        <w:rPr>
          <w:rFonts w:hint="eastAsia"/>
          <w:color w:val="000000" w:themeColor="text1"/>
          <w:sz w:val="24"/>
          <w:szCs w:val="28"/>
          <w:lang w:val="en-US" w:eastAsia="zh-CN"/>
          <w14:textFill>
            <w14:solidFill>
              <w14:schemeClr w14:val="tx1"/>
            </w14:solidFill>
          </w14:textFill>
        </w:rPr>
        <w:t>S</w:t>
      </w:r>
      <w:r>
        <w:rPr>
          <w:rFonts w:hint="eastAsia"/>
          <w:color w:val="000000" w:themeColor="text1"/>
          <w:sz w:val="24"/>
          <w:szCs w:val="28"/>
          <w14:textFill>
            <w14:solidFill>
              <w14:schemeClr w14:val="tx1"/>
            </w14:solidFill>
          </w14:textFill>
        </w:rPr>
        <w:t>29）</w:t>
      </w:r>
      <w:r>
        <w:rPr>
          <w:color w:val="000000" w:themeColor="text1"/>
          <w:sz w:val="24"/>
          <w14:textFill>
            <w14:solidFill>
              <w14:schemeClr w14:val="tx1"/>
            </w14:solidFill>
          </w14:textFill>
        </w:rPr>
        <w:t>检测结果</w:t>
      </w:r>
      <w:r>
        <w:rPr>
          <w:rFonts w:hint="eastAsia"/>
          <w:color w:val="000000" w:themeColor="text1"/>
          <w:sz w:val="24"/>
          <w14:textFill>
            <w14:solidFill>
              <w14:schemeClr w14:val="tx1"/>
            </w14:solidFill>
          </w14:textFill>
        </w:rPr>
        <w:t>（检测报告详见附件）</w:t>
      </w:r>
      <w:r>
        <w:rPr>
          <w:color w:val="000000" w:themeColor="text1"/>
          <w:sz w:val="24"/>
          <w14:textFill>
            <w14:solidFill>
              <w14:schemeClr w14:val="tx1"/>
            </w14:solidFill>
          </w14:textFill>
        </w:rPr>
        <w:t>，对照《危险废物鉴别标准 浸出毒性鉴别》（GB5085.3-2007）的鉴别标准进行</w:t>
      </w:r>
      <w:r>
        <w:rPr>
          <w:rFonts w:hint="eastAsia"/>
          <w:color w:val="000000" w:themeColor="text1"/>
          <w:sz w:val="24"/>
          <w14:textFill>
            <w14:solidFill>
              <w14:schemeClr w14:val="tx1"/>
            </w14:solidFill>
          </w14:textFill>
        </w:rPr>
        <w:t>判别，本项目矿区废石属于</w:t>
      </w:r>
      <w:r>
        <w:rPr>
          <w:color w:val="000000" w:themeColor="text1"/>
          <w:sz w:val="24"/>
          <w14:textFill>
            <w14:solidFill>
              <w14:schemeClr w14:val="tx1"/>
            </w14:solidFill>
          </w14:textFill>
        </w:rPr>
        <w:t>I类</w:t>
      </w:r>
      <w:r>
        <w:rPr>
          <w:rFonts w:hint="eastAsia"/>
          <w:color w:val="000000" w:themeColor="text1"/>
          <w:sz w:val="24"/>
          <w14:textFill>
            <w14:solidFill>
              <w14:schemeClr w14:val="tx1"/>
            </w14:solidFill>
          </w14:textFill>
        </w:rPr>
        <w:t>工业固废，不属于危废。</w:t>
      </w:r>
      <w:r>
        <w:rPr>
          <w:rFonts w:hint="eastAsia"/>
          <w:color w:val="000000" w:themeColor="text1"/>
          <w:sz w:val="24"/>
          <w:szCs w:val="28"/>
          <w14:textFill>
            <w14:solidFill>
              <w14:schemeClr w14:val="tx1"/>
            </w14:solidFill>
          </w14:textFill>
        </w:rPr>
        <w:t>施工期产生的掘进废石堆存于现有废石堆场排弃。</w:t>
      </w:r>
    </w:p>
    <w:p w14:paraId="299D8AB6">
      <w:pPr>
        <w:widowControl/>
        <w:spacing w:line="480" w:lineRule="exact"/>
        <w:ind w:firstLine="480" w:firstLineChars="200"/>
        <w:rPr>
          <w:color w:val="000000" w:themeColor="text1"/>
          <w:sz w:val="24"/>
          <w:szCs w:val="24"/>
          <w:lang w:bidi="ar"/>
          <w14:textFill>
            <w14:solidFill>
              <w14:schemeClr w14:val="tx1"/>
            </w14:solidFill>
          </w14:textFill>
        </w:rPr>
      </w:pPr>
      <w:r>
        <w:rPr>
          <w:rFonts w:hint="eastAsia"/>
          <w:color w:val="000000" w:themeColor="text1"/>
          <w:sz w:val="24"/>
          <w14:textFill>
            <w14:solidFill>
              <w14:schemeClr w14:val="tx1"/>
            </w14:solidFill>
          </w14:textFill>
        </w:rPr>
        <w:t>建筑垃圾有</w:t>
      </w:r>
      <w:r>
        <w:rPr>
          <w:color w:val="000000" w:themeColor="text1"/>
          <w:sz w:val="24"/>
          <w14:textFill>
            <w14:solidFill>
              <w14:schemeClr w14:val="tx1"/>
            </w14:solidFill>
          </w14:textFill>
        </w:rPr>
        <w:t>废弃砖石和洒落的混凝土、设备安装过程产生的金属废料等。金属废料施工后可进行回收，建筑垃圾和非金属废料由施工单位集中收集后运走，统一</w:t>
      </w:r>
      <w:r>
        <w:rPr>
          <w:rFonts w:hint="eastAsia"/>
          <w:color w:val="000000" w:themeColor="text1"/>
          <w:sz w:val="24"/>
          <w14:textFill>
            <w14:solidFill>
              <w14:schemeClr w14:val="tx1"/>
            </w14:solidFill>
          </w14:textFill>
        </w:rPr>
        <w:t>送至</w:t>
      </w:r>
      <w:r>
        <w:rPr>
          <w:rFonts w:hint="eastAsia"/>
          <w:color w:val="000000" w:themeColor="text1"/>
          <w:sz w:val="24"/>
          <w:lang w:val="en-US" w:eastAsia="zh-CN"/>
          <w14:textFill>
            <w14:solidFill>
              <w14:schemeClr w14:val="tx1"/>
            </w14:solidFill>
          </w14:textFill>
        </w:rPr>
        <w:t>当地环卫部门指定场所</w:t>
      </w:r>
      <w:r>
        <w:rPr>
          <w:rFonts w:hint="eastAsia"/>
          <w:color w:val="000000" w:themeColor="text1"/>
          <w:sz w:val="24"/>
          <w:lang w:eastAsia="zh-CN"/>
          <w14:textFill>
            <w14:solidFill>
              <w14:schemeClr w14:val="tx1"/>
            </w14:solidFill>
          </w14:textFill>
        </w:rPr>
        <w:t>处置</w:t>
      </w:r>
      <w:r>
        <w:rPr>
          <w:color w:val="000000" w:themeColor="text1"/>
          <w:sz w:val="24"/>
          <w14:textFill>
            <w14:solidFill>
              <w14:schemeClr w14:val="tx1"/>
            </w14:solidFill>
          </w14:textFill>
        </w:rPr>
        <w:t>。</w:t>
      </w:r>
      <w:r>
        <w:rPr>
          <w:color w:val="000000" w:themeColor="text1"/>
          <w:sz w:val="24"/>
          <w:szCs w:val="24"/>
          <w:lang w:bidi="ar"/>
          <w14:textFill>
            <w14:solidFill>
              <w14:schemeClr w14:val="tx1"/>
            </w14:solidFill>
          </w14:textFill>
        </w:rPr>
        <w:t>采取上述措施后对项目周围环境影响较小。</w:t>
      </w:r>
    </w:p>
    <w:p w14:paraId="776B709B">
      <w:pPr>
        <w:widowControl/>
        <w:numPr>
          <w:ilvl w:val="0"/>
          <w:numId w:val="3"/>
        </w:numPr>
        <w:spacing w:line="480" w:lineRule="exact"/>
        <w:ind w:firstLine="480" w:firstLineChars="200"/>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生活垃圾</w:t>
      </w:r>
    </w:p>
    <w:p w14:paraId="5C7810D3">
      <w:pPr>
        <w:widowControl/>
        <w:wordWrap w:val="0"/>
        <w:spacing w:line="480" w:lineRule="exact"/>
        <w:ind w:firstLine="480" w:firstLineChars="200"/>
        <w:rPr>
          <w:color w:val="000000" w:themeColor="text1"/>
          <w:sz w:val="24"/>
          <w:szCs w:val="24"/>
          <w:lang w:bidi="ar"/>
          <w14:textFill>
            <w14:solidFill>
              <w14:schemeClr w14:val="tx1"/>
            </w14:solidFill>
          </w14:textFill>
        </w:rPr>
      </w:pPr>
      <w:r>
        <w:rPr>
          <w:color w:val="000000" w:themeColor="text1"/>
          <w:kern w:val="0"/>
          <w:sz w:val="24"/>
          <w:szCs w:val="21"/>
          <w14:textFill>
            <w14:solidFill>
              <w14:schemeClr w14:val="tx1"/>
            </w14:solidFill>
          </w14:textFill>
        </w:rPr>
        <w:t>生活垃圾包括残剩食物、塑料、废纸、各种玻璃瓶、动物骨刺皮壳等。这些固废处置不当将会影响景观，污染土壤和水体，生活垃圾还会散发恶臭，生活垃圾进行集中堆放，</w:t>
      </w:r>
      <w:r>
        <w:rPr>
          <w:rFonts w:hint="eastAsia"/>
          <w:color w:val="000000" w:themeColor="text1"/>
          <w:spacing w:val="-1"/>
          <w:kern w:val="0"/>
          <w:sz w:val="24"/>
          <w:szCs w:val="21"/>
          <w14:textFill>
            <w14:solidFill>
              <w14:schemeClr w14:val="tx1"/>
            </w14:solidFill>
          </w14:textFill>
        </w:rPr>
        <w:t>定期拉运至雅满苏镇垃圾填埋场处置</w:t>
      </w:r>
      <w:r>
        <w:rPr>
          <w:color w:val="000000" w:themeColor="text1"/>
          <w:spacing w:val="-1"/>
          <w:kern w:val="0"/>
          <w:sz w:val="24"/>
          <w:szCs w:val="21"/>
          <w14:textFill>
            <w14:solidFill>
              <w14:schemeClr w14:val="tx1"/>
            </w14:solidFill>
          </w14:textFill>
        </w:rPr>
        <w:t>。</w:t>
      </w:r>
      <w:r>
        <w:rPr>
          <w:color w:val="000000" w:themeColor="text1"/>
          <w:sz w:val="24"/>
          <w:szCs w:val="24"/>
          <w:lang w:bidi="ar"/>
          <w14:textFill>
            <w14:solidFill>
              <w14:schemeClr w14:val="tx1"/>
            </w14:solidFill>
          </w14:textFill>
        </w:rPr>
        <w:t>采取上述措施后对项目周围环境影响较小。</w:t>
      </w:r>
    </w:p>
    <w:p w14:paraId="2ABBCC08">
      <w:pPr>
        <w:keepNext/>
        <w:keepLines/>
        <w:spacing w:before="60" w:after="60" w:line="480" w:lineRule="exact"/>
        <w:outlineLvl w:val="2"/>
        <w:rPr>
          <w:b/>
          <w:bCs/>
          <w:color w:val="000000" w:themeColor="text1"/>
          <w:sz w:val="30"/>
          <w:szCs w:val="32"/>
          <w14:textFill>
            <w14:solidFill>
              <w14:schemeClr w14:val="tx1"/>
            </w14:solidFill>
          </w14:textFill>
        </w:rPr>
      </w:pPr>
      <w:bookmarkStart w:id="414" w:name="_Toc26034"/>
      <w:bookmarkStart w:id="415" w:name="_Toc22126255"/>
      <w:bookmarkStart w:id="416" w:name="_Toc12682"/>
      <w:bookmarkStart w:id="417" w:name="_Toc13975"/>
      <w:bookmarkStart w:id="418" w:name="_Toc11140"/>
      <w:bookmarkStart w:id="419" w:name="_Toc32542"/>
      <w:r>
        <w:rPr>
          <w:b/>
          <w:bCs/>
          <w:color w:val="000000" w:themeColor="text1"/>
          <w:sz w:val="30"/>
          <w:szCs w:val="32"/>
          <w14:textFill>
            <w14:solidFill>
              <w14:schemeClr w14:val="tx1"/>
            </w14:solidFill>
          </w14:textFill>
        </w:rPr>
        <w:t>5.1.6施工期土壤环境影响分析</w:t>
      </w:r>
      <w:bookmarkEnd w:id="414"/>
      <w:bookmarkEnd w:id="415"/>
      <w:bookmarkEnd w:id="416"/>
      <w:bookmarkEnd w:id="417"/>
      <w:bookmarkEnd w:id="418"/>
      <w:bookmarkEnd w:id="419"/>
    </w:p>
    <w:p w14:paraId="1F1B904F">
      <w:pPr>
        <w:spacing w:line="480" w:lineRule="exact"/>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施工期对土壤的影响主要是表土扰动，固体废物堆存及施工设备漏油等，造成污染物进入土壤环境。</w:t>
      </w:r>
    </w:p>
    <w:p w14:paraId="2686C2DC">
      <w:pPr>
        <w:spacing w:line="480" w:lineRule="exact"/>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表土在该区对保护土地资源具有重要作用，因此本次环评要求建设单位应根据矿区施工进度有计划进行表土剥离保存，用于后期的原地貌恢复；施工场地设置临时隔油沉淀池，将施工废水隔油、沉淀处理后回用于施工工序，如洒水降尘等，</w:t>
      </w:r>
      <w:r>
        <w:rPr>
          <w:rFonts w:hint="eastAsia"/>
          <w:color w:val="000000" w:themeColor="text1"/>
          <w:kern w:val="0"/>
          <w:sz w:val="24"/>
          <w:szCs w:val="20"/>
          <w14:textFill>
            <w14:solidFill>
              <w14:schemeClr w14:val="tx1"/>
            </w14:solidFill>
          </w14:textFill>
        </w:rPr>
        <w:t>生活污水依托矿山现有的</w:t>
      </w:r>
      <w:r>
        <w:rPr>
          <w:color w:val="000000" w:themeColor="text1"/>
          <w:kern w:val="0"/>
          <w:sz w:val="24"/>
          <w:szCs w:val="20"/>
          <w:lang w:val="zh-CN"/>
          <w14:textFill>
            <w14:solidFill>
              <w14:schemeClr w14:val="tx1"/>
            </w14:solidFill>
          </w14:textFill>
        </w:rPr>
        <w:t>地埋式一体化生活污水处理设施</w:t>
      </w:r>
      <w:r>
        <w:rPr>
          <w:color w:val="000000" w:themeColor="text1"/>
          <w:kern w:val="0"/>
          <w:sz w:val="24"/>
          <w:szCs w:val="20"/>
          <w14:textFill>
            <w14:solidFill>
              <w14:schemeClr w14:val="tx1"/>
            </w14:solidFill>
          </w14:textFill>
        </w:rPr>
        <w:t>处理</w:t>
      </w:r>
      <w:r>
        <w:rPr>
          <w:color w:val="000000" w:themeColor="text1"/>
          <w:kern w:val="0"/>
          <w:sz w:val="24"/>
          <w:szCs w:val="20"/>
          <w:lang w:val="zh-CN"/>
          <w14:textFill>
            <w14:solidFill>
              <w14:schemeClr w14:val="tx1"/>
            </w14:solidFill>
          </w14:textFill>
        </w:rPr>
        <w:t>，处理达标后</w:t>
      </w:r>
      <w:r>
        <w:rPr>
          <w:color w:val="000000" w:themeColor="text1"/>
          <w:kern w:val="0"/>
          <w:sz w:val="24"/>
          <w:szCs w:val="20"/>
          <w14:textFill>
            <w14:solidFill>
              <w14:schemeClr w14:val="tx1"/>
            </w14:solidFill>
          </w14:textFill>
        </w:rPr>
        <w:t>综合利用；</w:t>
      </w:r>
      <w:r>
        <w:rPr>
          <w:color w:val="000000" w:themeColor="text1"/>
          <w:sz w:val="24"/>
          <w:szCs w:val="20"/>
          <w14:textFill>
            <w14:solidFill>
              <w14:schemeClr w14:val="tx1"/>
            </w14:solidFill>
          </w14:textFill>
        </w:rPr>
        <w:t>基建废石堆存于废石堆场，施工废料集中收集统一处理，生活垃圾集中收集，</w:t>
      </w:r>
      <w:r>
        <w:rPr>
          <w:rFonts w:hint="eastAsia"/>
          <w:color w:val="000000" w:themeColor="text1"/>
          <w:sz w:val="24"/>
          <w:szCs w:val="20"/>
          <w14:textFill>
            <w14:solidFill>
              <w14:schemeClr w14:val="tx1"/>
            </w14:solidFill>
          </w14:textFill>
        </w:rPr>
        <w:t>定期拉运至雅满苏镇垃圾填埋场处置</w:t>
      </w:r>
      <w:r>
        <w:rPr>
          <w:color w:val="000000" w:themeColor="text1"/>
          <w:sz w:val="24"/>
          <w:szCs w:val="20"/>
          <w14:textFill>
            <w14:solidFill>
              <w14:schemeClr w14:val="tx1"/>
            </w14:solidFill>
          </w14:textFill>
        </w:rPr>
        <w:t>。采取以上措施后，对项目区土壤环境影响较小。</w:t>
      </w:r>
    </w:p>
    <w:p w14:paraId="0A6DB324">
      <w:pPr>
        <w:keepNext/>
        <w:keepLines/>
        <w:spacing w:before="60" w:after="60" w:line="480" w:lineRule="exact"/>
        <w:outlineLvl w:val="2"/>
        <w:rPr>
          <w:b/>
          <w:bCs/>
          <w:color w:val="000000" w:themeColor="text1"/>
          <w:sz w:val="30"/>
          <w:szCs w:val="32"/>
          <w14:textFill>
            <w14:solidFill>
              <w14:schemeClr w14:val="tx1"/>
            </w14:solidFill>
          </w14:textFill>
        </w:rPr>
      </w:pPr>
      <w:bookmarkStart w:id="420" w:name="_Toc19161"/>
      <w:bookmarkStart w:id="421" w:name="_Toc28841"/>
      <w:bookmarkStart w:id="422" w:name="_Toc22126256"/>
      <w:bookmarkStart w:id="423" w:name="_Toc2727"/>
      <w:bookmarkStart w:id="424" w:name="_Toc28306"/>
      <w:bookmarkStart w:id="425" w:name="_Toc22796"/>
      <w:r>
        <w:rPr>
          <w:b/>
          <w:bCs/>
          <w:color w:val="000000" w:themeColor="text1"/>
          <w:sz w:val="30"/>
          <w:szCs w:val="32"/>
          <w14:textFill>
            <w14:solidFill>
              <w14:schemeClr w14:val="tx1"/>
            </w14:solidFill>
          </w14:textFill>
        </w:rPr>
        <w:t>5.1.7施工期生态环境影响</w:t>
      </w:r>
      <w:bookmarkEnd w:id="420"/>
      <w:bookmarkEnd w:id="421"/>
      <w:bookmarkEnd w:id="422"/>
      <w:bookmarkEnd w:id="423"/>
      <w:bookmarkEnd w:id="424"/>
      <w:bookmarkEnd w:id="425"/>
    </w:p>
    <w:p w14:paraId="2739F0C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（1）永久占地</w:t>
      </w:r>
    </w:p>
    <w:p w14:paraId="7D85E80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矿石开采对地形地貌的改变是永久性的，土地利用格局中</w:t>
      </w:r>
      <w:r>
        <w:rPr>
          <w:rFonts w:hint="eastAsia"/>
          <w:color w:val="000000" w:themeColor="text1"/>
          <w:sz w:val="24"/>
          <w14:textFill>
            <w14:solidFill>
              <w14:schemeClr w14:val="tx1"/>
            </w14:solidFill>
          </w14:textFill>
        </w:rPr>
        <w:t>低覆盖度草地</w:t>
      </w:r>
      <w:r>
        <w:rPr>
          <w:color w:val="000000" w:themeColor="text1"/>
          <w:sz w:val="24"/>
          <w14:textFill>
            <w14:solidFill>
              <w14:schemeClr w14:val="tx1"/>
            </w14:solidFill>
          </w14:textFill>
        </w:rPr>
        <w:t>转化为</w:t>
      </w:r>
      <w:r>
        <w:rPr>
          <w:rFonts w:hint="eastAsia"/>
          <w:color w:val="000000" w:themeColor="text1"/>
          <w:sz w:val="24"/>
          <w14:textFill>
            <w14:solidFill>
              <w14:schemeClr w14:val="tx1"/>
            </w14:solidFill>
          </w14:textFill>
        </w:rPr>
        <w:t>工矿</w:t>
      </w:r>
      <w:r>
        <w:rPr>
          <w:color w:val="000000" w:themeColor="text1"/>
          <w:sz w:val="24"/>
          <w14:textFill>
            <w14:solidFill>
              <w14:schemeClr w14:val="tx1"/>
            </w14:solidFill>
          </w14:textFill>
        </w:rPr>
        <w:t>用地，改变了区域地表覆盖层类型和性质。工程施工期在矿区修筑场地道路等建设活动时，矿山开采永久占地将改变现有的土地利用方式，被占土地的地表植被破坏，使原自然生态系统所有功能完全损失，对生态系统完整性有一定影响并导致一定程度的水土流失，建设单位在施工期应做好水土保持工作，在经过矿区闭矿后的生态恢复工作后，对生态系统的影响将减轻。</w:t>
      </w:r>
    </w:p>
    <w:p w14:paraId="62FCD4B1">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（2）临时性占地</w:t>
      </w:r>
    </w:p>
    <w:p w14:paraId="51B9006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临时性占地是工程施工过程中施工人员活动，施工机械</w:t>
      </w:r>
      <w:r>
        <w:rPr>
          <w:rFonts w:hint="eastAsia"/>
          <w:color w:val="000000" w:themeColor="text1"/>
          <w:sz w:val="24"/>
          <w:lang w:eastAsia="zh-CN"/>
          <w14:textFill>
            <w14:solidFill>
              <w14:schemeClr w14:val="tx1"/>
            </w14:solidFill>
          </w14:textFill>
        </w:rPr>
        <w:t>碾轧</w:t>
      </w:r>
      <w:r>
        <w:rPr>
          <w:color w:val="000000" w:themeColor="text1"/>
          <w:sz w:val="24"/>
          <w14:textFill>
            <w14:solidFill>
              <w14:schemeClr w14:val="tx1"/>
            </w14:solidFill>
          </w14:textFill>
        </w:rPr>
        <w:t>，施工材料堆放，施工料场开挖，施工临时设施建设，施工场地平整所占用的土地。其影响主要表现在两个方面：一是取土或弃土、弃渣等造成对地表形态的影响；二是留下的临时设施即不利用又不拆除，影响景观的恢复，临时占地的影响性质是暂时性的，采取一定的措施和随着时间的推移，破坏的土地能够得以恢复，它未改变土地的利用形式，属可逆影响。但不采取文明施工和一定的恢复措施，对生态环境所造成的破坏，则往往需要很</w:t>
      </w:r>
      <w:r>
        <w:rPr>
          <w:rFonts w:hint="eastAsia"/>
          <w:color w:val="000000" w:themeColor="text1"/>
          <w:sz w:val="24"/>
          <w:lang w:eastAsia="zh-CN"/>
          <w14:textFill>
            <w14:solidFill>
              <w14:schemeClr w14:val="tx1"/>
            </w14:solidFill>
          </w14:textFill>
        </w:rPr>
        <w:t>长时间</w:t>
      </w:r>
      <w:r>
        <w:rPr>
          <w:color w:val="000000" w:themeColor="text1"/>
          <w:sz w:val="24"/>
          <w14:textFill>
            <w14:solidFill>
              <w14:schemeClr w14:val="tx1"/>
            </w14:solidFill>
          </w14:textFill>
        </w:rPr>
        <w:t>才能恢复。</w:t>
      </w:r>
    </w:p>
    <w:p w14:paraId="43900C8E">
      <w:pPr>
        <w:adjustRightInd w:val="0"/>
        <w:spacing w:line="480" w:lineRule="exact"/>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（3）工程建设对区域土壤、植被影响</w:t>
      </w:r>
    </w:p>
    <w:p w14:paraId="3A29251E">
      <w:pPr>
        <w:adjustRightInd w:val="0"/>
        <w:spacing w:line="480" w:lineRule="exact"/>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矿山建设项目在其建设过程中将不可避免地会占用和破坏一定面积的土地。这些活动将直接破坏地表土层和植被，造成生物量损失和对土壤的破坏，从而造成对原有生态系统的破坏，引起水土流失。</w:t>
      </w:r>
    </w:p>
    <w:p w14:paraId="1EF602A4">
      <w:pPr>
        <w:adjustRightIn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szCs w:val="20"/>
          <w14:textFill>
            <w14:solidFill>
              <w14:schemeClr w14:val="tx1"/>
            </w14:solidFill>
          </w14:textFill>
        </w:rPr>
        <w:t>矿山</w:t>
      </w:r>
      <w:r>
        <w:rPr>
          <w:color w:val="000000" w:themeColor="text1"/>
          <w:sz w:val="24"/>
          <w:szCs w:val="20"/>
          <w14:textFill>
            <w14:solidFill>
              <w14:schemeClr w14:val="tx1"/>
            </w14:solidFill>
          </w14:textFill>
        </w:rPr>
        <w:t>占地类型</w:t>
      </w:r>
      <w:r>
        <w:rPr>
          <w:rFonts w:hint="eastAsia"/>
          <w:color w:val="000000" w:themeColor="text1"/>
          <w:sz w:val="24"/>
          <w:szCs w:val="20"/>
          <w14:textFill>
            <w14:solidFill>
              <w14:schemeClr w14:val="tx1"/>
            </w14:solidFill>
          </w14:textFill>
        </w:rPr>
        <w:t>主要为</w:t>
      </w:r>
      <w:r>
        <w:rPr>
          <w:rFonts w:hint="eastAsia"/>
          <w:color w:val="000000" w:themeColor="text1"/>
          <w:sz w:val="24"/>
          <w:szCs w:val="20"/>
          <w:lang w:eastAsia="zh-CN"/>
          <w14:textFill>
            <w14:solidFill>
              <w14:schemeClr w14:val="tx1"/>
            </w14:solidFill>
          </w14:textFill>
        </w:rPr>
        <w:t>戈壁和</w:t>
      </w:r>
      <w:r>
        <w:rPr>
          <w:rFonts w:hint="eastAsia"/>
          <w:color w:val="000000" w:themeColor="text1"/>
          <w:sz w:val="24"/>
          <w:szCs w:val="20"/>
          <w:lang w:val="en-US" w:eastAsia="zh-CN"/>
          <w14:textFill>
            <w14:solidFill>
              <w14:schemeClr w14:val="tx1"/>
            </w14:solidFill>
          </w14:textFill>
        </w:rPr>
        <w:t>裸岩石砾地</w:t>
      </w:r>
      <w:r>
        <w:rPr>
          <w:rFonts w:hint="eastAsia"/>
          <w:color w:val="000000" w:themeColor="text1"/>
          <w:sz w:val="24"/>
          <w:szCs w:val="20"/>
          <w14:textFill>
            <w14:solidFill>
              <w14:schemeClr w14:val="tx1"/>
            </w14:solidFill>
          </w14:textFill>
        </w:rPr>
        <w:t>。</w:t>
      </w:r>
      <w:r>
        <w:rPr>
          <w:rFonts w:hint="eastAsia"/>
          <w:color w:val="000000" w:themeColor="text1"/>
          <w:sz w:val="24"/>
          <w:szCs w:val="20"/>
          <w:lang w:val="en-US" w:eastAsia="zh-CN"/>
          <w14:textFill>
            <w14:solidFill>
              <w14:schemeClr w14:val="tx1"/>
            </w14:solidFill>
          </w14:textFill>
        </w:rPr>
        <w:t>施工期</w:t>
      </w:r>
      <w:r>
        <w:rPr>
          <w:rFonts w:hint="eastAsia"/>
          <w:color w:val="000000" w:themeColor="text1"/>
          <w:sz w:val="24"/>
          <w:szCs w:val="20"/>
          <w14:textFill>
            <w14:solidFill>
              <w14:schemeClr w14:val="tx1"/>
            </w14:solidFill>
          </w14:textFill>
        </w:rPr>
        <w:t>将使占地范围内的植被全部遭到破坏，土地利用类型改变。原生植被在遭到破坏后的第一个生长期内将全部消失，一次性减少了植被的面积，导致蓄水保土功能降低或丧失。</w:t>
      </w:r>
      <w:r>
        <w:rPr>
          <w:rFonts w:hint="eastAsia"/>
          <w:color w:val="000000" w:themeColor="text1"/>
          <w:sz w:val="24"/>
          <w:szCs w:val="20"/>
          <w:lang w:val="en-US" w:eastAsia="zh-CN"/>
          <w14:textFill>
            <w14:solidFill>
              <w14:schemeClr w14:val="tx1"/>
            </w14:solidFill>
          </w14:textFill>
        </w:rPr>
        <w:t>施工期结束后，可对施工区域</w:t>
      </w:r>
      <w:r>
        <w:rPr>
          <w:rFonts w:hint="eastAsia"/>
          <w:color w:val="000000" w:themeColor="text1"/>
          <w:sz w:val="24"/>
          <w:szCs w:val="20"/>
          <w14:textFill>
            <w14:solidFill>
              <w14:schemeClr w14:val="tx1"/>
            </w14:solidFill>
          </w14:textFill>
        </w:rPr>
        <w:t>开展生态环境恢复、治理，可以减少对矿区及周边的生态影响</w:t>
      </w:r>
      <w:r>
        <w:rPr>
          <w:color w:val="000000" w:themeColor="text1"/>
          <w:sz w:val="24"/>
          <w14:textFill>
            <w14:solidFill>
              <w14:schemeClr w14:val="tx1"/>
            </w14:solidFill>
          </w14:textFill>
        </w:rPr>
        <w:t>。</w:t>
      </w:r>
    </w:p>
    <w:p w14:paraId="279BB209">
      <w:pPr>
        <w:adjustRightIn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（4）野生动物影响分析</w:t>
      </w:r>
    </w:p>
    <w:p w14:paraId="28460431">
      <w:pPr>
        <w:adjustRightIn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评价区域内野生动物种类较少，偶尔会发现</w:t>
      </w:r>
      <w:r>
        <w:rPr>
          <w:rFonts w:hint="eastAsia"/>
          <w:color w:val="000000" w:themeColor="text1"/>
          <w:sz w:val="24"/>
          <w:lang w:eastAsia="zh-CN"/>
          <w14:textFill>
            <w14:solidFill>
              <w14:schemeClr w14:val="tx1"/>
            </w14:solidFill>
          </w14:textFill>
        </w:rPr>
        <w:t>壁虎</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鼠类</w:t>
      </w:r>
      <w:r>
        <w:rPr>
          <w:color w:val="000000" w:themeColor="text1"/>
          <w:sz w:val="24"/>
          <w14:textFill>
            <w14:solidFill>
              <w14:schemeClr w14:val="tx1"/>
            </w14:solidFill>
          </w14:textFill>
        </w:rPr>
        <w:t>、山麻雀等野生动物活动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无珍稀濒危受保护野生动物，根据</w:t>
      </w: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的特点，各种施工机械的噪声及施工人员的活动干扰，都将使原来栖息在工程区附近的各种野生动物受到惊吓而迁移别处</w:t>
      </w:r>
      <w:r>
        <w:rPr>
          <w:rFonts w:hint="eastAsia"/>
          <w:color w:val="000000" w:themeColor="text1"/>
          <w:sz w:val="24"/>
          <w:lang w:val="en-US" w:eastAsia="zh-CN"/>
          <w14:textFill>
            <w14:solidFill>
              <w14:schemeClr w14:val="tx1"/>
            </w14:solidFill>
          </w14:textFill>
        </w:rPr>
        <w:t>安身</w:t>
      </w:r>
      <w:r>
        <w:rPr>
          <w:color w:val="000000" w:themeColor="text1"/>
          <w:sz w:val="24"/>
          <w14:textFill>
            <w14:solidFill>
              <w14:schemeClr w14:val="tx1"/>
            </w14:solidFill>
          </w14:textFill>
        </w:rPr>
        <w:t>。目前项目区相对于当地野生动物的栖息地来说比例不大，因此对于野生动物的栖息地来说不会产生大的影响，不会导致野生动物因丧失栖息地而灭绝。</w:t>
      </w:r>
    </w:p>
    <w:p w14:paraId="386DDE2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（5）水土流失影响分析</w:t>
      </w:r>
    </w:p>
    <w:p w14:paraId="18C7F8FA">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建设过程中，由于施工人员践踏、机械作业等，将对地表植被及土壤结构造成破坏，形成一定面积的裸地，遇到</w:t>
      </w:r>
      <w:r>
        <w:rPr>
          <w:rFonts w:hint="eastAsia"/>
          <w:color w:val="000000" w:themeColor="text1"/>
          <w:sz w:val="24"/>
          <w14:textFill>
            <w14:solidFill>
              <w14:schemeClr w14:val="tx1"/>
            </w14:solidFill>
          </w14:textFill>
        </w:rPr>
        <w:t>降雨</w:t>
      </w:r>
      <w:r>
        <w:rPr>
          <w:color w:val="000000" w:themeColor="text1"/>
          <w:sz w:val="24"/>
          <w14:textFill>
            <w14:solidFill>
              <w14:schemeClr w14:val="tx1"/>
            </w14:solidFill>
          </w14:textFill>
        </w:rPr>
        <w:t>天气将会造成水土流失，开挖的土石方将占用一定的土地，对占地范围产生扰动、植被破坏，开挖土石方堆存易发生水土流失。工程建设新增水土流失产生于以下方面：</w:t>
      </w:r>
    </w:p>
    <w:p w14:paraId="6534F2D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实施期间，由于场地开拓及平整地基土层的填挖、施工人员临时生活区、施工道路的布置等，均有可能造成原生地表植被的破坏，引发和加剧水土流失。</w:t>
      </w:r>
    </w:p>
    <w:p w14:paraId="1AC35E2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②弃渣堆放被风蚀的可能性较大，若堆放或保护措施不当，将会在大风作用下产生水土流失。</w:t>
      </w:r>
    </w:p>
    <w:p w14:paraId="66DD2EA0">
      <w:pPr>
        <w:spacing w:line="480" w:lineRule="exact"/>
        <w:ind w:firstLine="480" w:firstLineChars="200"/>
        <w:rPr>
          <w:rFonts w:hint="eastAsia"/>
          <w:color w:val="000000" w:themeColor="text1"/>
          <w:sz w:val="24"/>
          <w:szCs w:val="21"/>
          <w:lang w:eastAsia="zh-CN"/>
          <w14:textFill>
            <w14:solidFill>
              <w14:schemeClr w14:val="tx1"/>
            </w14:solidFill>
          </w14:textFill>
        </w:rPr>
      </w:pPr>
      <w:r>
        <w:rPr>
          <w:color w:val="000000" w:themeColor="text1"/>
          <w:sz w:val="24"/>
          <w:szCs w:val="21"/>
          <w14:textFill>
            <w14:solidFill>
              <w14:schemeClr w14:val="tx1"/>
            </w14:solidFill>
          </w14:textFill>
        </w:rPr>
        <w:t>从</w:t>
      </w:r>
      <w:r>
        <w:rPr>
          <w:rFonts w:hint="eastAsia"/>
          <w:color w:val="000000" w:themeColor="text1"/>
          <w:sz w:val="24"/>
          <w:szCs w:val="21"/>
          <w:lang w:eastAsia="zh-CN"/>
          <w14:textFill>
            <w14:solidFill>
              <w14:schemeClr w14:val="tx1"/>
            </w14:solidFill>
          </w14:textFill>
        </w:rPr>
        <w:t>本项目</w:t>
      </w:r>
      <w:r>
        <w:rPr>
          <w:color w:val="000000" w:themeColor="text1"/>
          <w:sz w:val="24"/>
          <w:szCs w:val="21"/>
          <w14:textFill>
            <w14:solidFill>
              <w14:schemeClr w14:val="tx1"/>
            </w14:solidFill>
          </w14:textFill>
        </w:rPr>
        <w:t>建设性质来看，项目及其配套设施建设将扰动原地貌，改变地形地貌，破坏植被，工程建设对拟建项目占地范围内的土地产生扰动，项目占地面积较小，影响范围也有限，对项目区周边水土流失的影响不大</w:t>
      </w:r>
      <w:r>
        <w:rPr>
          <w:rFonts w:hint="eastAsia"/>
          <w:color w:val="000000" w:themeColor="text1"/>
          <w:sz w:val="24"/>
          <w:szCs w:val="21"/>
          <w:lang w:eastAsia="zh-CN"/>
          <w14:textFill>
            <w14:solidFill>
              <w14:schemeClr w14:val="tx1"/>
            </w14:solidFill>
          </w14:textFill>
        </w:rPr>
        <w:t>。</w:t>
      </w:r>
    </w:p>
    <w:p w14:paraId="27230945">
      <w:pPr>
        <w:spacing w:line="480" w:lineRule="exact"/>
        <w:ind w:firstLine="480" w:firstLineChars="200"/>
        <w:rPr>
          <w:rFonts w:hint="eastAsia"/>
          <w:color w:val="000000" w:themeColor="text1"/>
          <w:sz w:val="24"/>
          <w:szCs w:val="21"/>
          <w:lang w:eastAsia="zh-CN"/>
          <w14:textFill>
            <w14:solidFill>
              <w14:schemeClr w14:val="tx1"/>
            </w14:solidFill>
          </w14:textFill>
        </w:rPr>
      </w:pPr>
      <w:r>
        <w:rPr>
          <w:rFonts w:hint="eastAsia"/>
          <w:color w:val="000000" w:themeColor="text1"/>
          <w:sz w:val="24"/>
          <w:szCs w:val="21"/>
          <w:lang w:eastAsia="zh-CN"/>
          <w14:textFill>
            <w14:solidFill>
              <w14:schemeClr w14:val="tx1"/>
            </w14:solidFill>
          </w14:textFill>
        </w:rPr>
        <w:t>（</w:t>
      </w:r>
      <w:r>
        <w:rPr>
          <w:rFonts w:hint="eastAsia"/>
          <w:color w:val="000000" w:themeColor="text1"/>
          <w:sz w:val="24"/>
          <w:szCs w:val="21"/>
          <w:lang w:val="en-US" w:eastAsia="zh-CN"/>
          <w14:textFill>
            <w14:solidFill>
              <w14:schemeClr w14:val="tx1"/>
            </w14:solidFill>
          </w14:textFill>
        </w:rPr>
        <w:t>6</w:t>
      </w:r>
      <w:r>
        <w:rPr>
          <w:rFonts w:hint="eastAsia"/>
          <w:color w:val="000000" w:themeColor="text1"/>
          <w:sz w:val="24"/>
          <w:szCs w:val="21"/>
          <w:lang w:eastAsia="zh-CN"/>
          <w14:textFill>
            <w14:solidFill>
              <w14:schemeClr w14:val="tx1"/>
            </w14:solidFill>
          </w14:textFill>
        </w:rPr>
        <w:t>）</w:t>
      </w:r>
      <w:r>
        <w:rPr>
          <w:rFonts w:hint="eastAsia"/>
          <w:color w:val="000000" w:themeColor="text1"/>
          <w:sz w:val="24"/>
          <w:szCs w:val="21"/>
          <w:lang w:val="en-US" w:eastAsia="zh-CN"/>
          <w14:textFill>
            <w14:solidFill>
              <w14:schemeClr w14:val="tx1"/>
            </w14:solidFill>
          </w14:textFill>
        </w:rPr>
        <w:t>施工期</w:t>
      </w:r>
      <w:r>
        <w:rPr>
          <w:rFonts w:hint="eastAsia"/>
          <w:color w:val="000000" w:themeColor="text1"/>
          <w:sz w:val="24"/>
          <w:szCs w:val="21"/>
          <w:lang w:eastAsia="zh-CN"/>
          <w14:textFill>
            <w14:solidFill>
              <w14:schemeClr w14:val="tx1"/>
            </w14:solidFill>
          </w14:textFill>
        </w:rPr>
        <w:t>对砾幕层的影响分析</w:t>
      </w:r>
    </w:p>
    <w:p w14:paraId="186CE6FB">
      <w:pPr>
        <w:spacing w:line="480" w:lineRule="exact"/>
        <w:ind w:firstLine="480" w:firstLineChars="200"/>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eastAsia="zh-CN"/>
          <w14:textFill>
            <w14:solidFill>
              <w14:schemeClr w14:val="tx1"/>
            </w14:solidFill>
          </w14:textFill>
        </w:rPr>
        <w:t>建设期间，由于</w:t>
      </w:r>
      <w:r>
        <w:rPr>
          <w:rFonts w:hint="eastAsia"/>
          <w:color w:val="000000" w:themeColor="text1"/>
          <w:sz w:val="24"/>
          <w:szCs w:val="21"/>
          <w:lang w:val="en-US" w:eastAsia="zh-CN"/>
          <w14:textFill>
            <w14:solidFill>
              <w14:schemeClr w14:val="tx1"/>
            </w14:solidFill>
          </w14:textFill>
        </w:rPr>
        <w:t>场地平场、土石方调动，扰动地表，破坏了戈壁砾幕层，造成局部区域土壤侵蚀强度增加。</w:t>
      </w:r>
    </w:p>
    <w:p w14:paraId="2720E63D">
      <w:pPr>
        <w:spacing w:line="480" w:lineRule="exact"/>
        <w:ind w:firstLine="480" w:firstLineChars="200"/>
        <w:rPr>
          <w:rFonts w:hint="default"/>
          <w:color w:val="000000" w:themeColor="text1"/>
          <w:sz w:val="24"/>
          <w:szCs w:val="21"/>
          <w:lang w:val="en-US" w:eastAsia="zh-CN"/>
          <w14:textFill>
            <w14:solidFill>
              <w14:schemeClr w14:val="tx1"/>
            </w14:solidFill>
          </w14:textFill>
        </w:rPr>
      </w:pPr>
      <w:r>
        <w:rPr>
          <w:rFonts w:hint="eastAsia"/>
          <w:color w:val="000000" w:themeColor="text1"/>
          <w:sz w:val="24"/>
          <w:szCs w:val="21"/>
          <w:lang w:eastAsia="zh-CN"/>
          <w14:textFill>
            <w14:solidFill>
              <w14:schemeClr w14:val="tx1"/>
            </w14:solidFill>
          </w14:textFill>
        </w:rPr>
        <w:t>施工期尽量减少临时占地面积，施工过程中将地表砾石进行收集，施工结束后对临时占地进行恢复，重新覆盖砾石，洒水使其固定，重塑砾幕层。</w:t>
      </w:r>
      <w:r>
        <w:rPr>
          <w:rFonts w:hint="eastAsia"/>
          <w:color w:val="000000" w:themeColor="text1"/>
          <w:sz w:val="24"/>
          <w:szCs w:val="21"/>
          <w:lang w:val="en-US" w:eastAsia="zh-CN"/>
          <w14:textFill>
            <w14:solidFill>
              <w14:schemeClr w14:val="tx1"/>
            </w14:solidFill>
          </w14:textFill>
        </w:rPr>
        <w:t>控制施工作业带范围，禁止越界占地和施工。采取以上措施后，施工期</w:t>
      </w:r>
      <w:r>
        <w:rPr>
          <w:rFonts w:hint="eastAsia"/>
          <w:color w:val="000000" w:themeColor="text1"/>
          <w:sz w:val="24"/>
          <w:szCs w:val="21"/>
          <w:lang w:eastAsia="zh-CN"/>
          <w14:textFill>
            <w14:solidFill>
              <w14:schemeClr w14:val="tx1"/>
            </w14:solidFill>
          </w14:textFill>
        </w:rPr>
        <w:t>对</w:t>
      </w:r>
      <w:r>
        <w:rPr>
          <w:rFonts w:hint="eastAsia"/>
          <w:color w:val="000000" w:themeColor="text1"/>
          <w:sz w:val="24"/>
          <w:szCs w:val="21"/>
          <w:lang w:val="en-US" w:eastAsia="zh-CN"/>
          <w14:textFill>
            <w14:solidFill>
              <w14:schemeClr w14:val="tx1"/>
            </w14:solidFill>
          </w14:textFill>
        </w:rPr>
        <w:t>戈壁</w:t>
      </w:r>
      <w:r>
        <w:rPr>
          <w:rFonts w:hint="eastAsia"/>
          <w:color w:val="000000" w:themeColor="text1"/>
          <w:sz w:val="24"/>
          <w:szCs w:val="21"/>
          <w:lang w:eastAsia="zh-CN"/>
          <w14:textFill>
            <w14:solidFill>
              <w14:schemeClr w14:val="tx1"/>
            </w14:solidFill>
          </w14:textFill>
        </w:rPr>
        <w:t>砾幕层的</w:t>
      </w:r>
      <w:r>
        <w:rPr>
          <w:rFonts w:hint="eastAsia"/>
          <w:color w:val="000000" w:themeColor="text1"/>
          <w:sz w:val="24"/>
          <w:szCs w:val="21"/>
          <w:lang w:val="en-US" w:eastAsia="zh-CN"/>
          <w14:textFill>
            <w14:solidFill>
              <w14:schemeClr w14:val="tx1"/>
            </w14:solidFill>
          </w14:textFill>
        </w:rPr>
        <w:t>影响可接受。</w:t>
      </w:r>
    </w:p>
    <w:p w14:paraId="5A3C49C7">
      <w:pPr>
        <w:pStyle w:val="4"/>
        <w:numPr>
          <w:ilvl w:val="0"/>
          <w:numId w:val="0"/>
        </w:numPr>
        <w:spacing w:before="60" w:after="60" w:line="480" w:lineRule="exact"/>
        <w:ind w:leftChars="0"/>
        <w:rPr>
          <w:rFonts w:hint="default" w:ascii="Times New Roman" w:hAnsi="Times New Roman" w:eastAsia="宋体" w:cs="Times New Roman"/>
          <w:b/>
          <w:bCs/>
          <w:color w:val="000000" w:themeColor="text1"/>
          <w:sz w:val="3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30"/>
          <w:highlight w:val="none"/>
          <w:lang w:val="en-US" w:eastAsia="zh-CN"/>
          <w14:textFill>
            <w14:solidFill>
              <w14:schemeClr w14:val="tx1"/>
            </w14:solidFill>
          </w14:textFill>
        </w:rPr>
        <w:t>5.1.</w:t>
      </w:r>
      <w:r>
        <w:rPr>
          <w:rFonts w:hint="eastAsia" w:ascii="Times New Roman" w:hAnsi="Times New Roman" w:eastAsia="宋体" w:cs="Times New Roman"/>
          <w:b/>
          <w:bCs/>
          <w:color w:val="000000" w:themeColor="text1"/>
          <w:sz w:val="30"/>
          <w:highlight w:val="none"/>
          <w:lang w:val="en-US" w:eastAsia="zh-CN"/>
          <w14:textFill>
            <w14:solidFill>
              <w14:schemeClr w14:val="tx1"/>
            </w14:solidFill>
          </w14:textFill>
        </w:rPr>
        <w:t>8对周边沙化土地的影响</w:t>
      </w:r>
    </w:p>
    <w:p w14:paraId="00E859C7">
      <w:pPr>
        <w:spacing w:line="480" w:lineRule="exact"/>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建设过程中对原地貌的扰动将降低项目占地范围内的土壤抗侵蚀能力，造成土地沙化；由于项目地处内陆地区，风沙较大，空气干燥，加上地表植被覆盖度低，若项目土石方堆存过程中未采取防尘网苫盖、洒水抑尘等措施，地表沙化的土壤及废土等遇大风天气易产生严重的扬尘，形成沙尘天气。</w:t>
      </w:r>
    </w:p>
    <w:p w14:paraId="609FD0B5">
      <w:pPr>
        <w:spacing w:line="480" w:lineRule="exact"/>
        <w:ind w:firstLine="480" w:firstLineChars="200"/>
        <w:rPr>
          <w:rFonts w:hint="default" w:ascii="Times New Roman" w:hAnsi="Times New Roman" w:eastAsia="宋体" w:cs="Times New Roman"/>
          <w:color w:val="000000" w:themeColor="text1"/>
          <w:kern w:val="2"/>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施工期间对环境产生的影响主要为土石方挖掘、土建施工、交通运输和机械设备的安装、调试等</w:t>
      </w:r>
      <w:r>
        <w:rPr>
          <w:rFonts w:hint="default" w:ascii="Times New Roman" w:hAnsi="Times New Roman" w:eastAsia="宋体" w:cs="Times New Roman"/>
          <w:color w:val="000000" w:themeColor="text1"/>
          <w:sz w:val="24"/>
          <w:lang w:eastAsia="zh-CN"/>
          <w14:textFill>
            <w14:solidFill>
              <w14:schemeClr w14:val="tx1"/>
            </w14:solidFill>
          </w14:textFill>
        </w:rPr>
        <w:t>。施工过程中，对原有地表土壤造成扰动，造成地表原有结构的破坏，影响区域植被生长，造成土壤逐渐沙化。此外，在施工过程中，车辆在荒漠上行驶将使经过的土壤变紧实，严重的经过多次碾压后植物很难再生长，甚至退化为沙地。上述施工作业过程中，对原地貌的扰动大大降低了项目占地范围内的土壤抗侵蚀能力，若未采取相应的防护措施，遇大风天气，极易加重区域沙尘天气。</w:t>
      </w:r>
    </w:p>
    <w:p w14:paraId="0C9A569E">
      <w:pPr>
        <w:pStyle w:val="3"/>
        <w:numPr>
          <w:ilvl w:val="1"/>
          <w:numId w:val="0"/>
        </w:numPr>
        <w:bidi w:val="0"/>
        <w:ind w:leftChars="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426" w:name="_Toc1130"/>
      <w:bookmarkStart w:id="427" w:name="_Toc21899"/>
      <w:bookmarkStart w:id="428" w:name="_Toc8551"/>
      <w:bookmarkStart w:id="429" w:name="_Toc31673"/>
      <w:bookmarkStart w:id="430" w:name="_Toc29771"/>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5.2运营期环境影响预测与评价</w:t>
      </w:r>
      <w:bookmarkEnd w:id="426"/>
      <w:bookmarkEnd w:id="427"/>
      <w:bookmarkEnd w:id="428"/>
      <w:bookmarkEnd w:id="429"/>
      <w:bookmarkEnd w:id="430"/>
    </w:p>
    <w:p w14:paraId="012BCC82">
      <w:pPr>
        <w:pStyle w:val="4"/>
        <w:numPr>
          <w:ilvl w:val="0"/>
          <w:numId w:val="0"/>
        </w:numPr>
        <w:spacing w:before="60" w:after="60" w:line="480" w:lineRule="exact"/>
        <w:ind w:leftChars="0"/>
        <w:rPr>
          <w:rFonts w:hint="default" w:ascii="Times New Roman" w:hAnsi="Times New Roman" w:eastAsia="宋体" w:cs="Times New Roman"/>
          <w:b/>
          <w:bCs/>
          <w:color w:val="000000" w:themeColor="text1"/>
          <w:sz w:val="30"/>
          <w:highlight w:val="none"/>
          <w:lang w:val="en-US" w:eastAsia="zh-CN"/>
          <w14:textFill>
            <w14:solidFill>
              <w14:schemeClr w14:val="tx1"/>
            </w14:solidFill>
          </w14:textFill>
        </w:rPr>
      </w:pPr>
      <w:bookmarkStart w:id="431" w:name="_Toc25916"/>
      <w:bookmarkStart w:id="432" w:name="_Toc8290"/>
      <w:bookmarkStart w:id="433" w:name="_Toc31990"/>
      <w:r>
        <w:rPr>
          <w:rFonts w:hint="default" w:ascii="Times New Roman" w:hAnsi="Times New Roman" w:eastAsia="宋体" w:cs="Times New Roman"/>
          <w:b/>
          <w:bCs/>
          <w:color w:val="000000" w:themeColor="text1"/>
          <w:sz w:val="30"/>
          <w:highlight w:val="none"/>
          <w:lang w:val="en-US" w:eastAsia="zh-CN"/>
          <w14:textFill>
            <w14:solidFill>
              <w14:schemeClr w14:val="tx1"/>
            </w14:solidFill>
          </w14:textFill>
        </w:rPr>
        <w:t>5.2.1大气环境影响分析与评价</w:t>
      </w:r>
      <w:bookmarkEnd w:id="431"/>
      <w:bookmarkEnd w:id="432"/>
      <w:bookmarkEnd w:id="433"/>
    </w:p>
    <w:p w14:paraId="20129AAF">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5.2.1.1大气污染物排放量核算</w:t>
      </w:r>
    </w:p>
    <w:p w14:paraId="3DC78CA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大气环境影响评价等级为二级，根据《环境影响评价技术导则大气环境》（HJ2.2-2018），二级评价项目可不进行进一步预测与评价，只对污染物排放量进行核算。</w:t>
      </w: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大气污染物排放量核算情况如下：</w:t>
      </w:r>
    </w:p>
    <w:p w14:paraId="55345DA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无组织排放量核算</w:t>
      </w:r>
    </w:p>
    <w:p w14:paraId="3983A39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大气污染物无组织排放情况见表5.2-1。</w:t>
      </w:r>
    </w:p>
    <w:p w14:paraId="6191E273">
      <w:pPr>
        <w:spacing w:line="480" w:lineRule="exact"/>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表5.2-1    大气污染物无组织排放量核算表</w:t>
      </w:r>
    </w:p>
    <w:tbl>
      <w:tblPr>
        <w:tblStyle w:val="79"/>
        <w:tblW w:w="505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548"/>
        <w:gridCol w:w="1977"/>
        <w:gridCol w:w="1160"/>
        <w:gridCol w:w="3253"/>
        <w:gridCol w:w="1490"/>
      </w:tblGrid>
      <w:tr w14:paraId="6DB3DF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tblHeader/>
          <w:jc w:val="center"/>
        </w:trPr>
        <w:tc>
          <w:tcPr>
            <w:tcW w:w="325" w:type="pct"/>
            <w:noWrap w:val="0"/>
            <w:vAlign w:val="center"/>
          </w:tcPr>
          <w:p w14:paraId="21A2FA25">
            <w:pPr>
              <w:pStyle w:val="47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序号</w:t>
            </w:r>
          </w:p>
        </w:tc>
        <w:tc>
          <w:tcPr>
            <w:tcW w:w="1172" w:type="pct"/>
            <w:noWrap w:val="0"/>
            <w:vAlign w:val="center"/>
          </w:tcPr>
          <w:p w14:paraId="05966C13">
            <w:pPr>
              <w:pStyle w:val="47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污染源</w:t>
            </w:r>
          </w:p>
        </w:tc>
        <w:tc>
          <w:tcPr>
            <w:tcW w:w="688" w:type="pct"/>
            <w:noWrap w:val="0"/>
            <w:vAlign w:val="center"/>
          </w:tcPr>
          <w:p w14:paraId="79C7C42E">
            <w:pPr>
              <w:pStyle w:val="47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污染物</w:t>
            </w:r>
          </w:p>
        </w:tc>
        <w:tc>
          <w:tcPr>
            <w:tcW w:w="1929" w:type="pct"/>
            <w:noWrap w:val="0"/>
            <w:vAlign w:val="center"/>
          </w:tcPr>
          <w:p w14:paraId="0A8BE57C">
            <w:pPr>
              <w:pStyle w:val="47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主要污染防治措施</w:t>
            </w:r>
          </w:p>
        </w:tc>
        <w:tc>
          <w:tcPr>
            <w:tcW w:w="883" w:type="pct"/>
            <w:noWrap w:val="0"/>
            <w:vAlign w:val="center"/>
          </w:tcPr>
          <w:p w14:paraId="183F3F5C">
            <w:pPr>
              <w:pStyle w:val="47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核算年排放量（t/a）</w:t>
            </w:r>
          </w:p>
        </w:tc>
      </w:tr>
      <w:tr w14:paraId="3D6E5A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vMerge w:val="restart"/>
            <w:noWrap w:val="0"/>
            <w:vAlign w:val="center"/>
          </w:tcPr>
          <w:p w14:paraId="49CBB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1</w:t>
            </w:r>
          </w:p>
        </w:tc>
        <w:tc>
          <w:tcPr>
            <w:tcW w:w="1172" w:type="pct"/>
            <w:vMerge w:val="restart"/>
            <w:noWrap w:val="0"/>
            <w:vAlign w:val="center"/>
          </w:tcPr>
          <w:p w14:paraId="53484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爆破废气</w:t>
            </w:r>
          </w:p>
        </w:tc>
        <w:tc>
          <w:tcPr>
            <w:tcW w:w="688" w:type="pct"/>
            <w:noWrap w:val="0"/>
            <w:vAlign w:val="center"/>
          </w:tcPr>
          <w:p w14:paraId="61AB3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颗粒物</w:t>
            </w:r>
          </w:p>
        </w:tc>
        <w:tc>
          <w:tcPr>
            <w:tcW w:w="1929" w:type="pct"/>
            <w:vMerge w:val="restart"/>
            <w:noWrap w:val="0"/>
            <w:vAlign w:val="center"/>
          </w:tcPr>
          <w:p w14:paraId="1D060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采用多排垂直深孔微差松动爆破，爆破前向洒水预湿</w:t>
            </w:r>
          </w:p>
        </w:tc>
        <w:tc>
          <w:tcPr>
            <w:tcW w:w="883" w:type="pct"/>
            <w:noWrap w:val="0"/>
            <w:vAlign w:val="center"/>
          </w:tcPr>
          <w:p w14:paraId="64AE0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2.60</w:t>
            </w:r>
          </w:p>
        </w:tc>
      </w:tr>
      <w:tr w14:paraId="697A16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vMerge w:val="continue"/>
            <w:noWrap w:val="0"/>
            <w:vAlign w:val="center"/>
          </w:tcPr>
          <w:p w14:paraId="1B095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1172" w:type="pct"/>
            <w:vMerge w:val="continue"/>
            <w:noWrap w:val="0"/>
            <w:vAlign w:val="center"/>
          </w:tcPr>
          <w:p w14:paraId="1560F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688" w:type="pct"/>
            <w:noWrap w:val="0"/>
            <w:vAlign w:val="center"/>
          </w:tcPr>
          <w:p w14:paraId="50443B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CO</w:t>
            </w:r>
          </w:p>
        </w:tc>
        <w:tc>
          <w:tcPr>
            <w:tcW w:w="1929" w:type="pct"/>
            <w:vMerge w:val="continue"/>
            <w:noWrap w:val="0"/>
            <w:vAlign w:val="center"/>
          </w:tcPr>
          <w:p w14:paraId="67AFD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883" w:type="pct"/>
            <w:noWrap w:val="0"/>
            <w:vAlign w:val="center"/>
          </w:tcPr>
          <w:p w14:paraId="17EB9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1.512</w:t>
            </w:r>
          </w:p>
        </w:tc>
      </w:tr>
      <w:tr w14:paraId="237004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vMerge w:val="continue"/>
            <w:noWrap w:val="0"/>
            <w:vAlign w:val="center"/>
          </w:tcPr>
          <w:p w14:paraId="6B6F1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1172" w:type="pct"/>
            <w:vMerge w:val="continue"/>
            <w:noWrap w:val="0"/>
            <w:vAlign w:val="center"/>
          </w:tcPr>
          <w:p w14:paraId="5DE19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688" w:type="pct"/>
            <w:noWrap w:val="0"/>
            <w:vAlign w:val="center"/>
          </w:tcPr>
          <w:p w14:paraId="30E0B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NOx</w:t>
            </w:r>
          </w:p>
        </w:tc>
        <w:tc>
          <w:tcPr>
            <w:tcW w:w="1929" w:type="pct"/>
            <w:vMerge w:val="continue"/>
            <w:noWrap w:val="0"/>
            <w:vAlign w:val="center"/>
          </w:tcPr>
          <w:p w14:paraId="3B67C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883" w:type="pct"/>
            <w:noWrap w:val="0"/>
            <w:vAlign w:val="center"/>
          </w:tcPr>
          <w:p w14:paraId="242A27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3.504</w:t>
            </w:r>
          </w:p>
        </w:tc>
      </w:tr>
      <w:tr w14:paraId="23A853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noWrap w:val="0"/>
            <w:vAlign w:val="center"/>
          </w:tcPr>
          <w:p w14:paraId="663D2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2</w:t>
            </w:r>
          </w:p>
        </w:tc>
        <w:tc>
          <w:tcPr>
            <w:tcW w:w="1172" w:type="pct"/>
            <w:noWrap w:val="0"/>
            <w:vAlign w:val="center"/>
          </w:tcPr>
          <w:p w14:paraId="44C5C4B0">
            <w:pPr>
              <w:pStyle w:val="47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井下装载粉尘</w:t>
            </w:r>
          </w:p>
        </w:tc>
        <w:tc>
          <w:tcPr>
            <w:tcW w:w="688" w:type="pct"/>
            <w:noWrap w:val="0"/>
            <w:vAlign w:val="center"/>
          </w:tcPr>
          <w:p w14:paraId="18458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颗粒物</w:t>
            </w:r>
          </w:p>
        </w:tc>
        <w:tc>
          <w:tcPr>
            <w:tcW w:w="1929" w:type="pct"/>
            <w:noWrap w:val="0"/>
            <w:vAlign w:val="center"/>
          </w:tcPr>
          <w:p w14:paraId="4DCCD1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洒水抑尘</w:t>
            </w:r>
          </w:p>
        </w:tc>
        <w:tc>
          <w:tcPr>
            <w:tcW w:w="883" w:type="pct"/>
            <w:noWrap w:val="0"/>
            <w:vAlign w:val="center"/>
          </w:tcPr>
          <w:p w14:paraId="37F60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少量</w:t>
            </w:r>
          </w:p>
        </w:tc>
      </w:tr>
      <w:tr w14:paraId="18B2C8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noWrap w:val="0"/>
            <w:vAlign w:val="center"/>
          </w:tcPr>
          <w:p w14:paraId="4A5E1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3</w:t>
            </w:r>
          </w:p>
        </w:tc>
        <w:tc>
          <w:tcPr>
            <w:tcW w:w="1172" w:type="pct"/>
            <w:noWrap w:val="0"/>
            <w:vAlign w:val="center"/>
          </w:tcPr>
          <w:p w14:paraId="45C599F3">
            <w:pPr>
              <w:pStyle w:val="47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textAlignment w:val="auto"/>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废石堆场扬尘</w:t>
            </w:r>
          </w:p>
        </w:tc>
        <w:tc>
          <w:tcPr>
            <w:tcW w:w="688" w:type="pct"/>
            <w:noWrap w:val="0"/>
            <w:vAlign w:val="center"/>
          </w:tcPr>
          <w:p w14:paraId="611EF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颗粒物</w:t>
            </w:r>
          </w:p>
        </w:tc>
        <w:tc>
          <w:tcPr>
            <w:tcW w:w="1929" w:type="pct"/>
            <w:noWrap w:val="0"/>
            <w:vAlign w:val="center"/>
          </w:tcPr>
          <w:p w14:paraId="6600F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洒水降尘、压实、大粒径废石覆压</w:t>
            </w:r>
          </w:p>
        </w:tc>
        <w:tc>
          <w:tcPr>
            <w:tcW w:w="883" w:type="pct"/>
            <w:noWrap w:val="0"/>
            <w:vAlign w:val="center"/>
          </w:tcPr>
          <w:p w14:paraId="1702A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cs="Times New Roman"/>
                <w:color w:val="000000" w:themeColor="text1"/>
                <w:kern w:val="28"/>
                <w:sz w:val="21"/>
                <w:szCs w:val="21"/>
                <w:highlight w:val="none"/>
                <w:lang w:val="en-US" w:eastAsia="zh-CN"/>
                <w14:textFill>
                  <w14:solidFill>
                    <w14:schemeClr w14:val="tx1"/>
                  </w14:solidFill>
                </w14:textFill>
              </w:rPr>
              <w:t>2.38</w:t>
            </w:r>
          </w:p>
        </w:tc>
      </w:tr>
      <w:tr w14:paraId="79FC5D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shd w:val="clear" w:color="auto" w:fill="auto"/>
            <w:noWrap w:val="0"/>
            <w:vAlign w:val="center"/>
          </w:tcPr>
          <w:p w14:paraId="13ED7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4</w:t>
            </w:r>
          </w:p>
        </w:tc>
        <w:tc>
          <w:tcPr>
            <w:tcW w:w="1172" w:type="pct"/>
            <w:shd w:val="clear" w:color="auto" w:fill="auto"/>
            <w:noWrap w:val="0"/>
            <w:vAlign w:val="center"/>
          </w:tcPr>
          <w:p w14:paraId="2557F3B2">
            <w:pPr>
              <w:pStyle w:val="47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leftChars="0" w:right="0" w:rightChars="0" w:firstLine="0" w:firstLineChars="0"/>
              <w:textAlignment w:val="auto"/>
              <w:rPr>
                <w:rFonts w:hint="eastAsia" w:ascii="Times New Roman" w:hAnsi="Times New Roman" w:eastAsia="宋体" w:cs="Times New Roman"/>
                <w:b/>
                <w:color w:val="000000" w:themeColor="text1"/>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废石堆场扬尘</w:t>
            </w:r>
          </w:p>
        </w:tc>
        <w:tc>
          <w:tcPr>
            <w:tcW w:w="688" w:type="pct"/>
            <w:shd w:val="clear" w:color="auto" w:fill="auto"/>
            <w:noWrap w:val="0"/>
            <w:vAlign w:val="center"/>
          </w:tcPr>
          <w:p w14:paraId="085A7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颗粒物</w:t>
            </w:r>
          </w:p>
        </w:tc>
        <w:tc>
          <w:tcPr>
            <w:tcW w:w="1929" w:type="pct"/>
            <w:shd w:val="clear" w:color="auto" w:fill="auto"/>
            <w:noWrap w:val="0"/>
            <w:vAlign w:val="center"/>
          </w:tcPr>
          <w:p w14:paraId="466E6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洒水降尘、压实、大粒径废石覆压</w:t>
            </w:r>
          </w:p>
        </w:tc>
        <w:tc>
          <w:tcPr>
            <w:tcW w:w="883" w:type="pct"/>
            <w:shd w:val="clear" w:color="auto" w:fill="auto"/>
            <w:noWrap w:val="0"/>
            <w:vAlign w:val="center"/>
          </w:tcPr>
          <w:p w14:paraId="4140A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8"/>
                <w:sz w:val="21"/>
                <w:szCs w:val="21"/>
                <w:highlight w:val="none"/>
                <w:lang w:val="en-US" w:eastAsia="zh-CN" w:bidi="ar-SA"/>
                <w14:textFill>
                  <w14:solidFill>
                    <w14:schemeClr w14:val="tx1"/>
                  </w14:solidFill>
                </w14:textFill>
              </w:rPr>
            </w:pPr>
            <w:r>
              <w:rPr>
                <w:rFonts w:hint="eastAsia" w:cs="Times New Roman"/>
                <w:color w:val="000000" w:themeColor="text1"/>
                <w:kern w:val="28"/>
                <w:sz w:val="21"/>
                <w:szCs w:val="21"/>
                <w:highlight w:val="none"/>
                <w:lang w:val="en-US" w:eastAsia="zh-CN"/>
                <w14:textFill>
                  <w14:solidFill>
                    <w14:schemeClr w14:val="tx1"/>
                  </w14:solidFill>
                </w14:textFill>
              </w:rPr>
              <w:t>2.38</w:t>
            </w:r>
          </w:p>
        </w:tc>
      </w:tr>
      <w:tr w14:paraId="50F57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shd w:val="clear" w:color="auto" w:fill="auto"/>
            <w:noWrap w:val="0"/>
            <w:vAlign w:val="center"/>
          </w:tcPr>
          <w:p w14:paraId="6A4CF1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5</w:t>
            </w:r>
          </w:p>
        </w:tc>
        <w:tc>
          <w:tcPr>
            <w:tcW w:w="1172" w:type="pct"/>
            <w:noWrap w:val="0"/>
            <w:vAlign w:val="center"/>
          </w:tcPr>
          <w:p w14:paraId="2B9B0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道路运输</w:t>
            </w: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扬尘</w:t>
            </w:r>
          </w:p>
        </w:tc>
        <w:tc>
          <w:tcPr>
            <w:tcW w:w="688" w:type="pct"/>
            <w:noWrap w:val="0"/>
            <w:vAlign w:val="center"/>
          </w:tcPr>
          <w:p w14:paraId="33AF6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颗粒物</w:t>
            </w:r>
          </w:p>
        </w:tc>
        <w:tc>
          <w:tcPr>
            <w:tcW w:w="1929" w:type="pct"/>
            <w:noWrap w:val="0"/>
            <w:vAlign w:val="center"/>
          </w:tcPr>
          <w:p w14:paraId="644FC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洒水降尘、道路路面铺碎石</w:t>
            </w:r>
          </w:p>
        </w:tc>
        <w:tc>
          <w:tcPr>
            <w:tcW w:w="883" w:type="pct"/>
            <w:noWrap w:val="0"/>
            <w:vAlign w:val="center"/>
          </w:tcPr>
          <w:p w14:paraId="127D8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cs="Times New Roman"/>
                <w:color w:val="000000" w:themeColor="text1"/>
                <w:kern w:val="28"/>
                <w:sz w:val="21"/>
                <w:szCs w:val="21"/>
                <w:highlight w:val="none"/>
                <w:lang w:val="en-US" w:eastAsia="zh-CN"/>
                <w14:textFill>
                  <w14:solidFill>
                    <w14:schemeClr w14:val="tx1"/>
                  </w14:solidFill>
                </w14:textFill>
              </w:rPr>
              <w:t>10.65</w:t>
            </w:r>
          </w:p>
        </w:tc>
      </w:tr>
      <w:tr w14:paraId="496C41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vMerge w:val="restart"/>
            <w:noWrap w:val="0"/>
            <w:vAlign w:val="center"/>
          </w:tcPr>
          <w:p w14:paraId="11482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6</w:t>
            </w:r>
          </w:p>
        </w:tc>
        <w:tc>
          <w:tcPr>
            <w:tcW w:w="1172" w:type="pct"/>
            <w:vMerge w:val="restart"/>
            <w:noWrap w:val="0"/>
            <w:vAlign w:val="center"/>
          </w:tcPr>
          <w:p w14:paraId="465CF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柴油燃烧废气</w:t>
            </w:r>
          </w:p>
        </w:tc>
        <w:tc>
          <w:tcPr>
            <w:tcW w:w="688" w:type="pct"/>
            <w:noWrap w:val="0"/>
            <w:vAlign w:val="center"/>
          </w:tcPr>
          <w:p w14:paraId="36EC6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CO</w:t>
            </w:r>
          </w:p>
        </w:tc>
        <w:tc>
          <w:tcPr>
            <w:tcW w:w="1929" w:type="pct"/>
            <w:vMerge w:val="restart"/>
            <w:noWrap w:val="0"/>
            <w:vAlign w:val="center"/>
          </w:tcPr>
          <w:p w14:paraId="33A73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燃用优质柴油、加强日常</w:t>
            </w:r>
            <w:r>
              <w:rPr>
                <w:rFonts w:hint="eastAsia" w:cs="Times New Roman"/>
                <w:color w:val="000000" w:themeColor="text1"/>
                <w:kern w:val="28"/>
                <w:sz w:val="21"/>
                <w:szCs w:val="21"/>
                <w:highlight w:val="none"/>
                <w:lang w:val="en-US" w:eastAsia="zh-CN"/>
                <w14:textFill>
                  <w14:solidFill>
                    <w14:schemeClr w14:val="tx1"/>
                  </w14:solidFill>
                </w14:textFill>
              </w:rPr>
              <w:t>检修</w:t>
            </w: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及维护保养、选用低能耗、高效率的燃油设备和车辆</w:t>
            </w:r>
          </w:p>
        </w:tc>
        <w:tc>
          <w:tcPr>
            <w:tcW w:w="883" w:type="pct"/>
            <w:noWrap w:val="0"/>
            <w:vAlign w:val="center"/>
          </w:tcPr>
          <w:p w14:paraId="6E506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5.60</w:t>
            </w:r>
          </w:p>
        </w:tc>
      </w:tr>
      <w:tr w14:paraId="4B9D0B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vMerge w:val="continue"/>
            <w:noWrap w:val="0"/>
            <w:vAlign w:val="center"/>
          </w:tcPr>
          <w:p w14:paraId="63AEF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1172" w:type="pct"/>
            <w:vMerge w:val="continue"/>
            <w:noWrap w:val="0"/>
            <w:vAlign w:val="center"/>
          </w:tcPr>
          <w:p w14:paraId="4E80E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688" w:type="pct"/>
            <w:noWrap w:val="0"/>
            <w:vAlign w:val="center"/>
          </w:tcPr>
          <w:p w14:paraId="7A09C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kern w:val="28"/>
                <w:sz w:val="21"/>
                <w:szCs w:val="21"/>
                <w:highlight w:val="none"/>
                <w:vertAlign w:val="subscript"/>
                <w:lang w:val="en-US" w:eastAsia="zh-CN"/>
                <w14:textFill>
                  <w14:solidFill>
                    <w14:schemeClr w14:val="tx1"/>
                  </w14:solidFill>
                </w14:textFill>
              </w:rPr>
              <w:t>X</w:t>
            </w:r>
          </w:p>
        </w:tc>
        <w:tc>
          <w:tcPr>
            <w:tcW w:w="1929" w:type="pct"/>
            <w:vMerge w:val="continue"/>
            <w:noWrap w:val="0"/>
            <w:vAlign w:val="center"/>
          </w:tcPr>
          <w:p w14:paraId="6B9A4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883" w:type="pct"/>
            <w:noWrap w:val="0"/>
            <w:vAlign w:val="center"/>
          </w:tcPr>
          <w:p w14:paraId="7BFE2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25.62</w:t>
            </w:r>
          </w:p>
        </w:tc>
      </w:tr>
      <w:tr w14:paraId="051B8B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vMerge w:val="continue"/>
            <w:noWrap w:val="0"/>
            <w:vAlign w:val="center"/>
          </w:tcPr>
          <w:p w14:paraId="7B0D5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1172" w:type="pct"/>
            <w:vMerge w:val="continue"/>
            <w:noWrap w:val="0"/>
            <w:vAlign w:val="center"/>
          </w:tcPr>
          <w:p w14:paraId="0E183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688" w:type="pct"/>
            <w:noWrap w:val="0"/>
            <w:vAlign w:val="center"/>
          </w:tcPr>
          <w:p w14:paraId="204D5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THC</w:t>
            </w:r>
          </w:p>
        </w:tc>
        <w:tc>
          <w:tcPr>
            <w:tcW w:w="1929" w:type="pct"/>
            <w:vMerge w:val="continue"/>
            <w:noWrap w:val="0"/>
            <w:vAlign w:val="center"/>
          </w:tcPr>
          <w:p w14:paraId="3C53D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883" w:type="pct"/>
            <w:noWrap w:val="0"/>
            <w:vAlign w:val="center"/>
          </w:tcPr>
          <w:p w14:paraId="226B4A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9.51</w:t>
            </w:r>
          </w:p>
        </w:tc>
      </w:tr>
      <w:tr w14:paraId="3950AD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0" w:hRule="atLeast"/>
          <w:jc w:val="center"/>
        </w:trPr>
        <w:tc>
          <w:tcPr>
            <w:tcW w:w="325" w:type="pct"/>
            <w:vMerge w:val="continue"/>
            <w:noWrap w:val="0"/>
            <w:vAlign w:val="center"/>
          </w:tcPr>
          <w:p w14:paraId="2B084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1172" w:type="pct"/>
            <w:vMerge w:val="continue"/>
            <w:noWrap w:val="0"/>
            <w:vAlign w:val="center"/>
          </w:tcPr>
          <w:p w14:paraId="16D98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688" w:type="pct"/>
            <w:noWrap w:val="0"/>
            <w:vAlign w:val="center"/>
          </w:tcPr>
          <w:p w14:paraId="34200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kern w:val="28"/>
                <w:sz w:val="21"/>
                <w:szCs w:val="21"/>
                <w:highlight w:val="none"/>
                <w:vertAlign w:val="subscript"/>
                <w:lang w:val="en-US" w:eastAsia="zh-CN"/>
                <w14:textFill>
                  <w14:solidFill>
                    <w14:schemeClr w14:val="tx1"/>
                  </w14:solidFill>
                </w14:textFill>
              </w:rPr>
              <w:t>2</w:t>
            </w:r>
          </w:p>
        </w:tc>
        <w:tc>
          <w:tcPr>
            <w:tcW w:w="1929" w:type="pct"/>
            <w:vMerge w:val="continue"/>
            <w:noWrap w:val="0"/>
            <w:vAlign w:val="center"/>
          </w:tcPr>
          <w:p w14:paraId="3DADE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p>
        </w:tc>
        <w:tc>
          <w:tcPr>
            <w:tcW w:w="883" w:type="pct"/>
            <w:noWrap w:val="0"/>
            <w:vAlign w:val="center"/>
          </w:tcPr>
          <w:p w14:paraId="0B8DD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1.63</w:t>
            </w:r>
          </w:p>
        </w:tc>
      </w:tr>
    </w:tbl>
    <w:p w14:paraId="340F5429">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）项目大气污染物年排放量核算</w:t>
      </w:r>
    </w:p>
    <w:p w14:paraId="0A073626">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大气污染物年排放情况见表5.2-</w:t>
      </w: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17396B68">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表5.2-</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    大气污染物年排放量核算表</w:t>
      </w:r>
    </w:p>
    <w:tbl>
      <w:tblPr>
        <w:tblStyle w:val="79"/>
        <w:tblW w:w="84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72"/>
        <w:gridCol w:w="2838"/>
        <w:gridCol w:w="2838"/>
      </w:tblGrid>
      <w:tr w14:paraId="0AF53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72" w:type="dxa"/>
            <w:noWrap w:val="0"/>
            <w:vAlign w:val="top"/>
          </w:tcPr>
          <w:p w14:paraId="2BF73D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cs="Times New Roman"/>
                <w:b/>
                <w:bCs/>
                <w:color w:val="000000" w:themeColor="text1"/>
                <w:kern w:val="28"/>
                <w:highlight w:val="none"/>
                <w14:textFill>
                  <w14:solidFill>
                    <w14:schemeClr w14:val="tx1"/>
                  </w14:solidFill>
                </w14:textFill>
              </w:rPr>
            </w:pPr>
            <w:r>
              <w:rPr>
                <w:rFonts w:hint="default" w:ascii="Times New Roman" w:hAnsi="Times New Roman" w:cs="Times New Roman"/>
                <w:b/>
                <w:bCs/>
                <w:color w:val="000000" w:themeColor="text1"/>
                <w:kern w:val="28"/>
                <w:highlight w:val="none"/>
                <w14:textFill>
                  <w14:solidFill>
                    <w14:schemeClr w14:val="tx1"/>
                  </w14:solidFill>
                </w14:textFill>
              </w:rPr>
              <w:t>序号</w:t>
            </w:r>
          </w:p>
        </w:tc>
        <w:tc>
          <w:tcPr>
            <w:tcW w:w="2838" w:type="dxa"/>
            <w:noWrap w:val="0"/>
            <w:vAlign w:val="top"/>
          </w:tcPr>
          <w:p w14:paraId="4CC6AE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cs="Times New Roman"/>
                <w:b/>
                <w:bCs/>
                <w:color w:val="000000" w:themeColor="text1"/>
                <w:kern w:val="28"/>
                <w:highlight w:val="none"/>
                <w14:textFill>
                  <w14:solidFill>
                    <w14:schemeClr w14:val="tx1"/>
                  </w14:solidFill>
                </w14:textFill>
              </w:rPr>
            </w:pPr>
            <w:r>
              <w:rPr>
                <w:rFonts w:hint="default" w:ascii="Times New Roman" w:hAnsi="Times New Roman" w:cs="Times New Roman"/>
                <w:b/>
                <w:bCs/>
                <w:color w:val="000000" w:themeColor="text1"/>
                <w:kern w:val="28"/>
                <w:highlight w:val="none"/>
                <w14:textFill>
                  <w14:solidFill>
                    <w14:schemeClr w14:val="tx1"/>
                  </w14:solidFill>
                </w14:textFill>
              </w:rPr>
              <w:t>污染物</w:t>
            </w:r>
          </w:p>
        </w:tc>
        <w:tc>
          <w:tcPr>
            <w:tcW w:w="2838" w:type="dxa"/>
            <w:noWrap w:val="0"/>
            <w:vAlign w:val="top"/>
          </w:tcPr>
          <w:p w14:paraId="25D54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cs="Times New Roman"/>
                <w:b/>
                <w:bCs/>
                <w:color w:val="000000" w:themeColor="text1"/>
                <w:kern w:val="28"/>
                <w:highlight w:val="none"/>
                <w14:textFill>
                  <w14:solidFill>
                    <w14:schemeClr w14:val="tx1"/>
                  </w14:solidFill>
                </w14:textFill>
              </w:rPr>
            </w:pPr>
            <w:r>
              <w:rPr>
                <w:rFonts w:hint="default" w:ascii="Times New Roman" w:hAnsi="Times New Roman" w:cs="Times New Roman"/>
                <w:b/>
                <w:bCs/>
                <w:color w:val="000000" w:themeColor="text1"/>
                <w:kern w:val="28"/>
                <w:highlight w:val="none"/>
                <w14:textFill>
                  <w14:solidFill>
                    <w14:schemeClr w14:val="tx1"/>
                  </w14:solidFill>
                </w14:textFill>
              </w:rPr>
              <w:t>年排放量（t/a）</w:t>
            </w:r>
          </w:p>
        </w:tc>
      </w:tr>
      <w:tr w14:paraId="674E1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772" w:type="dxa"/>
            <w:noWrap w:val="0"/>
            <w:vAlign w:val="top"/>
          </w:tcPr>
          <w:p w14:paraId="68960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cs="Times New Roman"/>
                <w:color w:val="000000" w:themeColor="text1"/>
                <w:kern w:val="28"/>
                <w:highlight w:val="none"/>
                <w14:textFill>
                  <w14:solidFill>
                    <w14:schemeClr w14:val="tx1"/>
                  </w14:solidFill>
                </w14:textFill>
              </w:rPr>
            </w:pPr>
            <w:r>
              <w:rPr>
                <w:rFonts w:hint="default" w:ascii="Times New Roman" w:hAnsi="Times New Roman" w:cs="Times New Roman"/>
                <w:color w:val="000000" w:themeColor="text1"/>
                <w:kern w:val="28"/>
                <w:highlight w:val="none"/>
                <w14:textFill>
                  <w14:solidFill>
                    <w14:schemeClr w14:val="tx1"/>
                  </w14:solidFill>
                </w14:textFill>
              </w:rPr>
              <w:t>1</w:t>
            </w:r>
          </w:p>
        </w:tc>
        <w:tc>
          <w:tcPr>
            <w:tcW w:w="2838" w:type="dxa"/>
            <w:noWrap w:val="0"/>
            <w:vAlign w:val="top"/>
          </w:tcPr>
          <w:p w14:paraId="76009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eastAsia" w:ascii="Times New Roman" w:hAnsi="Times New Roman" w:eastAsia="宋体" w:cs="Times New Roman"/>
                <w:color w:val="000000" w:themeColor="text1"/>
                <w:kern w:val="28"/>
                <w:highlight w:val="none"/>
                <w:lang w:eastAsia="zh-CN"/>
                <w14:textFill>
                  <w14:solidFill>
                    <w14:schemeClr w14:val="tx1"/>
                  </w14:solidFill>
                </w14:textFill>
              </w:rPr>
            </w:pPr>
            <w:r>
              <w:rPr>
                <w:rFonts w:hint="eastAsia" w:ascii="Times New Roman" w:hAnsi="Times New Roman" w:cs="Times New Roman"/>
                <w:color w:val="000000" w:themeColor="text1"/>
                <w:kern w:val="28"/>
                <w:highlight w:val="none"/>
                <w:lang w:eastAsia="zh-CN"/>
                <w14:textFill>
                  <w14:solidFill>
                    <w14:schemeClr w14:val="tx1"/>
                  </w14:solidFill>
                </w14:textFill>
              </w:rPr>
              <w:t>颗粒物</w:t>
            </w:r>
          </w:p>
        </w:tc>
        <w:tc>
          <w:tcPr>
            <w:tcW w:w="2838" w:type="dxa"/>
            <w:noWrap w:val="0"/>
            <w:vAlign w:val="top"/>
          </w:tcPr>
          <w:p w14:paraId="3D223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cs="Times New Roman"/>
                <w:color w:val="000000" w:themeColor="text1"/>
                <w:kern w:val="28"/>
                <w:highlight w:val="none"/>
                <w:lang w:val="en-US" w:eastAsia="zh-CN"/>
                <w14:textFill>
                  <w14:solidFill>
                    <w14:schemeClr w14:val="tx1"/>
                  </w14:solidFill>
                </w14:textFill>
              </w:rPr>
            </w:pPr>
            <w:r>
              <w:rPr>
                <w:rFonts w:hint="eastAsia" w:cs="Times New Roman"/>
                <w:color w:val="000000" w:themeColor="text1"/>
                <w:kern w:val="28"/>
                <w:highlight w:val="none"/>
                <w:lang w:val="en-US" w:eastAsia="zh-CN"/>
                <w14:textFill>
                  <w14:solidFill>
                    <w14:schemeClr w14:val="tx1"/>
                  </w14:solidFill>
                </w14:textFill>
              </w:rPr>
              <w:t>18.005</w:t>
            </w:r>
          </w:p>
        </w:tc>
      </w:tr>
      <w:tr w14:paraId="74AB6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noWrap w:val="0"/>
            <w:vAlign w:val="top"/>
          </w:tcPr>
          <w:p w14:paraId="2DB62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cs="Times New Roman"/>
                <w:color w:val="000000" w:themeColor="text1"/>
                <w:kern w:val="28"/>
                <w:highlight w:val="none"/>
                <w14:textFill>
                  <w14:solidFill>
                    <w14:schemeClr w14:val="tx1"/>
                  </w14:solidFill>
                </w14:textFill>
              </w:rPr>
            </w:pPr>
            <w:r>
              <w:rPr>
                <w:rFonts w:hint="default" w:ascii="Times New Roman" w:hAnsi="Times New Roman" w:cs="Times New Roman"/>
                <w:color w:val="000000" w:themeColor="text1"/>
                <w:kern w:val="28"/>
                <w:highlight w:val="none"/>
                <w14:textFill>
                  <w14:solidFill>
                    <w14:schemeClr w14:val="tx1"/>
                  </w14:solidFill>
                </w14:textFill>
              </w:rPr>
              <w:t>2</w:t>
            </w:r>
          </w:p>
        </w:tc>
        <w:tc>
          <w:tcPr>
            <w:tcW w:w="2838" w:type="dxa"/>
            <w:noWrap w:val="0"/>
            <w:vAlign w:val="top"/>
          </w:tcPr>
          <w:p w14:paraId="71DE9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cs="Times New Roman"/>
                <w:color w:val="000000" w:themeColor="text1"/>
                <w:kern w:val="28"/>
                <w:highlight w:val="none"/>
                <w14:textFill>
                  <w14:solidFill>
                    <w14:schemeClr w14:val="tx1"/>
                  </w14:solidFill>
                </w14:textFill>
              </w:rPr>
            </w:pPr>
            <w:r>
              <w:rPr>
                <w:rFonts w:hint="default" w:ascii="Times New Roman" w:hAnsi="Times New Roman" w:cs="Times New Roman"/>
                <w:color w:val="000000" w:themeColor="text1"/>
                <w:kern w:val="28"/>
                <w:highlight w:val="none"/>
                <w14:textFill>
                  <w14:solidFill>
                    <w14:schemeClr w14:val="tx1"/>
                  </w14:solidFill>
                </w14:textFill>
              </w:rPr>
              <w:t>CO</w:t>
            </w:r>
          </w:p>
        </w:tc>
        <w:tc>
          <w:tcPr>
            <w:tcW w:w="2838" w:type="dxa"/>
            <w:noWrap w:val="0"/>
            <w:vAlign w:val="center"/>
          </w:tcPr>
          <w:p w14:paraId="0A749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000000" w:themeColor="text1"/>
                <w:kern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highlight w:val="none"/>
                <w:lang w:val="en-US" w:eastAsia="zh-CN"/>
                <w14:textFill>
                  <w14:solidFill>
                    <w14:schemeClr w14:val="tx1"/>
                  </w14:solidFill>
                </w14:textFill>
              </w:rPr>
              <w:t>7.112</w:t>
            </w:r>
          </w:p>
        </w:tc>
      </w:tr>
      <w:tr w14:paraId="03604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noWrap w:val="0"/>
            <w:vAlign w:val="top"/>
          </w:tcPr>
          <w:p w14:paraId="14DA4A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cs="Times New Roman"/>
                <w:color w:val="000000" w:themeColor="text1"/>
                <w:kern w:val="28"/>
                <w:highlight w:val="none"/>
                <w14:textFill>
                  <w14:solidFill>
                    <w14:schemeClr w14:val="tx1"/>
                  </w14:solidFill>
                </w14:textFill>
              </w:rPr>
            </w:pPr>
            <w:r>
              <w:rPr>
                <w:rFonts w:hint="default" w:ascii="Times New Roman" w:hAnsi="Times New Roman" w:cs="Times New Roman"/>
                <w:color w:val="000000" w:themeColor="text1"/>
                <w:kern w:val="28"/>
                <w:highlight w:val="none"/>
                <w14:textFill>
                  <w14:solidFill>
                    <w14:schemeClr w14:val="tx1"/>
                  </w14:solidFill>
                </w14:textFill>
              </w:rPr>
              <w:t>3</w:t>
            </w:r>
          </w:p>
        </w:tc>
        <w:tc>
          <w:tcPr>
            <w:tcW w:w="2838" w:type="dxa"/>
            <w:noWrap w:val="0"/>
            <w:vAlign w:val="center"/>
          </w:tcPr>
          <w:p w14:paraId="6242E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cs="Times New Roman"/>
                <w:color w:val="000000" w:themeColor="text1"/>
                <w:kern w:val="28"/>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X</w:t>
            </w:r>
          </w:p>
        </w:tc>
        <w:tc>
          <w:tcPr>
            <w:tcW w:w="2838" w:type="dxa"/>
            <w:noWrap w:val="0"/>
            <w:vAlign w:val="center"/>
          </w:tcPr>
          <w:p w14:paraId="30D0A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000000" w:themeColor="text1"/>
                <w:kern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highlight w:val="none"/>
                <w:lang w:val="en-US" w:eastAsia="zh-CN"/>
                <w14:textFill>
                  <w14:solidFill>
                    <w14:schemeClr w14:val="tx1"/>
                  </w14:solidFill>
                </w14:textFill>
              </w:rPr>
              <w:t>29.124</w:t>
            </w:r>
          </w:p>
        </w:tc>
      </w:tr>
      <w:tr w14:paraId="68B98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noWrap w:val="0"/>
            <w:vAlign w:val="center"/>
          </w:tcPr>
          <w:p w14:paraId="6A410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8"/>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2838" w:type="dxa"/>
            <w:noWrap w:val="0"/>
            <w:vAlign w:val="center"/>
          </w:tcPr>
          <w:p w14:paraId="385BA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cs="Times New Roman"/>
                <w:color w:val="000000" w:themeColor="text1"/>
                <w:kern w:val="28"/>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THC</w:t>
            </w:r>
          </w:p>
        </w:tc>
        <w:tc>
          <w:tcPr>
            <w:tcW w:w="2838" w:type="dxa"/>
            <w:noWrap w:val="0"/>
            <w:vAlign w:val="center"/>
          </w:tcPr>
          <w:p w14:paraId="67C94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000000" w:themeColor="text1"/>
                <w:kern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highlight w:val="none"/>
                <w:lang w:val="en-US" w:eastAsia="zh-CN"/>
                <w14:textFill>
                  <w14:solidFill>
                    <w14:schemeClr w14:val="tx1"/>
                  </w14:solidFill>
                </w14:textFill>
              </w:rPr>
              <w:t>9.51</w:t>
            </w:r>
          </w:p>
        </w:tc>
      </w:tr>
      <w:tr w14:paraId="4A21A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noWrap w:val="0"/>
            <w:vAlign w:val="center"/>
          </w:tcPr>
          <w:p w14:paraId="0639E2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8"/>
                <w:highlight w:val="none"/>
                <w:lang w:val="en-US" w:eastAsia="zh-CN"/>
                <w14:textFill>
                  <w14:solidFill>
                    <w14:schemeClr w14:val="tx1"/>
                  </w14:solidFill>
                </w14:textFill>
              </w:rPr>
            </w:pPr>
            <w:r>
              <w:rPr>
                <w:rFonts w:hint="default" w:ascii="Times New Roman" w:hAnsi="Times New Roman" w:cs="Times New Roman"/>
                <w:color w:val="000000" w:themeColor="text1"/>
                <w:kern w:val="28"/>
                <w:highlight w:val="none"/>
                <w:lang w:val="en-US" w:eastAsia="zh-CN"/>
                <w14:textFill>
                  <w14:solidFill>
                    <w14:schemeClr w14:val="tx1"/>
                  </w14:solidFill>
                </w14:textFill>
              </w:rPr>
              <w:t>5</w:t>
            </w:r>
          </w:p>
        </w:tc>
        <w:tc>
          <w:tcPr>
            <w:tcW w:w="2838" w:type="dxa"/>
            <w:noWrap w:val="0"/>
            <w:vAlign w:val="center"/>
          </w:tcPr>
          <w:p w14:paraId="0F676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cs="Times New Roman"/>
                <w:color w:val="000000" w:themeColor="text1"/>
                <w:kern w:val="28"/>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2838" w:type="dxa"/>
            <w:noWrap w:val="0"/>
            <w:vAlign w:val="center"/>
          </w:tcPr>
          <w:p w14:paraId="5EA43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000000" w:themeColor="text1"/>
                <w:kern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highlight w:val="none"/>
                <w:lang w:val="en-US" w:eastAsia="zh-CN"/>
                <w14:textFill>
                  <w14:solidFill>
                    <w14:schemeClr w14:val="tx1"/>
                  </w14:solidFill>
                </w14:textFill>
              </w:rPr>
              <w:t>1.63</w:t>
            </w:r>
          </w:p>
        </w:tc>
      </w:tr>
      <w:tr w14:paraId="4C111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3"/>
            <w:noWrap w:val="0"/>
            <w:vAlign w:val="center"/>
          </w:tcPr>
          <w:p w14:paraId="7D44A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000000" w:themeColor="text1"/>
                <w:kern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8"/>
                <w:sz w:val="21"/>
                <w:szCs w:val="21"/>
                <w:highlight w:val="none"/>
                <w:lang w:val="en-US" w:eastAsia="zh-CN"/>
                <w14:textFill>
                  <w14:solidFill>
                    <w14:schemeClr w14:val="tx1"/>
                  </w14:solidFill>
                </w14:textFill>
              </w:rPr>
              <w:t>注：</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废石堆场</w:t>
            </w:r>
            <w:r>
              <w:rPr>
                <w:rFonts w:hint="eastAsia" w:cs="Times New Roman"/>
                <w:b w:val="0"/>
                <w:bCs/>
                <w:color w:val="000000" w:themeColor="text1"/>
                <w:sz w:val="21"/>
                <w:szCs w:val="21"/>
                <w:lang w:val="en-US" w:eastAsia="zh-CN"/>
                <w14:textFill>
                  <w14:solidFill>
                    <w14:schemeClr w14:val="tx1"/>
                  </w14:solidFill>
                </w14:textFill>
              </w:rPr>
              <w:t>和</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废石堆场</w:t>
            </w:r>
            <w:r>
              <w:rPr>
                <w:rFonts w:hint="eastAsia" w:cs="Times New Roman"/>
                <w:b w:val="0"/>
                <w:bCs/>
                <w:color w:val="000000" w:themeColor="text1"/>
                <w:sz w:val="21"/>
                <w:szCs w:val="21"/>
                <w:lang w:val="en-US" w:eastAsia="zh-CN"/>
                <w14:textFill>
                  <w14:solidFill>
                    <w14:schemeClr w14:val="tx1"/>
                  </w14:solidFill>
                </w14:textFill>
              </w:rPr>
              <w:t>不同时使用，同一个时间点废石只运往1个废石堆场。颗粒物年排放量仅核算其中1个废石堆场的颗粒物年排放量。</w:t>
            </w:r>
          </w:p>
        </w:tc>
      </w:tr>
    </w:tbl>
    <w:p w14:paraId="6494528E">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5.2.1.2环境空气影响预测与评价</w:t>
      </w:r>
    </w:p>
    <w:p w14:paraId="2BA0F6EE">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矿井开采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废气影响分析</w:t>
      </w:r>
    </w:p>
    <w:p w14:paraId="6573D3F4">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采矿井下生产过程中产生大量的废气，为使矿井内空气含尘量和有毒有害气体浓度达到国家卫生标准，项目设计采用</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风、水结合，以风为主</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的综合防治措施。在凿岩时还采取湿式凿岩作业、巷道内采取洒水降尘等措施。除加强井下通风外，还须采取喷雾洒水、湿式作业、定期对主要入风巷道进行洗壁等降尘措施。爆破作业后一般要通风3~4h，再进行放矿等作业。</w:t>
      </w:r>
    </w:p>
    <w:p w14:paraId="6768EFED">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w:t>
      </w:r>
      <w:r>
        <w:rPr>
          <w:rFonts w:hint="eastAsia" w:cs="Times New Roman"/>
          <w:color w:val="000000" w:themeColor="text1"/>
          <w:sz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highlight w:val="none"/>
          <w14:textFill>
            <w14:solidFill>
              <w14:schemeClr w14:val="tx1"/>
            </w14:solidFill>
          </w14:textFill>
        </w:rPr>
        <w:t>设计通风方式为机械抽出式。通风线路为：风流由</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罐笼竖井</w:t>
      </w:r>
      <w:r>
        <w:rPr>
          <w:rFonts w:hint="default" w:ascii="Times New Roman" w:hAnsi="Times New Roman" w:eastAsia="宋体" w:cs="Times New Roman"/>
          <w:color w:val="000000" w:themeColor="text1"/>
          <w:sz w:val="24"/>
          <w:highlight w:val="none"/>
          <w14:textFill>
            <w14:solidFill>
              <w14:schemeClr w14:val="tx1"/>
            </w14:solidFill>
          </w14:textFill>
        </w:rPr>
        <w:t>进入，沿运输平巷、采准天井进入到采场，清洗采场工作面后，污风由采场另一侧的天井进入到上中段回风平巷，然后通过西1风井及西2风井排出地表。</w:t>
      </w:r>
    </w:p>
    <w:p w14:paraId="4488F0B7">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地下采矿采掘废气经喷雾洒水除尘后通过轴流风机排出，废气从井下到达地面之前，要经过巷道，废气经巷道沉降后，浓度较低。</w:t>
      </w:r>
      <w:r>
        <w:rPr>
          <w:rFonts w:hint="eastAsia"/>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采用湿式凿岩方式，微差爆破，强制机械通风，装卸作业点经常进行喷雾洒水，定期清洗岩壁，降低空气中粉尘的浓度，通风井出口处粉尘浓度约2.0mg/m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经扩散稀释后场界TSP浓度可达到《铁矿采选工业污染物排放标准》（GB28661-2012）表7现有和新建企业大气污染物无组织排放浓度限值。因此，矿井下粉尘的影响，以井下采场局部环境为主，对外部环境影响较小。</w:t>
      </w:r>
    </w:p>
    <w:p w14:paraId="374CA876">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爆破瞬时粉尘可达300mg/m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，强制通风后外排地面大气中的粉尘浓度低于120mg/m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。对工作面采用湿式凿岩，喷雾洒水和定期清洗岩壁，可明显抑尘和降尘，爆破粉尘浓度可降至2mg/m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井下废气从风井口排至地面，废气中的主要成分为粉尘，通过井下喷雾降尘后排出浓度一般能够符合《铁矿采选工业污染物排放标准》（GB28661-2012）表7现有和新建企业大气污染物无组织排放浓度限值的要求，因此排出地面后对风井口附近的环境空气影响不大。NO</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highlight w:val="none"/>
          <w14:textFill>
            <w14:solidFill>
              <w14:schemeClr w14:val="tx1"/>
            </w14:solidFill>
          </w14:textFill>
        </w:rPr>
        <w:t>是爆破时炸药中的硝基化合物引起的，其量很少，浓度很低，排出后对环境空气影响很小。</w:t>
      </w:r>
    </w:p>
    <w:p w14:paraId="5BA98288">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综上所述矿区开采产生的废气量少，且经空气稀释净化后对周围大气环境影响不大。运营期工程对环境空气的影响随着采矿的结束，其对环境的影响也将随之消失，环境空气质量可以恢复至原有水平。项目区地表外环境相对较开阔，有利于废气扩散，在进入大气后能很快沉降于地面，巷道内工作人员在做好个体防护、巷道定期洒水抑尘等措施后，污染物对巷道内环境及工作人员的影响不大。</w:t>
      </w:r>
    </w:p>
    <w:p w14:paraId="0558615E">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（2）运输扬尘分析</w:t>
      </w:r>
    </w:p>
    <w:p w14:paraId="3C2D1EEB">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w:t>
      </w:r>
      <w:r>
        <w:rPr>
          <w:rFonts w:hint="eastAsia" w:cs="Times New Roman"/>
          <w:color w:val="000000" w:themeColor="text1"/>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服务期主要运输扬尘产生于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原矿、废石运输</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，本环评要求在运输道路路面定期洒水降尘，保证路面适当湿度、可有效减轻运输扬尘的产生，减少对周边环境的影响。道路扬尘为间歇性扬尘，呈线源排放，且区域地势空旷，易于污染物</w:t>
      </w:r>
      <w:r>
        <w:rPr>
          <w:rFonts w:hint="eastAsia" w:cs="Times New Roman"/>
          <w:color w:val="000000" w:themeColor="text1"/>
          <w:sz w:val="24"/>
          <w:highlight w:val="none"/>
          <w:lang w:val="en-US" w:eastAsia="zh-CN"/>
          <w14:textFill>
            <w14:solidFill>
              <w14:schemeClr w14:val="tx1"/>
            </w14:solidFill>
          </w14:textFill>
        </w:rPr>
        <w:t>扩散</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，同时在采取洒水降尘、限速行驶等措施后，可将影响降至最低。</w:t>
      </w:r>
    </w:p>
    <w:p w14:paraId="1D9E0FD1">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废石</w:t>
      </w:r>
      <w:r>
        <w:rPr>
          <w:rFonts w:hint="eastAsia" w:ascii="Times New Roman" w:hAnsi="Times New Roman" w:cs="Times New Roman"/>
          <w:color w:val="000000" w:themeColor="text1"/>
          <w:sz w:val="24"/>
          <w:highlight w:val="none"/>
          <w:lang w:val="en-US" w:eastAsia="zh-CN"/>
          <w14:textFill>
            <w14:solidFill>
              <w14:schemeClr w14:val="tx1"/>
            </w14:solidFill>
          </w14:textFill>
        </w:rPr>
        <w:t>堆场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扬尘</w:t>
      </w:r>
    </w:p>
    <w:p w14:paraId="0C20E250">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大气环境影响预测中无组织排放源的预测主要考虑新建废石堆场堆放废石连续性排放的粉尘影响。本次评价采用导则推荐的AERSCREEN估算模式估算粉尘的最大落地浓度。</w:t>
      </w:r>
    </w:p>
    <w:p w14:paraId="6EBF7556">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1号废石堆场颗粒物无组织排放</w:t>
      </w:r>
      <w:r>
        <w:rPr>
          <w:rFonts w:hint="eastAsia"/>
          <w:color w:val="000000" w:themeColor="text1"/>
          <w:sz w:val="24"/>
          <w14:textFill>
            <w14:solidFill>
              <w14:schemeClr w14:val="tx1"/>
            </w14:solidFill>
          </w14:textFill>
        </w:rPr>
        <w:t>估算结果见表5.2-3</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2号废石堆场颗粒物无组织排放</w:t>
      </w:r>
      <w:r>
        <w:rPr>
          <w:rFonts w:hint="eastAsia"/>
          <w:color w:val="000000" w:themeColor="text1"/>
          <w:sz w:val="24"/>
          <w14:textFill>
            <w14:solidFill>
              <w14:schemeClr w14:val="tx1"/>
            </w14:solidFill>
          </w14:textFill>
        </w:rPr>
        <w:t>估算结果见表5.2-</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w:t>
      </w:r>
    </w:p>
    <w:p w14:paraId="14838FDB">
      <w:pPr>
        <w:spacing w:line="480" w:lineRule="exact"/>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表5.2-3    </w:t>
      </w:r>
      <w:r>
        <w:rPr>
          <w:rFonts w:hint="eastAsia"/>
          <w:b/>
          <w:bCs/>
          <w:color w:val="000000" w:themeColor="text1"/>
          <w:sz w:val="24"/>
          <w:lang w:val="en-US" w:eastAsia="zh-CN"/>
          <w14:textFill>
            <w14:solidFill>
              <w14:schemeClr w14:val="tx1"/>
            </w14:solidFill>
          </w14:textFill>
        </w:rPr>
        <w:t>1号</w:t>
      </w:r>
      <w:r>
        <w:rPr>
          <w:rFonts w:hint="eastAsia"/>
          <w:b/>
          <w:bCs/>
          <w:color w:val="000000" w:themeColor="text1"/>
          <w:sz w:val="24"/>
          <w14:textFill>
            <w14:solidFill>
              <w14:schemeClr w14:val="tx1"/>
            </w14:solidFill>
          </w14:textFill>
        </w:rPr>
        <w:t>废石堆场无组织粉尘估算模型计算结果统计表</w:t>
      </w:r>
    </w:p>
    <w:tbl>
      <w:tblPr>
        <w:tblStyle w:val="79"/>
        <w:tblW w:w="83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1187"/>
        <w:gridCol w:w="2085"/>
        <w:gridCol w:w="2730"/>
        <w:gridCol w:w="2334"/>
      </w:tblGrid>
      <w:tr w14:paraId="02E47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1187" w:type="dxa"/>
            <w:vMerge w:val="restart"/>
            <w:noWrap w:val="0"/>
            <w:vAlign w:val="center"/>
          </w:tcPr>
          <w:p w14:paraId="0E9380D0">
            <w:pPr>
              <w:keepNext w:val="0"/>
              <w:keepLines w:val="0"/>
              <w:suppressLineNumbers w:val="0"/>
              <w:spacing w:before="0" w:beforeAutospacing="0" w:after="0" w:afterAutospacing="0" w:line="360" w:lineRule="exact"/>
              <w:ind w:left="0" w:right="0"/>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2085" w:type="dxa"/>
            <w:vMerge w:val="restart"/>
            <w:noWrap w:val="0"/>
            <w:vAlign w:val="center"/>
          </w:tcPr>
          <w:p w14:paraId="6D175246">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下风向距离/m</w:t>
            </w:r>
          </w:p>
        </w:tc>
        <w:tc>
          <w:tcPr>
            <w:tcW w:w="5064" w:type="dxa"/>
            <w:gridSpan w:val="2"/>
            <w:noWrap w:val="0"/>
            <w:vAlign w:val="center"/>
          </w:tcPr>
          <w:p w14:paraId="0571B1E1">
            <w:pPr>
              <w:keepNext w:val="0"/>
              <w:keepLines w:val="0"/>
              <w:suppressLineNumbers w:val="0"/>
              <w:spacing w:before="0" w:beforeAutospacing="0" w:after="0" w:afterAutospacing="0" w:line="360" w:lineRule="exact"/>
              <w:ind w:left="0" w:right="0"/>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粉尘</w:t>
            </w:r>
          </w:p>
        </w:tc>
      </w:tr>
      <w:tr w14:paraId="025EF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1187" w:type="dxa"/>
            <w:vMerge w:val="continue"/>
            <w:noWrap w:val="0"/>
            <w:vAlign w:val="center"/>
          </w:tcPr>
          <w:p w14:paraId="1A3ECC24">
            <w:pPr>
              <w:keepNext w:val="0"/>
              <w:keepLines w:val="0"/>
              <w:suppressLineNumbers w:val="0"/>
              <w:spacing w:before="0" w:beforeAutospacing="0" w:after="0" w:afterAutospacing="0" w:line="360" w:lineRule="exact"/>
              <w:ind w:left="0" w:right="0"/>
              <w:jc w:val="center"/>
              <w:rPr>
                <w:rFonts w:hint="eastAsia"/>
                <w:b/>
                <w:bCs/>
                <w:color w:val="000000" w:themeColor="text1"/>
                <w14:textFill>
                  <w14:solidFill>
                    <w14:schemeClr w14:val="tx1"/>
                  </w14:solidFill>
                </w14:textFill>
              </w:rPr>
            </w:pPr>
          </w:p>
        </w:tc>
        <w:tc>
          <w:tcPr>
            <w:tcW w:w="2085" w:type="dxa"/>
            <w:vMerge w:val="continue"/>
            <w:noWrap w:val="0"/>
            <w:vAlign w:val="center"/>
          </w:tcPr>
          <w:p w14:paraId="389CC410">
            <w:pPr>
              <w:keepNext w:val="0"/>
              <w:keepLines w:val="0"/>
              <w:suppressLineNumbers w:val="0"/>
              <w:spacing w:before="0" w:beforeAutospacing="0" w:after="0" w:afterAutospacing="0" w:line="360" w:lineRule="exact"/>
              <w:ind w:left="0" w:right="0"/>
              <w:jc w:val="center"/>
              <w:rPr>
                <w:rFonts w:hint="eastAsia"/>
                <w:b/>
                <w:bCs/>
                <w:color w:val="000000" w:themeColor="text1"/>
                <w14:textFill>
                  <w14:solidFill>
                    <w14:schemeClr w14:val="tx1"/>
                  </w14:solidFill>
                </w14:textFill>
              </w:rPr>
            </w:pPr>
          </w:p>
        </w:tc>
        <w:tc>
          <w:tcPr>
            <w:tcW w:w="2730" w:type="dxa"/>
            <w:noWrap w:val="0"/>
            <w:vAlign w:val="center"/>
          </w:tcPr>
          <w:p w14:paraId="7CF57744">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预测质量</w:t>
            </w:r>
            <w:r>
              <w:rPr>
                <w:rFonts w:hint="default"/>
                <w:b/>
                <w:bCs/>
                <w:color w:val="000000" w:themeColor="text1"/>
                <w14:textFill>
                  <w14:solidFill>
                    <w14:schemeClr w14:val="tx1"/>
                  </w14:solidFill>
                </w14:textFill>
              </w:rPr>
              <w:t>浓度</w:t>
            </w:r>
            <w:r>
              <w:rPr>
                <w:rFonts w:hint="eastAsia"/>
                <w:b/>
                <w:bCs/>
                <w:color w:val="000000" w:themeColor="text1"/>
                <w:lang w:val="en-US" w:eastAsia="zh-CN"/>
                <w14:textFill>
                  <w14:solidFill>
                    <w14:schemeClr w14:val="tx1"/>
                  </w14:solidFill>
                </w14:textFill>
              </w:rPr>
              <w:t>m</w:t>
            </w:r>
            <w:r>
              <w:rPr>
                <w:rFonts w:hint="eastAsia"/>
                <w:b/>
                <w:bCs/>
                <w:color w:val="000000" w:themeColor="text1"/>
                <w14:textFill>
                  <w14:solidFill>
                    <w14:schemeClr w14:val="tx1"/>
                  </w14:solidFill>
                </w14:textFill>
              </w:rPr>
              <w:t>g/m</w:t>
            </w:r>
            <w:r>
              <w:rPr>
                <w:rFonts w:hint="eastAsia"/>
                <w:b/>
                <w:bCs/>
                <w:color w:val="000000" w:themeColor="text1"/>
                <w:vertAlign w:val="superscript"/>
                <w14:textFill>
                  <w14:solidFill>
                    <w14:schemeClr w14:val="tx1"/>
                  </w14:solidFill>
                </w14:textFill>
              </w:rPr>
              <w:t>3</w:t>
            </w:r>
          </w:p>
        </w:tc>
        <w:tc>
          <w:tcPr>
            <w:tcW w:w="2334" w:type="dxa"/>
            <w:noWrap w:val="0"/>
            <w:vAlign w:val="center"/>
          </w:tcPr>
          <w:p w14:paraId="6A5740C4">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占标率%</w:t>
            </w:r>
          </w:p>
        </w:tc>
      </w:tr>
      <w:tr w14:paraId="3CC7E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5E9515E4">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2085" w:type="dxa"/>
            <w:noWrap w:val="0"/>
            <w:vAlign w:val="center"/>
          </w:tcPr>
          <w:p w14:paraId="05489D46">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10</w:t>
            </w:r>
          </w:p>
        </w:tc>
        <w:tc>
          <w:tcPr>
            <w:tcW w:w="2730" w:type="dxa"/>
            <w:noWrap w:val="0"/>
            <w:vAlign w:val="center"/>
          </w:tcPr>
          <w:p w14:paraId="26B0A76A">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0.0065</w:t>
            </w:r>
          </w:p>
        </w:tc>
        <w:tc>
          <w:tcPr>
            <w:tcW w:w="2334" w:type="dxa"/>
            <w:noWrap w:val="0"/>
            <w:vAlign w:val="center"/>
          </w:tcPr>
          <w:p w14:paraId="7B9BC62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0.72</w:t>
            </w:r>
          </w:p>
        </w:tc>
      </w:tr>
      <w:tr w14:paraId="6971F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035CF82F">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2085" w:type="dxa"/>
            <w:noWrap w:val="0"/>
            <w:vAlign w:val="center"/>
          </w:tcPr>
          <w:p w14:paraId="05CBB460">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25</w:t>
            </w:r>
          </w:p>
        </w:tc>
        <w:tc>
          <w:tcPr>
            <w:tcW w:w="2730" w:type="dxa"/>
            <w:noWrap w:val="0"/>
            <w:vAlign w:val="center"/>
          </w:tcPr>
          <w:p w14:paraId="1C5AD6D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0.007</w:t>
            </w:r>
          </w:p>
        </w:tc>
        <w:tc>
          <w:tcPr>
            <w:tcW w:w="2334" w:type="dxa"/>
            <w:noWrap w:val="0"/>
            <w:vAlign w:val="center"/>
          </w:tcPr>
          <w:p w14:paraId="299AC3A5">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0.78</w:t>
            </w:r>
          </w:p>
        </w:tc>
      </w:tr>
      <w:tr w14:paraId="74A49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6A0A7D3C">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2085" w:type="dxa"/>
            <w:noWrap w:val="0"/>
            <w:vAlign w:val="center"/>
          </w:tcPr>
          <w:p w14:paraId="76CDA3F4">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50</w:t>
            </w:r>
          </w:p>
        </w:tc>
        <w:tc>
          <w:tcPr>
            <w:tcW w:w="2730" w:type="dxa"/>
            <w:noWrap w:val="0"/>
            <w:vAlign w:val="center"/>
          </w:tcPr>
          <w:p w14:paraId="3885ECF9">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0.0075</w:t>
            </w:r>
          </w:p>
        </w:tc>
        <w:tc>
          <w:tcPr>
            <w:tcW w:w="2334" w:type="dxa"/>
            <w:noWrap w:val="0"/>
            <w:vAlign w:val="center"/>
          </w:tcPr>
          <w:p w14:paraId="67A6B47D">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0.83</w:t>
            </w:r>
          </w:p>
        </w:tc>
      </w:tr>
      <w:tr w14:paraId="1B991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4EE2F168">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2085" w:type="dxa"/>
            <w:noWrap w:val="0"/>
            <w:vAlign w:val="center"/>
          </w:tcPr>
          <w:p w14:paraId="171765DD">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100</w:t>
            </w:r>
          </w:p>
        </w:tc>
        <w:tc>
          <w:tcPr>
            <w:tcW w:w="2730" w:type="dxa"/>
            <w:noWrap w:val="0"/>
            <w:vAlign w:val="center"/>
          </w:tcPr>
          <w:p w14:paraId="39DC1B2D">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0.0086</w:t>
            </w:r>
          </w:p>
        </w:tc>
        <w:tc>
          <w:tcPr>
            <w:tcW w:w="2334" w:type="dxa"/>
            <w:noWrap w:val="0"/>
            <w:vAlign w:val="center"/>
          </w:tcPr>
          <w:p w14:paraId="4DC19782">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0.95</w:t>
            </w:r>
          </w:p>
        </w:tc>
      </w:tr>
      <w:tr w14:paraId="30186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76CE4B2E">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2085" w:type="dxa"/>
            <w:noWrap w:val="0"/>
            <w:vAlign w:val="center"/>
          </w:tcPr>
          <w:p w14:paraId="29018365">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131</w:t>
            </w:r>
          </w:p>
        </w:tc>
        <w:tc>
          <w:tcPr>
            <w:tcW w:w="2730" w:type="dxa"/>
            <w:noWrap w:val="0"/>
            <w:vAlign w:val="center"/>
          </w:tcPr>
          <w:p w14:paraId="17C6A005">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0.0091</w:t>
            </w:r>
          </w:p>
        </w:tc>
        <w:tc>
          <w:tcPr>
            <w:tcW w:w="2334" w:type="dxa"/>
            <w:noWrap w:val="0"/>
            <w:vAlign w:val="center"/>
          </w:tcPr>
          <w:p w14:paraId="0BCEA1E4">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1.01</w:t>
            </w:r>
          </w:p>
        </w:tc>
      </w:tr>
      <w:tr w14:paraId="6468B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4425D6EC">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p>
        </w:tc>
        <w:tc>
          <w:tcPr>
            <w:tcW w:w="2085" w:type="dxa"/>
            <w:noWrap w:val="0"/>
            <w:vAlign w:val="center"/>
          </w:tcPr>
          <w:p w14:paraId="7D0DCB84">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150</w:t>
            </w:r>
          </w:p>
        </w:tc>
        <w:tc>
          <w:tcPr>
            <w:tcW w:w="2730" w:type="dxa"/>
            <w:noWrap w:val="0"/>
            <w:vAlign w:val="center"/>
          </w:tcPr>
          <w:p w14:paraId="0B516A42">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0.0089</w:t>
            </w:r>
          </w:p>
        </w:tc>
        <w:tc>
          <w:tcPr>
            <w:tcW w:w="2334" w:type="dxa"/>
            <w:noWrap w:val="0"/>
            <w:vAlign w:val="center"/>
          </w:tcPr>
          <w:p w14:paraId="0D96D0EE">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0.99</w:t>
            </w:r>
          </w:p>
        </w:tc>
      </w:tr>
      <w:tr w14:paraId="246B9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43313E56">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p>
        </w:tc>
        <w:tc>
          <w:tcPr>
            <w:tcW w:w="2085" w:type="dxa"/>
            <w:noWrap w:val="0"/>
            <w:vAlign w:val="center"/>
          </w:tcPr>
          <w:p w14:paraId="69F91184">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200</w:t>
            </w:r>
          </w:p>
        </w:tc>
        <w:tc>
          <w:tcPr>
            <w:tcW w:w="2730" w:type="dxa"/>
            <w:noWrap w:val="0"/>
            <w:vAlign w:val="center"/>
          </w:tcPr>
          <w:p w14:paraId="58E32BC4">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0.0067</w:t>
            </w:r>
          </w:p>
        </w:tc>
        <w:tc>
          <w:tcPr>
            <w:tcW w:w="2334" w:type="dxa"/>
            <w:noWrap w:val="0"/>
            <w:vAlign w:val="center"/>
          </w:tcPr>
          <w:p w14:paraId="7FA640C4">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0.74</w:t>
            </w:r>
          </w:p>
        </w:tc>
      </w:tr>
      <w:tr w14:paraId="00A2C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14381A96">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c>
          <w:tcPr>
            <w:tcW w:w="2085" w:type="dxa"/>
            <w:noWrap w:val="0"/>
            <w:vAlign w:val="center"/>
          </w:tcPr>
          <w:p w14:paraId="2E18AA57">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250</w:t>
            </w:r>
          </w:p>
        </w:tc>
        <w:tc>
          <w:tcPr>
            <w:tcW w:w="2730" w:type="dxa"/>
            <w:noWrap w:val="0"/>
            <w:vAlign w:val="center"/>
          </w:tcPr>
          <w:p w14:paraId="52848BC8">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0.0058</w:t>
            </w:r>
          </w:p>
        </w:tc>
        <w:tc>
          <w:tcPr>
            <w:tcW w:w="2334" w:type="dxa"/>
            <w:noWrap w:val="0"/>
            <w:vAlign w:val="center"/>
          </w:tcPr>
          <w:p w14:paraId="0A05FAC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0.65</w:t>
            </w:r>
          </w:p>
        </w:tc>
      </w:tr>
      <w:tr w14:paraId="2FBA0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402AFF9A">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9</w:t>
            </w:r>
          </w:p>
        </w:tc>
        <w:tc>
          <w:tcPr>
            <w:tcW w:w="2085" w:type="dxa"/>
            <w:noWrap w:val="0"/>
            <w:vAlign w:val="center"/>
          </w:tcPr>
          <w:p w14:paraId="58FD1F30">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300</w:t>
            </w:r>
          </w:p>
        </w:tc>
        <w:tc>
          <w:tcPr>
            <w:tcW w:w="2730" w:type="dxa"/>
            <w:noWrap w:val="0"/>
            <w:vAlign w:val="center"/>
          </w:tcPr>
          <w:p w14:paraId="02586D34">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0.0056</w:t>
            </w:r>
          </w:p>
        </w:tc>
        <w:tc>
          <w:tcPr>
            <w:tcW w:w="2334" w:type="dxa"/>
            <w:noWrap w:val="0"/>
            <w:vAlign w:val="center"/>
          </w:tcPr>
          <w:p w14:paraId="10EC64B6">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0.62</w:t>
            </w:r>
          </w:p>
        </w:tc>
      </w:tr>
      <w:tr w14:paraId="3AD58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7C749F4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10</w:t>
            </w:r>
          </w:p>
        </w:tc>
        <w:tc>
          <w:tcPr>
            <w:tcW w:w="2085" w:type="dxa"/>
            <w:noWrap w:val="0"/>
            <w:vAlign w:val="center"/>
          </w:tcPr>
          <w:p w14:paraId="10383885">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350</w:t>
            </w:r>
          </w:p>
        </w:tc>
        <w:tc>
          <w:tcPr>
            <w:tcW w:w="2730" w:type="dxa"/>
            <w:noWrap w:val="0"/>
            <w:vAlign w:val="center"/>
          </w:tcPr>
          <w:p w14:paraId="78594C0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0.0053</w:t>
            </w:r>
          </w:p>
        </w:tc>
        <w:tc>
          <w:tcPr>
            <w:tcW w:w="2334" w:type="dxa"/>
            <w:noWrap w:val="0"/>
            <w:vAlign w:val="center"/>
          </w:tcPr>
          <w:p w14:paraId="3C219153">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0.59</w:t>
            </w:r>
          </w:p>
        </w:tc>
      </w:tr>
      <w:tr w14:paraId="57E67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06E06A77">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11</w:t>
            </w:r>
          </w:p>
        </w:tc>
        <w:tc>
          <w:tcPr>
            <w:tcW w:w="2085" w:type="dxa"/>
            <w:noWrap w:val="0"/>
            <w:vAlign w:val="center"/>
          </w:tcPr>
          <w:p w14:paraId="78F972F3">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400</w:t>
            </w:r>
          </w:p>
        </w:tc>
        <w:tc>
          <w:tcPr>
            <w:tcW w:w="2730" w:type="dxa"/>
            <w:noWrap w:val="0"/>
            <w:vAlign w:val="center"/>
          </w:tcPr>
          <w:p w14:paraId="55B5B04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0.0051</w:t>
            </w:r>
          </w:p>
        </w:tc>
        <w:tc>
          <w:tcPr>
            <w:tcW w:w="2334" w:type="dxa"/>
            <w:noWrap w:val="0"/>
            <w:vAlign w:val="center"/>
          </w:tcPr>
          <w:p w14:paraId="22FA424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0.57</w:t>
            </w:r>
          </w:p>
        </w:tc>
      </w:tr>
      <w:tr w14:paraId="0BC5D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6D655A2C">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12</w:t>
            </w:r>
          </w:p>
        </w:tc>
        <w:tc>
          <w:tcPr>
            <w:tcW w:w="2085" w:type="dxa"/>
            <w:noWrap w:val="0"/>
            <w:vAlign w:val="center"/>
          </w:tcPr>
          <w:p w14:paraId="5DDCED6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450</w:t>
            </w:r>
          </w:p>
        </w:tc>
        <w:tc>
          <w:tcPr>
            <w:tcW w:w="2730" w:type="dxa"/>
            <w:noWrap w:val="0"/>
            <w:vAlign w:val="center"/>
          </w:tcPr>
          <w:p w14:paraId="0A894AC0">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w:t>
            </w:r>
          </w:p>
        </w:tc>
        <w:tc>
          <w:tcPr>
            <w:tcW w:w="2334" w:type="dxa"/>
            <w:noWrap w:val="0"/>
            <w:vAlign w:val="center"/>
          </w:tcPr>
          <w:p w14:paraId="6F5F9E5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0.55</w:t>
            </w:r>
          </w:p>
        </w:tc>
      </w:tr>
      <w:tr w14:paraId="608B9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65BE3B47">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13</w:t>
            </w:r>
          </w:p>
        </w:tc>
        <w:tc>
          <w:tcPr>
            <w:tcW w:w="2085" w:type="dxa"/>
            <w:noWrap w:val="0"/>
            <w:vAlign w:val="center"/>
          </w:tcPr>
          <w:p w14:paraId="338C754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500</w:t>
            </w:r>
          </w:p>
        </w:tc>
        <w:tc>
          <w:tcPr>
            <w:tcW w:w="2730" w:type="dxa"/>
            <w:noWrap w:val="0"/>
            <w:vAlign w:val="center"/>
          </w:tcPr>
          <w:p w14:paraId="4B008ED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0.0048</w:t>
            </w:r>
          </w:p>
        </w:tc>
        <w:tc>
          <w:tcPr>
            <w:tcW w:w="2334" w:type="dxa"/>
            <w:noWrap w:val="0"/>
            <w:vAlign w:val="center"/>
          </w:tcPr>
          <w:p w14:paraId="07FA151D">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0.54</w:t>
            </w:r>
          </w:p>
        </w:tc>
      </w:tr>
      <w:tr w14:paraId="190AE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B3950E8">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14</w:t>
            </w:r>
          </w:p>
        </w:tc>
        <w:tc>
          <w:tcPr>
            <w:tcW w:w="2085" w:type="dxa"/>
            <w:noWrap w:val="0"/>
            <w:vAlign w:val="center"/>
          </w:tcPr>
          <w:p w14:paraId="3D4397E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600</w:t>
            </w:r>
          </w:p>
        </w:tc>
        <w:tc>
          <w:tcPr>
            <w:tcW w:w="2730" w:type="dxa"/>
            <w:noWrap w:val="0"/>
            <w:vAlign w:val="center"/>
          </w:tcPr>
          <w:p w14:paraId="52F3341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0.0046</w:t>
            </w:r>
          </w:p>
        </w:tc>
        <w:tc>
          <w:tcPr>
            <w:tcW w:w="2334" w:type="dxa"/>
            <w:noWrap w:val="0"/>
            <w:vAlign w:val="center"/>
          </w:tcPr>
          <w:p w14:paraId="133BD3B5">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0.51</w:t>
            </w:r>
          </w:p>
        </w:tc>
      </w:tr>
      <w:tr w14:paraId="0FA95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7F2A9D86">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2085" w:type="dxa"/>
            <w:noWrap w:val="0"/>
            <w:vAlign w:val="center"/>
          </w:tcPr>
          <w:p w14:paraId="0FBAF5CE">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700</w:t>
            </w:r>
          </w:p>
        </w:tc>
        <w:tc>
          <w:tcPr>
            <w:tcW w:w="2730" w:type="dxa"/>
            <w:noWrap w:val="0"/>
            <w:vAlign w:val="center"/>
          </w:tcPr>
          <w:p w14:paraId="0ADB2C1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0.0044</w:t>
            </w:r>
          </w:p>
        </w:tc>
        <w:tc>
          <w:tcPr>
            <w:tcW w:w="2334" w:type="dxa"/>
            <w:noWrap w:val="0"/>
            <w:vAlign w:val="center"/>
          </w:tcPr>
          <w:p w14:paraId="01884B24">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0.49</w:t>
            </w:r>
          </w:p>
        </w:tc>
      </w:tr>
      <w:tr w14:paraId="78E3A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56EBCC71">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16</w:t>
            </w:r>
          </w:p>
        </w:tc>
        <w:tc>
          <w:tcPr>
            <w:tcW w:w="2085" w:type="dxa"/>
            <w:noWrap w:val="0"/>
            <w:vAlign w:val="center"/>
          </w:tcPr>
          <w:p w14:paraId="5C681613">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800</w:t>
            </w:r>
          </w:p>
        </w:tc>
        <w:tc>
          <w:tcPr>
            <w:tcW w:w="2730" w:type="dxa"/>
            <w:noWrap w:val="0"/>
            <w:vAlign w:val="center"/>
          </w:tcPr>
          <w:p w14:paraId="12F7459E">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0.0042</w:t>
            </w:r>
          </w:p>
        </w:tc>
        <w:tc>
          <w:tcPr>
            <w:tcW w:w="2334" w:type="dxa"/>
            <w:noWrap w:val="0"/>
            <w:vAlign w:val="center"/>
          </w:tcPr>
          <w:p w14:paraId="25B5A16E">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0.47</w:t>
            </w:r>
          </w:p>
        </w:tc>
      </w:tr>
      <w:tr w14:paraId="37BB7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777F937">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17</w:t>
            </w:r>
          </w:p>
        </w:tc>
        <w:tc>
          <w:tcPr>
            <w:tcW w:w="2085" w:type="dxa"/>
            <w:noWrap w:val="0"/>
            <w:vAlign w:val="center"/>
          </w:tcPr>
          <w:p w14:paraId="57D506D7">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900</w:t>
            </w:r>
          </w:p>
        </w:tc>
        <w:tc>
          <w:tcPr>
            <w:tcW w:w="2730" w:type="dxa"/>
            <w:noWrap w:val="0"/>
            <w:vAlign w:val="center"/>
          </w:tcPr>
          <w:p w14:paraId="3B6AEFBA">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w:t>
            </w:r>
          </w:p>
        </w:tc>
        <w:tc>
          <w:tcPr>
            <w:tcW w:w="2334" w:type="dxa"/>
            <w:noWrap w:val="0"/>
            <w:vAlign w:val="center"/>
          </w:tcPr>
          <w:p w14:paraId="10CD615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0.45</w:t>
            </w:r>
          </w:p>
        </w:tc>
      </w:tr>
      <w:tr w14:paraId="1F3A1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2EF6A7B8">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18</w:t>
            </w:r>
          </w:p>
        </w:tc>
        <w:tc>
          <w:tcPr>
            <w:tcW w:w="2085" w:type="dxa"/>
            <w:noWrap w:val="0"/>
            <w:vAlign w:val="center"/>
          </w:tcPr>
          <w:p w14:paraId="6D1B3949">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1000</w:t>
            </w:r>
          </w:p>
        </w:tc>
        <w:tc>
          <w:tcPr>
            <w:tcW w:w="2730" w:type="dxa"/>
            <w:noWrap w:val="0"/>
            <w:vAlign w:val="center"/>
          </w:tcPr>
          <w:p w14:paraId="1EDABBE8">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0.0039</w:t>
            </w:r>
          </w:p>
        </w:tc>
        <w:tc>
          <w:tcPr>
            <w:tcW w:w="2334" w:type="dxa"/>
            <w:noWrap w:val="0"/>
            <w:vAlign w:val="center"/>
          </w:tcPr>
          <w:p w14:paraId="5E59454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0.43</w:t>
            </w:r>
          </w:p>
        </w:tc>
      </w:tr>
      <w:tr w14:paraId="737BD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174E4BCE">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19</w:t>
            </w:r>
          </w:p>
        </w:tc>
        <w:tc>
          <w:tcPr>
            <w:tcW w:w="2085" w:type="dxa"/>
            <w:noWrap w:val="0"/>
            <w:vAlign w:val="center"/>
          </w:tcPr>
          <w:p w14:paraId="253B6D6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1100</w:t>
            </w:r>
          </w:p>
        </w:tc>
        <w:tc>
          <w:tcPr>
            <w:tcW w:w="2730" w:type="dxa"/>
            <w:noWrap w:val="0"/>
            <w:vAlign w:val="center"/>
          </w:tcPr>
          <w:p w14:paraId="27046649">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0.0037</w:t>
            </w:r>
          </w:p>
        </w:tc>
        <w:tc>
          <w:tcPr>
            <w:tcW w:w="2334" w:type="dxa"/>
            <w:noWrap w:val="0"/>
            <w:vAlign w:val="center"/>
          </w:tcPr>
          <w:p w14:paraId="7A665DD2">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0.42</w:t>
            </w:r>
          </w:p>
        </w:tc>
      </w:tr>
      <w:tr w14:paraId="0DFC4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6336376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20</w:t>
            </w:r>
          </w:p>
        </w:tc>
        <w:tc>
          <w:tcPr>
            <w:tcW w:w="2085" w:type="dxa"/>
            <w:noWrap w:val="0"/>
            <w:vAlign w:val="center"/>
          </w:tcPr>
          <w:p w14:paraId="5C1AD480">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1200</w:t>
            </w:r>
          </w:p>
        </w:tc>
        <w:tc>
          <w:tcPr>
            <w:tcW w:w="2730" w:type="dxa"/>
            <w:noWrap w:val="0"/>
            <w:vAlign w:val="center"/>
          </w:tcPr>
          <w:p w14:paraId="46B456A3">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0.0036</w:t>
            </w:r>
          </w:p>
        </w:tc>
        <w:tc>
          <w:tcPr>
            <w:tcW w:w="2334" w:type="dxa"/>
            <w:noWrap w:val="0"/>
            <w:vAlign w:val="center"/>
          </w:tcPr>
          <w:p w14:paraId="582B8C8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0.40</w:t>
            </w:r>
          </w:p>
        </w:tc>
      </w:tr>
      <w:tr w14:paraId="10AAD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6BEB6E83">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21</w:t>
            </w:r>
          </w:p>
        </w:tc>
        <w:tc>
          <w:tcPr>
            <w:tcW w:w="2085" w:type="dxa"/>
            <w:noWrap w:val="0"/>
            <w:vAlign w:val="center"/>
          </w:tcPr>
          <w:p w14:paraId="53221358">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1300</w:t>
            </w:r>
          </w:p>
        </w:tc>
        <w:tc>
          <w:tcPr>
            <w:tcW w:w="2730" w:type="dxa"/>
            <w:noWrap w:val="0"/>
            <w:vAlign w:val="center"/>
          </w:tcPr>
          <w:p w14:paraId="1E35B87E">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0.0035</w:t>
            </w:r>
          </w:p>
        </w:tc>
        <w:tc>
          <w:tcPr>
            <w:tcW w:w="2334" w:type="dxa"/>
            <w:noWrap w:val="0"/>
            <w:vAlign w:val="center"/>
          </w:tcPr>
          <w:p w14:paraId="6B40A4C5">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0.39</w:t>
            </w:r>
          </w:p>
        </w:tc>
      </w:tr>
      <w:tr w14:paraId="7D997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D9D029E">
            <w:pPr>
              <w:keepNext w:val="0"/>
              <w:keepLines w:val="0"/>
              <w:suppressLineNumbers w:val="0"/>
              <w:spacing w:before="0" w:beforeAutospacing="0" w:after="0" w:afterAutospacing="0" w:line="360" w:lineRule="exact"/>
              <w:ind w:left="0" w:right="0"/>
              <w:jc w:val="center"/>
              <w:rPr>
                <w:rFonts w:hint="default"/>
                <w:bCs/>
                <w:color w:val="000000" w:themeColor="text1"/>
                <w14:textFill>
                  <w14:solidFill>
                    <w14:schemeClr w14:val="tx1"/>
                  </w14:solidFill>
                </w14:textFill>
              </w:rPr>
            </w:pPr>
            <w:r>
              <w:rPr>
                <w:rFonts w:hint="eastAsia"/>
                <w:bCs/>
                <w:color w:val="000000" w:themeColor="text1"/>
                <w14:textFill>
                  <w14:solidFill>
                    <w14:schemeClr w14:val="tx1"/>
                  </w14:solidFill>
                </w14:textFill>
              </w:rPr>
              <w:t>22</w:t>
            </w:r>
          </w:p>
        </w:tc>
        <w:tc>
          <w:tcPr>
            <w:tcW w:w="2085" w:type="dxa"/>
            <w:noWrap w:val="0"/>
            <w:vAlign w:val="center"/>
          </w:tcPr>
          <w:p w14:paraId="780D5878">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1400</w:t>
            </w:r>
          </w:p>
        </w:tc>
        <w:tc>
          <w:tcPr>
            <w:tcW w:w="2730" w:type="dxa"/>
            <w:noWrap w:val="0"/>
            <w:vAlign w:val="center"/>
          </w:tcPr>
          <w:p w14:paraId="5BE97A4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0.0034</w:t>
            </w:r>
          </w:p>
        </w:tc>
        <w:tc>
          <w:tcPr>
            <w:tcW w:w="2334" w:type="dxa"/>
            <w:noWrap w:val="0"/>
            <w:vAlign w:val="center"/>
          </w:tcPr>
          <w:p w14:paraId="5F566328">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0.38</w:t>
            </w:r>
          </w:p>
        </w:tc>
      </w:tr>
      <w:tr w14:paraId="24379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0736F195">
            <w:pPr>
              <w:keepNext w:val="0"/>
              <w:keepLines w:val="0"/>
              <w:suppressLineNumbers w:val="0"/>
              <w:spacing w:before="0" w:beforeAutospacing="0" w:after="0" w:afterAutospacing="0" w:line="360" w:lineRule="exact"/>
              <w:ind w:left="0" w:right="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23</w:t>
            </w:r>
          </w:p>
        </w:tc>
        <w:tc>
          <w:tcPr>
            <w:tcW w:w="2085" w:type="dxa"/>
            <w:noWrap w:val="0"/>
            <w:vAlign w:val="center"/>
          </w:tcPr>
          <w:p w14:paraId="7D0687BF">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1500</w:t>
            </w:r>
          </w:p>
        </w:tc>
        <w:tc>
          <w:tcPr>
            <w:tcW w:w="2730" w:type="dxa"/>
            <w:noWrap w:val="0"/>
            <w:vAlign w:val="center"/>
          </w:tcPr>
          <w:p w14:paraId="674C9F2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0.0033</w:t>
            </w:r>
          </w:p>
        </w:tc>
        <w:tc>
          <w:tcPr>
            <w:tcW w:w="2334" w:type="dxa"/>
            <w:noWrap w:val="0"/>
            <w:vAlign w:val="center"/>
          </w:tcPr>
          <w:p w14:paraId="0FC3AB70">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0.36</w:t>
            </w:r>
          </w:p>
        </w:tc>
      </w:tr>
    </w:tbl>
    <w:p w14:paraId="51929745">
      <w:pPr>
        <w:spacing w:line="480" w:lineRule="exact"/>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表5.2-</w:t>
      </w:r>
      <w:r>
        <w:rPr>
          <w:rFonts w:hint="eastAsia"/>
          <w:b/>
          <w:bCs/>
          <w:color w:val="000000" w:themeColor="text1"/>
          <w:sz w:val="24"/>
          <w:lang w:val="en-US" w:eastAsia="zh-CN"/>
          <w14:textFill>
            <w14:solidFill>
              <w14:schemeClr w14:val="tx1"/>
            </w14:solidFill>
          </w14:textFill>
        </w:rPr>
        <w:t>4</w:t>
      </w:r>
      <w:r>
        <w:rPr>
          <w:rFonts w:hint="eastAsia"/>
          <w:b/>
          <w:bCs/>
          <w:color w:val="000000" w:themeColor="text1"/>
          <w:sz w:val="24"/>
          <w14:textFill>
            <w14:solidFill>
              <w14:schemeClr w14:val="tx1"/>
            </w14:solidFill>
          </w14:textFill>
        </w:rPr>
        <w:t xml:space="preserve">    </w:t>
      </w:r>
      <w:r>
        <w:rPr>
          <w:rFonts w:hint="eastAsia"/>
          <w:b/>
          <w:bCs/>
          <w:color w:val="000000" w:themeColor="text1"/>
          <w:sz w:val="24"/>
          <w:lang w:val="en-US" w:eastAsia="zh-CN"/>
          <w14:textFill>
            <w14:solidFill>
              <w14:schemeClr w14:val="tx1"/>
            </w14:solidFill>
          </w14:textFill>
        </w:rPr>
        <w:t>2号</w:t>
      </w:r>
      <w:r>
        <w:rPr>
          <w:rFonts w:hint="eastAsia"/>
          <w:b/>
          <w:bCs/>
          <w:color w:val="000000" w:themeColor="text1"/>
          <w:sz w:val="24"/>
          <w14:textFill>
            <w14:solidFill>
              <w14:schemeClr w14:val="tx1"/>
            </w14:solidFill>
          </w14:textFill>
        </w:rPr>
        <w:t>废石堆场无组织粉尘估算模型计算结果统计表</w:t>
      </w:r>
    </w:p>
    <w:tbl>
      <w:tblPr>
        <w:tblStyle w:val="79"/>
        <w:tblW w:w="83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1187"/>
        <w:gridCol w:w="2085"/>
        <w:gridCol w:w="2730"/>
        <w:gridCol w:w="2334"/>
      </w:tblGrid>
      <w:tr w14:paraId="53E98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1187" w:type="dxa"/>
            <w:vMerge w:val="restart"/>
            <w:noWrap w:val="0"/>
            <w:vAlign w:val="center"/>
          </w:tcPr>
          <w:p w14:paraId="5646AFC2">
            <w:pPr>
              <w:keepNext w:val="0"/>
              <w:keepLines w:val="0"/>
              <w:suppressLineNumbers w:val="0"/>
              <w:spacing w:before="0" w:beforeAutospacing="0" w:after="0" w:afterAutospacing="0" w:line="360" w:lineRule="exact"/>
              <w:ind w:left="0" w:right="0"/>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2085" w:type="dxa"/>
            <w:vMerge w:val="restart"/>
            <w:noWrap w:val="0"/>
            <w:vAlign w:val="center"/>
          </w:tcPr>
          <w:p w14:paraId="32E6C1AC">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下风向距离/m</w:t>
            </w:r>
          </w:p>
        </w:tc>
        <w:tc>
          <w:tcPr>
            <w:tcW w:w="5064" w:type="dxa"/>
            <w:gridSpan w:val="2"/>
            <w:noWrap w:val="0"/>
            <w:vAlign w:val="center"/>
          </w:tcPr>
          <w:p w14:paraId="35A3327F">
            <w:pPr>
              <w:keepNext w:val="0"/>
              <w:keepLines w:val="0"/>
              <w:suppressLineNumbers w:val="0"/>
              <w:spacing w:before="0" w:beforeAutospacing="0" w:after="0" w:afterAutospacing="0" w:line="360" w:lineRule="exact"/>
              <w:ind w:left="0" w:right="0"/>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粉尘</w:t>
            </w:r>
          </w:p>
        </w:tc>
      </w:tr>
      <w:tr w14:paraId="6E97A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1187" w:type="dxa"/>
            <w:vMerge w:val="continue"/>
            <w:noWrap w:val="0"/>
            <w:vAlign w:val="center"/>
          </w:tcPr>
          <w:p w14:paraId="19A327DC">
            <w:pPr>
              <w:keepNext w:val="0"/>
              <w:keepLines w:val="0"/>
              <w:suppressLineNumbers w:val="0"/>
              <w:spacing w:before="0" w:beforeAutospacing="0" w:after="0" w:afterAutospacing="0" w:line="360" w:lineRule="exact"/>
              <w:ind w:left="0" w:right="0"/>
              <w:jc w:val="center"/>
              <w:rPr>
                <w:rFonts w:hint="eastAsia"/>
                <w:b/>
                <w:bCs/>
                <w:color w:val="000000" w:themeColor="text1"/>
                <w14:textFill>
                  <w14:solidFill>
                    <w14:schemeClr w14:val="tx1"/>
                  </w14:solidFill>
                </w14:textFill>
              </w:rPr>
            </w:pPr>
          </w:p>
        </w:tc>
        <w:tc>
          <w:tcPr>
            <w:tcW w:w="2085" w:type="dxa"/>
            <w:vMerge w:val="continue"/>
            <w:noWrap w:val="0"/>
            <w:vAlign w:val="center"/>
          </w:tcPr>
          <w:p w14:paraId="69EC8539">
            <w:pPr>
              <w:keepNext w:val="0"/>
              <w:keepLines w:val="0"/>
              <w:suppressLineNumbers w:val="0"/>
              <w:spacing w:before="0" w:beforeAutospacing="0" w:after="0" w:afterAutospacing="0" w:line="360" w:lineRule="exact"/>
              <w:ind w:left="0" w:right="0"/>
              <w:jc w:val="center"/>
              <w:rPr>
                <w:rFonts w:hint="eastAsia"/>
                <w:b/>
                <w:bCs/>
                <w:color w:val="000000" w:themeColor="text1"/>
                <w14:textFill>
                  <w14:solidFill>
                    <w14:schemeClr w14:val="tx1"/>
                  </w14:solidFill>
                </w14:textFill>
              </w:rPr>
            </w:pPr>
          </w:p>
        </w:tc>
        <w:tc>
          <w:tcPr>
            <w:tcW w:w="2730" w:type="dxa"/>
            <w:noWrap w:val="0"/>
            <w:vAlign w:val="center"/>
          </w:tcPr>
          <w:p w14:paraId="0EE0C7BD">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预测质量</w:t>
            </w:r>
            <w:r>
              <w:rPr>
                <w:rFonts w:hint="default"/>
                <w:b/>
                <w:bCs/>
                <w:color w:val="000000" w:themeColor="text1"/>
                <w14:textFill>
                  <w14:solidFill>
                    <w14:schemeClr w14:val="tx1"/>
                  </w14:solidFill>
                </w14:textFill>
              </w:rPr>
              <w:t>浓度</w:t>
            </w:r>
            <w:r>
              <w:rPr>
                <w:rFonts w:hint="eastAsia"/>
                <w:b/>
                <w:bCs/>
                <w:color w:val="000000" w:themeColor="text1"/>
                <w:lang w:val="en-US" w:eastAsia="zh-CN"/>
                <w14:textFill>
                  <w14:solidFill>
                    <w14:schemeClr w14:val="tx1"/>
                  </w14:solidFill>
                </w14:textFill>
              </w:rPr>
              <w:t>m</w:t>
            </w:r>
            <w:r>
              <w:rPr>
                <w:rFonts w:hint="eastAsia"/>
                <w:b/>
                <w:bCs/>
                <w:color w:val="000000" w:themeColor="text1"/>
                <w14:textFill>
                  <w14:solidFill>
                    <w14:schemeClr w14:val="tx1"/>
                  </w14:solidFill>
                </w14:textFill>
              </w:rPr>
              <w:t>g/m</w:t>
            </w:r>
            <w:r>
              <w:rPr>
                <w:rFonts w:hint="eastAsia"/>
                <w:b/>
                <w:bCs/>
                <w:color w:val="000000" w:themeColor="text1"/>
                <w:vertAlign w:val="superscript"/>
                <w14:textFill>
                  <w14:solidFill>
                    <w14:schemeClr w14:val="tx1"/>
                  </w14:solidFill>
                </w14:textFill>
              </w:rPr>
              <w:t>3</w:t>
            </w:r>
          </w:p>
        </w:tc>
        <w:tc>
          <w:tcPr>
            <w:tcW w:w="2334" w:type="dxa"/>
            <w:noWrap w:val="0"/>
            <w:vAlign w:val="center"/>
          </w:tcPr>
          <w:p w14:paraId="5F8E486D">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占标率%</w:t>
            </w:r>
          </w:p>
        </w:tc>
      </w:tr>
      <w:tr w14:paraId="3E95B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6A1AAB83">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2085" w:type="dxa"/>
            <w:noWrap w:val="0"/>
            <w:vAlign w:val="center"/>
          </w:tcPr>
          <w:p w14:paraId="25FD0F4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10</w:t>
            </w:r>
          </w:p>
        </w:tc>
        <w:tc>
          <w:tcPr>
            <w:tcW w:w="2730" w:type="dxa"/>
            <w:noWrap w:val="0"/>
            <w:vAlign w:val="center"/>
          </w:tcPr>
          <w:p w14:paraId="5096E55A">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0.0073</w:t>
            </w:r>
          </w:p>
        </w:tc>
        <w:tc>
          <w:tcPr>
            <w:tcW w:w="2334" w:type="dxa"/>
            <w:noWrap w:val="0"/>
            <w:vAlign w:val="center"/>
          </w:tcPr>
          <w:p w14:paraId="16A5CD0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0.81</w:t>
            </w:r>
          </w:p>
        </w:tc>
      </w:tr>
      <w:tr w14:paraId="7BF82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0E22DD8">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2085" w:type="dxa"/>
            <w:noWrap w:val="0"/>
            <w:vAlign w:val="center"/>
          </w:tcPr>
          <w:p w14:paraId="3317D0CE">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25</w:t>
            </w:r>
          </w:p>
        </w:tc>
        <w:tc>
          <w:tcPr>
            <w:tcW w:w="2730" w:type="dxa"/>
            <w:noWrap w:val="0"/>
            <w:vAlign w:val="center"/>
          </w:tcPr>
          <w:p w14:paraId="5F6DD08E">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0.008</w:t>
            </w:r>
          </w:p>
        </w:tc>
        <w:tc>
          <w:tcPr>
            <w:tcW w:w="2334" w:type="dxa"/>
            <w:noWrap w:val="0"/>
            <w:vAlign w:val="center"/>
          </w:tcPr>
          <w:p w14:paraId="07FDD78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0.89</w:t>
            </w:r>
          </w:p>
        </w:tc>
      </w:tr>
      <w:tr w14:paraId="4A7D0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13F618DC">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2085" w:type="dxa"/>
            <w:noWrap w:val="0"/>
            <w:vAlign w:val="center"/>
          </w:tcPr>
          <w:p w14:paraId="7AE3C97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50</w:t>
            </w:r>
          </w:p>
        </w:tc>
        <w:tc>
          <w:tcPr>
            <w:tcW w:w="2730" w:type="dxa"/>
            <w:noWrap w:val="0"/>
            <w:vAlign w:val="center"/>
          </w:tcPr>
          <w:p w14:paraId="530C813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0.0091</w:t>
            </w:r>
          </w:p>
        </w:tc>
        <w:tc>
          <w:tcPr>
            <w:tcW w:w="2334" w:type="dxa"/>
            <w:noWrap w:val="0"/>
            <w:vAlign w:val="center"/>
          </w:tcPr>
          <w:p w14:paraId="512CBDD0">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1.01</w:t>
            </w:r>
          </w:p>
        </w:tc>
      </w:tr>
      <w:tr w14:paraId="01AB9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799ADB77">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2085" w:type="dxa"/>
            <w:noWrap w:val="0"/>
            <w:vAlign w:val="center"/>
          </w:tcPr>
          <w:p w14:paraId="33BB0B78">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100</w:t>
            </w:r>
          </w:p>
        </w:tc>
        <w:tc>
          <w:tcPr>
            <w:tcW w:w="2730" w:type="dxa"/>
            <w:noWrap w:val="0"/>
            <w:vAlign w:val="center"/>
          </w:tcPr>
          <w:p w14:paraId="50ECEFB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0.0104</w:t>
            </w:r>
          </w:p>
        </w:tc>
        <w:tc>
          <w:tcPr>
            <w:tcW w:w="2334" w:type="dxa"/>
            <w:noWrap w:val="0"/>
            <w:vAlign w:val="center"/>
          </w:tcPr>
          <w:p w14:paraId="5E202A6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1.16</w:t>
            </w:r>
          </w:p>
        </w:tc>
      </w:tr>
      <w:tr w14:paraId="06619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4FFC04A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2085" w:type="dxa"/>
            <w:noWrap w:val="0"/>
            <w:vAlign w:val="center"/>
          </w:tcPr>
          <w:p w14:paraId="5635F16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109</w:t>
            </w:r>
          </w:p>
        </w:tc>
        <w:tc>
          <w:tcPr>
            <w:tcW w:w="2730" w:type="dxa"/>
            <w:noWrap w:val="0"/>
            <w:vAlign w:val="center"/>
          </w:tcPr>
          <w:p w14:paraId="51909643">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0.0106</w:t>
            </w:r>
          </w:p>
        </w:tc>
        <w:tc>
          <w:tcPr>
            <w:tcW w:w="2334" w:type="dxa"/>
            <w:noWrap w:val="0"/>
            <w:vAlign w:val="center"/>
          </w:tcPr>
          <w:p w14:paraId="0741CAD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1.18</w:t>
            </w:r>
          </w:p>
        </w:tc>
      </w:tr>
      <w:tr w14:paraId="51AC9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62A9EE0">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p>
        </w:tc>
        <w:tc>
          <w:tcPr>
            <w:tcW w:w="2085" w:type="dxa"/>
            <w:noWrap w:val="0"/>
            <w:vAlign w:val="center"/>
          </w:tcPr>
          <w:p w14:paraId="3AD6D725">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150</w:t>
            </w:r>
          </w:p>
        </w:tc>
        <w:tc>
          <w:tcPr>
            <w:tcW w:w="2730" w:type="dxa"/>
            <w:noWrap w:val="0"/>
            <w:vAlign w:val="center"/>
          </w:tcPr>
          <w:p w14:paraId="5F7F3A0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0.0091</w:t>
            </w:r>
          </w:p>
        </w:tc>
        <w:tc>
          <w:tcPr>
            <w:tcW w:w="2334" w:type="dxa"/>
            <w:noWrap w:val="0"/>
            <w:vAlign w:val="center"/>
          </w:tcPr>
          <w:p w14:paraId="1089B92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1.01</w:t>
            </w:r>
          </w:p>
        </w:tc>
      </w:tr>
      <w:tr w14:paraId="5AD0A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1E52B536">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p>
        </w:tc>
        <w:tc>
          <w:tcPr>
            <w:tcW w:w="2085" w:type="dxa"/>
            <w:noWrap w:val="0"/>
            <w:vAlign w:val="center"/>
          </w:tcPr>
          <w:p w14:paraId="4C35D54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200</w:t>
            </w:r>
          </w:p>
        </w:tc>
        <w:tc>
          <w:tcPr>
            <w:tcW w:w="2730" w:type="dxa"/>
            <w:noWrap w:val="0"/>
            <w:vAlign w:val="center"/>
          </w:tcPr>
          <w:p w14:paraId="407A1929">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0.0066</w:t>
            </w:r>
          </w:p>
        </w:tc>
        <w:tc>
          <w:tcPr>
            <w:tcW w:w="2334" w:type="dxa"/>
            <w:noWrap w:val="0"/>
            <w:vAlign w:val="center"/>
          </w:tcPr>
          <w:p w14:paraId="5ABD677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0.73</w:t>
            </w:r>
          </w:p>
        </w:tc>
      </w:tr>
      <w:tr w14:paraId="2ED4A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345545E">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p>
        </w:tc>
        <w:tc>
          <w:tcPr>
            <w:tcW w:w="2085" w:type="dxa"/>
            <w:noWrap w:val="0"/>
            <w:vAlign w:val="center"/>
          </w:tcPr>
          <w:p w14:paraId="210C45BC">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250</w:t>
            </w:r>
          </w:p>
        </w:tc>
        <w:tc>
          <w:tcPr>
            <w:tcW w:w="2730" w:type="dxa"/>
            <w:noWrap w:val="0"/>
            <w:vAlign w:val="center"/>
          </w:tcPr>
          <w:p w14:paraId="75171DB0">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0.0059</w:t>
            </w:r>
          </w:p>
        </w:tc>
        <w:tc>
          <w:tcPr>
            <w:tcW w:w="2334" w:type="dxa"/>
            <w:noWrap w:val="0"/>
            <w:vAlign w:val="center"/>
          </w:tcPr>
          <w:p w14:paraId="3FF16479">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0.66</w:t>
            </w:r>
          </w:p>
        </w:tc>
      </w:tr>
      <w:tr w14:paraId="3B221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1C3B5E75">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9</w:t>
            </w:r>
          </w:p>
        </w:tc>
        <w:tc>
          <w:tcPr>
            <w:tcW w:w="2085" w:type="dxa"/>
            <w:noWrap w:val="0"/>
            <w:vAlign w:val="center"/>
          </w:tcPr>
          <w:p w14:paraId="17A12404">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300</w:t>
            </w:r>
          </w:p>
        </w:tc>
        <w:tc>
          <w:tcPr>
            <w:tcW w:w="2730" w:type="dxa"/>
            <w:noWrap w:val="0"/>
            <w:vAlign w:val="center"/>
          </w:tcPr>
          <w:p w14:paraId="540A14A0">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0.0056</w:t>
            </w:r>
          </w:p>
        </w:tc>
        <w:tc>
          <w:tcPr>
            <w:tcW w:w="2334" w:type="dxa"/>
            <w:noWrap w:val="0"/>
            <w:vAlign w:val="center"/>
          </w:tcPr>
          <w:p w14:paraId="4C182282">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0.62</w:t>
            </w:r>
          </w:p>
        </w:tc>
      </w:tr>
      <w:tr w14:paraId="37B00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06765446">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10</w:t>
            </w:r>
          </w:p>
        </w:tc>
        <w:tc>
          <w:tcPr>
            <w:tcW w:w="2085" w:type="dxa"/>
            <w:noWrap w:val="0"/>
            <w:vAlign w:val="center"/>
          </w:tcPr>
          <w:p w14:paraId="1410BC5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350</w:t>
            </w:r>
          </w:p>
        </w:tc>
        <w:tc>
          <w:tcPr>
            <w:tcW w:w="2730" w:type="dxa"/>
            <w:noWrap w:val="0"/>
            <w:vAlign w:val="center"/>
          </w:tcPr>
          <w:p w14:paraId="171C520D">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0.0054</w:t>
            </w:r>
          </w:p>
        </w:tc>
        <w:tc>
          <w:tcPr>
            <w:tcW w:w="2334" w:type="dxa"/>
            <w:noWrap w:val="0"/>
            <w:vAlign w:val="center"/>
          </w:tcPr>
          <w:p w14:paraId="2C6FB7C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0.6</w:t>
            </w:r>
          </w:p>
        </w:tc>
      </w:tr>
      <w:tr w14:paraId="1AC36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0C08F28">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11</w:t>
            </w:r>
          </w:p>
        </w:tc>
        <w:tc>
          <w:tcPr>
            <w:tcW w:w="2085" w:type="dxa"/>
            <w:noWrap w:val="0"/>
            <w:vAlign w:val="center"/>
          </w:tcPr>
          <w:p w14:paraId="6D2A82C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400</w:t>
            </w:r>
          </w:p>
        </w:tc>
        <w:tc>
          <w:tcPr>
            <w:tcW w:w="2730" w:type="dxa"/>
            <w:noWrap w:val="0"/>
            <w:vAlign w:val="center"/>
          </w:tcPr>
          <w:p w14:paraId="63E65BFC">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0.0052</w:t>
            </w:r>
          </w:p>
        </w:tc>
        <w:tc>
          <w:tcPr>
            <w:tcW w:w="2334" w:type="dxa"/>
            <w:noWrap w:val="0"/>
            <w:vAlign w:val="center"/>
          </w:tcPr>
          <w:p w14:paraId="7D8AE0A5">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0.57</w:t>
            </w:r>
          </w:p>
        </w:tc>
      </w:tr>
      <w:tr w14:paraId="2CF7A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76CCB5A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12</w:t>
            </w:r>
          </w:p>
        </w:tc>
        <w:tc>
          <w:tcPr>
            <w:tcW w:w="2085" w:type="dxa"/>
            <w:noWrap w:val="0"/>
            <w:vAlign w:val="center"/>
          </w:tcPr>
          <w:p w14:paraId="38BC7F5C">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450</w:t>
            </w:r>
          </w:p>
        </w:tc>
        <w:tc>
          <w:tcPr>
            <w:tcW w:w="2730" w:type="dxa"/>
            <w:noWrap w:val="0"/>
            <w:vAlign w:val="center"/>
          </w:tcPr>
          <w:p w14:paraId="0B92F78C">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0.005</w:t>
            </w:r>
          </w:p>
        </w:tc>
        <w:tc>
          <w:tcPr>
            <w:tcW w:w="2334" w:type="dxa"/>
            <w:noWrap w:val="0"/>
            <w:vAlign w:val="center"/>
          </w:tcPr>
          <w:p w14:paraId="08B4B72D">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0.56</w:t>
            </w:r>
          </w:p>
        </w:tc>
      </w:tr>
      <w:tr w14:paraId="4F84C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4816A827">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13</w:t>
            </w:r>
          </w:p>
        </w:tc>
        <w:tc>
          <w:tcPr>
            <w:tcW w:w="2085" w:type="dxa"/>
            <w:noWrap w:val="0"/>
            <w:vAlign w:val="center"/>
          </w:tcPr>
          <w:p w14:paraId="0FE9D769">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500</w:t>
            </w:r>
          </w:p>
        </w:tc>
        <w:tc>
          <w:tcPr>
            <w:tcW w:w="2730" w:type="dxa"/>
            <w:noWrap w:val="0"/>
            <w:vAlign w:val="center"/>
          </w:tcPr>
          <w:p w14:paraId="4D865E38">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0.0049</w:t>
            </w:r>
          </w:p>
        </w:tc>
        <w:tc>
          <w:tcPr>
            <w:tcW w:w="2334" w:type="dxa"/>
            <w:noWrap w:val="0"/>
            <w:vAlign w:val="center"/>
          </w:tcPr>
          <w:p w14:paraId="1ABBC5C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0.54</w:t>
            </w:r>
          </w:p>
        </w:tc>
      </w:tr>
      <w:tr w14:paraId="4FDEC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7DD8D68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14</w:t>
            </w:r>
          </w:p>
        </w:tc>
        <w:tc>
          <w:tcPr>
            <w:tcW w:w="2085" w:type="dxa"/>
            <w:noWrap w:val="0"/>
            <w:vAlign w:val="center"/>
          </w:tcPr>
          <w:p w14:paraId="02AC73D4">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600</w:t>
            </w:r>
          </w:p>
        </w:tc>
        <w:tc>
          <w:tcPr>
            <w:tcW w:w="2730" w:type="dxa"/>
            <w:noWrap w:val="0"/>
            <w:vAlign w:val="center"/>
          </w:tcPr>
          <w:p w14:paraId="4FC8EF9C">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0.0046</w:t>
            </w:r>
          </w:p>
        </w:tc>
        <w:tc>
          <w:tcPr>
            <w:tcW w:w="2334" w:type="dxa"/>
            <w:noWrap w:val="0"/>
            <w:vAlign w:val="center"/>
          </w:tcPr>
          <w:p w14:paraId="1E8246E5">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0.51</w:t>
            </w:r>
          </w:p>
        </w:tc>
      </w:tr>
      <w:tr w14:paraId="5BF2D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4C3CEE9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15</w:t>
            </w:r>
          </w:p>
        </w:tc>
        <w:tc>
          <w:tcPr>
            <w:tcW w:w="2085" w:type="dxa"/>
            <w:noWrap w:val="0"/>
            <w:vAlign w:val="center"/>
          </w:tcPr>
          <w:p w14:paraId="66EC9182">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700</w:t>
            </w:r>
          </w:p>
        </w:tc>
        <w:tc>
          <w:tcPr>
            <w:tcW w:w="2730" w:type="dxa"/>
            <w:noWrap w:val="0"/>
            <w:vAlign w:val="center"/>
          </w:tcPr>
          <w:p w14:paraId="3E7B1402">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0.0044</w:t>
            </w:r>
          </w:p>
        </w:tc>
        <w:tc>
          <w:tcPr>
            <w:tcW w:w="2334" w:type="dxa"/>
            <w:noWrap w:val="0"/>
            <w:vAlign w:val="center"/>
          </w:tcPr>
          <w:p w14:paraId="65844CD3">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0.49</w:t>
            </w:r>
          </w:p>
        </w:tc>
      </w:tr>
      <w:tr w14:paraId="2215B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7BF6F620">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16</w:t>
            </w:r>
          </w:p>
        </w:tc>
        <w:tc>
          <w:tcPr>
            <w:tcW w:w="2085" w:type="dxa"/>
            <w:noWrap w:val="0"/>
            <w:vAlign w:val="center"/>
          </w:tcPr>
          <w:p w14:paraId="197C9E11">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800</w:t>
            </w:r>
          </w:p>
        </w:tc>
        <w:tc>
          <w:tcPr>
            <w:tcW w:w="2730" w:type="dxa"/>
            <w:noWrap w:val="0"/>
            <w:vAlign w:val="center"/>
          </w:tcPr>
          <w:p w14:paraId="67B6CDC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0.0042</w:t>
            </w:r>
          </w:p>
        </w:tc>
        <w:tc>
          <w:tcPr>
            <w:tcW w:w="2334" w:type="dxa"/>
            <w:noWrap w:val="0"/>
            <w:vAlign w:val="center"/>
          </w:tcPr>
          <w:p w14:paraId="51D1A3F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0.47</w:t>
            </w:r>
          </w:p>
        </w:tc>
      </w:tr>
      <w:tr w14:paraId="41914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6044639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17</w:t>
            </w:r>
          </w:p>
        </w:tc>
        <w:tc>
          <w:tcPr>
            <w:tcW w:w="2085" w:type="dxa"/>
            <w:noWrap w:val="0"/>
            <w:vAlign w:val="center"/>
          </w:tcPr>
          <w:p w14:paraId="0E45A15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900</w:t>
            </w:r>
          </w:p>
        </w:tc>
        <w:tc>
          <w:tcPr>
            <w:tcW w:w="2730" w:type="dxa"/>
            <w:noWrap w:val="0"/>
            <w:vAlign w:val="center"/>
          </w:tcPr>
          <w:p w14:paraId="452EA31B">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0.004</w:t>
            </w:r>
          </w:p>
        </w:tc>
        <w:tc>
          <w:tcPr>
            <w:tcW w:w="2334" w:type="dxa"/>
            <w:noWrap w:val="0"/>
            <w:vAlign w:val="center"/>
          </w:tcPr>
          <w:p w14:paraId="63D04DF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0.45</w:t>
            </w:r>
          </w:p>
        </w:tc>
      </w:tr>
      <w:tr w14:paraId="323E1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5EEE7B3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18</w:t>
            </w:r>
          </w:p>
        </w:tc>
        <w:tc>
          <w:tcPr>
            <w:tcW w:w="2085" w:type="dxa"/>
            <w:noWrap w:val="0"/>
            <w:vAlign w:val="center"/>
          </w:tcPr>
          <w:p w14:paraId="54177231">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1000</w:t>
            </w:r>
          </w:p>
        </w:tc>
        <w:tc>
          <w:tcPr>
            <w:tcW w:w="2730" w:type="dxa"/>
            <w:noWrap w:val="0"/>
            <w:vAlign w:val="center"/>
          </w:tcPr>
          <w:p w14:paraId="0079A21A">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0.0039</w:t>
            </w:r>
          </w:p>
        </w:tc>
        <w:tc>
          <w:tcPr>
            <w:tcW w:w="2334" w:type="dxa"/>
            <w:noWrap w:val="0"/>
            <w:vAlign w:val="center"/>
          </w:tcPr>
          <w:p w14:paraId="0A5B1748">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0.43</w:t>
            </w:r>
          </w:p>
        </w:tc>
      </w:tr>
      <w:tr w14:paraId="1C55E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1AD97A7">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19</w:t>
            </w:r>
          </w:p>
        </w:tc>
        <w:tc>
          <w:tcPr>
            <w:tcW w:w="2085" w:type="dxa"/>
            <w:noWrap w:val="0"/>
            <w:vAlign w:val="center"/>
          </w:tcPr>
          <w:p w14:paraId="130364C5">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1100</w:t>
            </w:r>
          </w:p>
        </w:tc>
        <w:tc>
          <w:tcPr>
            <w:tcW w:w="2730" w:type="dxa"/>
            <w:noWrap w:val="0"/>
            <w:vAlign w:val="center"/>
          </w:tcPr>
          <w:p w14:paraId="7F1E5BE4">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0.0038</w:t>
            </w:r>
          </w:p>
        </w:tc>
        <w:tc>
          <w:tcPr>
            <w:tcW w:w="2334" w:type="dxa"/>
            <w:noWrap w:val="0"/>
            <w:vAlign w:val="center"/>
          </w:tcPr>
          <w:p w14:paraId="69ACFBF1">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0.42</w:t>
            </w:r>
          </w:p>
        </w:tc>
      </w:tr>
      <w:tr w14:paraId="49C86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25E2D976">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20</w:t>
            </w:r>
          </w:p>
        </w:tc>
        <w:tc>
          <w:tcPr>
            <w:tcW w:w="2085" w:type="dxa"/>
            <w:noWrap w:val="0"/>
            <w:vAlign w:val="center"/>
          </w:tcPr>
          <w:p w14:paraId="4297B5C4">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1200</w:t>
            </w:r>
          </w:p>
        </w:tc>
        <w:tc>
          <w:tcPr>
            <w:tcW w:w="2730" w:type="dxa"/>
            <w:noWrap w:val="0"/>
            <w:vAlign w:val="center"/>
          </w:tcPr>
          <w:p w14:paraId="07B21AA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0.0036</w:t>
            </w:r>
          </w:p>
        </w:tc>
        <w:tc>
          <w:tcPr>
            <w:tcW w:w="2334" w:type="dxa"/>
            <w:noWrap w:val="0"/>
            <w:vAlign w:val="center"/>
          </w:tcPr>
          <w:p w14:paraId="5621990E">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0.4</w:t>
            </w:r>
          </w:p>
        </w:tc>
      </w:tr>
      <w:tr w14:paraId="40DC0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31586D4B">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21</w:t>
            </w:r>
          </w:p>
        </w:tc>
        <w:tc>
          <w:tcPr>
            <w:tcW w:w="2085" w:type="dxa"/>
            <w:noWrap w:val="0"/>
            <w:vAlign w:val="center"/>
          </w:tcPr>
          <w:p w14:paraId="2B731EEA">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1300</w:t>
            </w:r>
          </w:p>
        </w:tc>
        <w:tc>
          <w:tcPr>
            <w:tcW w:w="2730" w:type="dxa"/>
            <w:noWrap w:val="0"/>
            <w:vAlign w:val="center"/>
          </w:tcPr>
          <w:p w14:paraId="0122DC5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0.0035</w:t>
            </w:r>
          </w:p>
        </w:tc>
        <w:tc>
          <w:tcPr>
            <w:tcW w:w="2334" w:type="dxa"/>
            <w:noWrap w:val="0"/>
            <w:vAlign w:val="center"/>
          </w:tcPr>
          <w:p w14:paraId="5E6207C6">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0.39</w:t>
            </w:r>
          </w:p>
        </w:tc>
      </w:tr>
      <w:tr w14:paraId="48228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2A0A7BB4">
            <w:pPr>
              <w:keepNext w:val="0"/>
              <w:keepLines w:val="0"/>
              <w:suppressLineNumbers w:val="0"/>
              <w:spacing w:before="0" w:beforeAutospacing="0" w:after="0" w:afterAutospacing="0" w:line="360" w:lineRule="exact"/>
              <w:ind w:left="0" w:right="0"/>
              <w:jc w:val="center"/>
              <w:rPr>
                <w:rFonts w:hint="default"/>
                <w:bCs/>
                <w:color w:val="000000" w:themeColor="text1"/>
                <w14:textFill>
                  <w14:solidFill>
                    <w14:schemeClr w14:val="tx1"/>
                  </w14:solidFill>
                </w14:textFill>
              </w:rPr>
            </w:pPr>
            <w:r>
              <w:rPr>
                <w:rFonts w:hint="eastAsia"/>
                <w:bCs/>
                <w:color w:val="000000" w:themeColor="text1"/>
                <w14:textFill>
                  <w14:solidFill>
                    <w14:schemeClr w14:val="tx1"/>
                  </w14:solidFill>
                </w14:textFill>
              </w:rPr>
              <w:t>22</w:t>
            </w:r>
          </w:p>
        </w:tc>
        <w:tc>
          <w:tcPr>
            <w:tcW w:w="2085" w:type="dxa"/>
            <w:noWrap w:val="0"/>
            <w:vAlign w:val="center"/>
          </w:tcPr>
          <w:p w14:paraId="45759CD0">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1400</w:t>
            </w:r>
          </w:p>
        </w:tc>
        <w:tc>
          <w:tcPr>
            <w:tcW w:w="2730" w:type="dxa"/>
            <w:noWrap w:val="0"/>
            <w:vAlign w:val="center"/>
          </w:tcPr>
          <w:p w14:paraId="5D54236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0.0034</w:t>
            </w:r>
          </w:p>
        </w:tc>
        <w:tc>
          <w:tcPr>
            <w:tcW w:w="2334" w:type="dxa"/>
            <w:noWrap w:val="0"/>
            <w:vAlign w:val="center"/>
          </w:tcPr>
          <w:p w14:paraId="3290BEB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0.38</w:t>
            </w:r>
          </w:p>
        </w:tc>
      </w:tr>
      <w:tr w14:paraId="5FBD3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87" w:type="dxa"/>
            <w:noWrap w:val="0"/>
            <w:vAlign w:val="center"/>
          </w:tcPr>
          <w:p w14:paraId="46F3398D">
            <w:pPr>
              <w:keepNext w:val="0"/>
              <w:keepLines w:val="0"/>
              <w:suppressLineNumbers w:val="0"/>
              <w:spacing w:before="0" w:beforeAutospacing="0" w:after="0" w:afterAutospacing="0" w:line="360" w:lineRule="exact"/>
              <w:ind w:left="0" w:right="0"/>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23</w:t>
            </w:r>
          </w:p>
        </w:tc>
        <w:tc>
          <w:tcPr>
            <w:tcW w:w="2085" w:type="dxa"/>
            <w:noWrap w:val="0"/>
            <w:vAlign w:val="center"/>
          </w:tcPr>
          <w:p w14:paraId="56077A8D">
            <w:pPr>
              <w:keepNext w:val="0"/>
              <w:keepLines w:val="0"/>
              <w:suppressLineNumbers w:val="0"/>
              <w:spacing w:before="0" w:beforeAutospacing="0" w:after="0" w:afterAutospacing="0" w:line="360" w:lineRule="exact"/>
              <w:ind w:left="0" w:right="0"/>
              <w:jc w:val="center"/>
              <w:rPr>
                <w:rFonts w:hint="eastAsia"/>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1500</w:t>
            </w:r>
          </w:p>
        </w:tc>
        <w:tc>
          <w:tcPr>
            <w:tcW w:w="2730" w:type="dxa"/>
            <w:noWrap w:val="0"/>
            <w:vAlign w:val="center"/>
          </w:tcPr>
          <w:p w14:paraId="5753DFFF">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0.0033</w:t>
            </w:r>
          </w:p>
        </w:tc>
        <w:tc>
          <w:tcPr>
            <w:tcW w:w="2334" w:type="dxa"/>
            <w:noWrap w:val="0"/>
            <w:vAlign w:val="center"/>
          </w:tcPr>
          <w:p w14:paraId="1A77CA67">
            <w:pPr>
              <w:keepNext w:val="0"/>
              <w:keepLines w:val="0"/>
              <w:suppressLineNumbers w:val="0"/>
              <w:spacing w:before="0" w:beforeAutospacing="0" w:after="0" w:afterAutospacing="0" w:line="360" w:lineRule="exact"/>
              <w:ind w:left="0" w:right="0"/>
              <w:jc w:val="center"/>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0.36</w:t>
            </w:r>
          </w:p>
        </w:tc>
      </w:tr>
    </w:tbl>
    <w:p w14:paraId="686AAC61">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通过预测可知，</w:t>
      </w:r>
      <w:r>
        <w:rPr>
          <w:rFonts w:hint="eastAsia"/>
          <w:color w:val="000000" w:themeColor="text1"/>
          <w:sz w:val="24"/>
          <w:lang w:val="en-US" w:eastAsia="zh-CN"/>
          <w14:textFill>
            <w14:solidFill>
              <w14:schemeClr w14:val="tx1"/>
            </w14:solidFill>
          </w14:textFill>
        </w:rPr>
        <w:t>1号</w:t>
      </w:r>
      <w:r>
        <w:rPr>
          <w:rFonts w:hint="eastAsia"/>
          <w:color w:val="000000" w:themeColor="text1"/>
          <w:sz w:val="24"/>
          <w14:textFill>
            <w14:solidFill>
              <w14:schemeClr w14:val="tx1"/>
            </w14:solidFill>
          </w14:textFill>
        </w:rPr>
        <w:t>废石堆场</w:t>
      </w:r>
      <w:r>
        <w:rPr>
          <w:color w:val="000000" w:themeColor="text1"/>
          <w:sz w:val="24"/>
          <w14:textFill>
            <w14:solidFill>
              <w14:schemeClr w14:val="tx1"/>
            </w14:solidFill>
          </w14:textFill>
        </w:rPr>
        <w:t>粉尘无组织排放下风向最大落地浓度出现在下风向</w:t>
      </w:r>
      <w:r>
        <w:rPr>
          <w:rFonts w:hint="eastAsia"/>
          <w:color w:val="000000" w:themeColor="text1"/>
          <w:sz w:val="24"/>
          <w:lang w:val="en-US" w:eastAsia="zh-CN"/>
          <w14:textFill>
            <w14:solidFill>
              <w14:schemeClr w14:val="tx1"/>
            </w14:solidFill>
          </w14:textFill>
        </w:rPr>
        <w:t>131</w:t>
      </w:r>
      <w:r>
        <w:rPr>
          <w:color w:val="000000" w:themeColor="text1"/>
          <w:sz w:val="24"/>
          <w14:textFill>
            <w14:solidFill>
              <w14:schemeClr w14:val="tx1"/>
            </w14:solidFill>
          </w14:textFill>
        </w:rPr>
        <w:t>m处，其浓度值为</w:t>
      </w:r>
      <w:r>
        <w:rPr>
          <w:rFonts w:hint="eastAsia"/>
          <w:color w:val="000000" w:themeColor="text1"/>
          <w:sz w:val="24"/>
          <w14:textFill>
            <w14:solidFill>
              <w14:schemeClr w14:val="tx1"/>
            </w14:solidFill>
          </w14:textFill>
        </w:rPr>
        <w:t>0.0</w:t>
      </w:r>
      <w:r>
        <w:rPr>
          <w:rFonts w:hint="eastAsia"/>
          <w:color w:val="000000" w:themeColor="text1"/>
          <w:sz w:val="24"/>
          <w:lang w:val="en-US" w:eastAsia="zh-CN"/>
          <w14:textFill>
            <w14:solidFill>
              <w14:schemeClr w14:val="tx1"/>
            </w14:solidFill>
          </w14:textFill>
        </w:rPr>
        <w:t>091</w:t>
      </w:r>
      <w:r>
        <w:rPr>
          <w:rFonts w:hint="eastAsia"/>
          <w:color w:val="000000" w:themeColor="text1"/>
          <w:sz w:val="24"/>
          <w14:textFill>
            <w14:solidFill>
              <w14:schemeClr w14:val="tx1"/>
            </w14:solidFill>
          </w14:textFill>
        </w:rPr>
        <w:t>m</w:t>
      </w:r>
      <w:r>
        <w:rPr>
          <w:color w:val="000000" w:themeColor="text1"/>
          <w:sz w:val="24"/>
          <w14:textFill>
            <w14:solidFill>
              <w14:schemeClr w14:val="tx1"/>
            </w14:solidFill>
          </w14:textFill>
        </w:rPr>
        <w:t>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，占标率为</w:t>
      </w:r>
      <w:r>
        <w:rPr>
          <w:rFonts w:hint="eastAsia"/>
          <w:color w:val="000000" w:themeColor="text1"/>
          <w:sz w:val="24"/>
          <w:lang w:val="en-US" w:eastAsia="zh-CN"/>
          <w14:textFill>
            <w14:solidFill>
              <w14:schemeClr w14:val="tx1"/>
            </w14:solidFill>
          </w14:textFill>
        </w:rPr>
        <w:t>1.01</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2号</w:t>
      </w:r>
      <w:r>
        <w:rPr>
          <w:rFonts w:hint="eastAsia"/>
          <w:color w:val="000000" w:themeColor="text1"/>
          <w:sz w:val="24"/>
          <w14:textFill>
            <w14:solidFill>
              <w14:schemeClr w14:val="tx1"/>
            </w14:solidFill>
          </w14:textFill>
        </w:rPr>
        <w:t>废石堆场</w:t>
      </w:r>
      <w:r>
        <w:rPr>
          <w:color w:val="000000" w:themeColor="text1"/>
          <w:sz w:val="24"/>
          <w14:textFill>
            <w14:solidFill>
              <w14:schemeClr w14:val="tx1"/>
            </w14:solidFill>
          </w14:textFill>
        </w:rPr>
        <w:t>粉尘无组织排放下风向最大落地浓度出现在下风向</w:t>
      </w:r>
      <w:r>
        <w:rPr>
          <w:rFonts w:hint="eastAsia"/>
          <w:color w:val="000000" w:themeColor="text1"/>
          <w:sz w:val="24"/>
          <w:lang w:val="en-US" w:eastAsia="zh-CN"/>
          <w14:textFill>
            <w14:solidFill>
              <w14:schemeClr w14:val="tx1"/>
            </w14:solidFill>
          </w14:textFill>
        </w:rPr>
        <w:t>109</w:t>
      </w:r>
      <w:r>
        <w:rPr>
          <w:color w:val="000000" w:themeColor="text1"/>
          <w:sz w:val="24"/>
          <w14:textFill>
            <w14:solidFill>
              <w14:schemeClr w14:val="tx1"/>
            </w14:solidFill>
          </w14:textFill>
        </w:rPr>
        <w:t>m处，其浓度值为</w:t>
      </w:r>
      <w:r>
        <w:rPr>
          <w:rFonts w:hint="eastAsia"/>
          <w:color w:val="000000" w:themeColor="text1"/>
          <w:sz w:val="24"/>
          <w14:textFill>
            <w14:solidFill>
              <w14:schemeClr w14:val="tx1"/>
            </w14:solidFill>
          </w14:textFill>
        </w:rPr>
        <w:t>0.0</w:t>
      </w:r>
      <w:r>
        <w:rPr>
          <w:rFonts w:hint="eastAsia"/>
          <w:color w:val="000000" w:themeColor="text1"/>
          <w:sz w:val="24"/>
          <w:lang w:val="en-US" w:eastAsia="zh-CN"/>
          <w14:textFill>
            <w14:solidFill>
              <w14:schemeClr w14:val="tx1"/>
            </w14:solidFill>
          </w14:textFill>
        </w:rPr>
        <w:t>106</w:t>
      </w:r>
      <w:r>
        <w:rPr>
          <w:rFonts w:hint="eastAsia"/>
          <w:color w:val="000000" w:themeColor="text1"/>
          <w:sz w:val="24"/>
          <w14:textFill>
            <w14:solidFill>
              <w14:schemeClr w14:val="tx1"/>
            </w14:solidFill>
          </w14:textFill>
        </w:rPr>
        <w:t>m</w:t>
      </w:r>
      <w:r>
        <w:rPr>
          <w:color w:val="000000" w:themeColor="text1"/>
          <w:sz w:val="24"/>
          <w14:textFill>
            <w14:solidFill>
              <w14:schemeClr w14:val="tx1"/>
            </w14:solidFill>
          </w14:textFill>
        </w:rPr>
        <w:t>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，占标率为</w:t>
      </w:r>
      <w:r>
        <w:rPr>
          <w:rFonts w:hint="eastAsia"/>
          <w:color w:val="000000" w:themeColor="text1"/>
          <w:sz w:val="24"/>
          <w:lang w:val="en-US" w:eastAsia="zh-CN"/>
          <w14:textFill>
            <w14:solidFill>
              <w14:schemeClr w14:val="tx1"/>
            </w14:solidFill>
          </w14:textFill>
        </w:rPr>
        <w:t>1.18</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1号</w:t>
      </w:r>
      <w:r>
        <w:rPr>
          <w:rFonts w:hint="eastAsia"/>
          <w:color w:val="000000" w:themeColor="text1"/>
          <w:sz w:val="24"/>
          <w14:textFill>
            <w14:solidFill>
              <w14:schemeClr w14:val="tx1"/>
            </w14:solidFill>
          </w14:textFill>
        </w:rPr>
        <w:t>废石堆场</w:t>
      </w:r>
      <w:r>
        <w:rPr>
          <w:rFonts w:hint="eastAsia"/>
          <w:color w:val="000000" w:themeColor="text1"/>
          <w:sz w:val="24"/>
          <w:lang w:val="en-US" w:eastAsia="zh-CN"/>
          <w14:textFill>
            <w14:solidFill>
              <w14:schemeClr w14:val="tx1"/>
            </w14:solidFill>
          </w14:textFill>
        </w:rPr>
        <w:t>和2号</w:t>
      </w:r>
      <w:r>
        <w:rPr>
          <w:rFonts w:hint="eastAsia"/>
          <w:color w:val="000000" w:themeColor="text1"/>
          <w:sz w:val="24"/>
          <w14:textFill>
            <w14:solidFill>
              <w14:schemeClr w14:val="tx1"/>
            </w14:solidFill>
          </w14:textFill>
        </w:rPr>
        <w:t>废石堆场</w:t>
      </w:r>
      <w:r>
        <w:rPr>
          <w:color w:val="000000" w:themeColor="text1"/>
          <w:sz w:val="24"/>
          <w14:textFill>
            <w14:solidFill>
              <w14:schemeClr w14:val="tx1"/>
            </w14:solidFill>
          </w14:textFill>
        </w:rPr>
        <w:t>粉尘无组织排放</w:t>
      </w:r>
      <w:r>
        <w:rPr>
          <w:rFonts w:hint="eastAsia"/>
          <w:color w:val="000000" w:themeColor="text1"/>
          <w:sz w:val="24"/>
          <w:lang w:val="en-US" w:eastAsia="zh-CN"/>
          <w14:textFill>
            <w14:solidFill>
              <w14:schemeClr w14:val="tx1"/>
            </w14:solidFill>
          </w14:textFill>
        </w:rPr>
        <w:t>浓度均满足</w:t>
      </w:r>
      <w:r>
        <w:rPr>
          <w:rFonts w:hint="default" w:ascii="Times New Roman" w:hAnsi="Times New Roman" w:eastAsia="宋体" w:cs="Times New Roman"/>
          <w:color w:val="000000" w:themeColor="text1"/>
          <w:sz w:val="24"/>
          <w:highlight w:val="none"/>
          <w14:textFill>
            <w14:solidFill>
              <w14:schemeClr w14:val="tx1"/>
            </w14:solidFill>
          </w14:textFill>
        </w:rPr>
        <w:t>《铁矿采选工业污染物排放标准》（GB28661-2012）表7现有和新建企业大气污染物无组织排放浓度限值。</w:t>
      </w:r>
    </w:p>
    <w:p w14:paraId="344CF6A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color w:val="000000" w:themeColor="text1"/>
          <w:sz w:val="24"/>
          <w14:textFill>
            <w14:solidFill>
              <w14:schemeClr w14:val="tx1"/>
            </w14:solidFill>
          </w14:textFill>
        </w:rPr>
        <w:t>矿区必须根据开采情况实施具体的降尘方案，定期对废石堆场进行洒水抑尘，废石堆场采取废石压实、大粒径废石覆压等措施，项目产生的扬尘将会得到有效抑制，排放量将降低80%以上，</w:t>
      </w:r>
      <w:r>
        <w:rPr>
          <w:rFonts w:hint="eastAsia"/>
          <w:color w:val="000000" w:themeColor="text1"/>
          <w:sz w:val="24"/>
          <w:lang w:eastAsia="zh-CN"/>
          <w14:textFill>
            <w14:solidFill>
              <w14:schemeClr w14:val="tx1"/>
            </w14:solidFill>
          </w14:textFill>
        </w:rPr>
        <w:t>扬尘</w:t>
      </w:r>
      <w:r>
        <w:rPr>
          <w:color w:val="000000" w:themeColor="text1"/>
          <w:sz w:val="24"/>
          <w14:textFill>
            <w14:solidFill>
              <w14:schemeClr w14:val="tx1"/>
            </w14:solidFill>
          </w14:textFill>
        </w:rPr>
        <w:t>的排放对区域环境空气质量不会造成明显的影响</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648EBB55">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）柴油燃烧废气</w:t>
      </w:r>
    </w:p>
    <w:p w14:paraId="34420F94">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运营中柴油机燃烧废气中</w:t>
      </w:r>
      <w:r>
        <w:rPr>
          <w:rFonts w:hint="default" w:ascii="Times New Roman" w:hAnsi="Times New Roman" w:cs="Times New Roman"/>
          <w:color w:val="000000" w:themeColor="text1"/>
          <w:sz w:val="24"/>
          <w:szCs w:val="24"/>
          <w:highlight w:val="none"/>
          <w14:textFill>
            <w14:solidFill>
              <w14:schemeClr w14:val="tx1"/>
            </w14:solidFill>
          </w14:textFill>
        </w:rPr>
        <w:t>主要含CO、NOx、THC、SO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等</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为无组织排放</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根据核算，</w:t>
      </w:r>
      <w:r>
        <w:rPr>
          <w:rFonts w:hint="eastAsia"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柴油燃烧废气中</w:t>
      </w:r>
      <w:r>
        <w:rPr>
          <w:rFonts w:hint="default" w:ascii="Times New Roman" w:hAnsi="Times New Roman" w:cs="Times New Roman"/>
          <w:color w:val="000000" w:themeColor="text1"/>
          <w:sz w:val="24"/>
          <w:szCs w:val="24"/>
          <w:highlight w:val="none"/>
          <w14:textFill>
            <w14:solidFill>
              <w14:schemeClr w14:val="tx1"/>
            </w14:solidFill>
          </w14:textFill>
        </w:rPr>
        <w:t>CO、NOx、THC、SO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污染物产生量分别为CO：</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5.60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t/a、NOx：</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25.62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t/a、THC：</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9.51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t/a、SO</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1.63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t/a。柴油机采用增压中冷技术、燃油电喷技术等可提高柴油机功率、降低油耗，可减少</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柴油燃烧废气排放量。</w:t>
      </w: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柴油燃烧废气排放量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较少，且</w:t>
      </w:r>
      <w:r>
        <w:rPr>
          <w:rFonts w:hint="default" w:ascii="Times New Roman" w:hAnsi="Times New Roman" w:eastAsia="宋体" w:cs="Times New Roman"/>
          <w:color w:val="000000" w:themeColor="text1"/>
          <w:sz w:val="24"/>
          <w:highlight w:val="none"/>
          <w14:textFill>
            <w14:solidFill>
              <w14:schemeClr w14:val="tx1"/>
            </w14:solidFill>
          </w14:textFill>
        </w:rPr>
        <w:t>项目区地表外环境相对较开阔，有利于废气扩散，经空气稀释净化后对周围大气环境影响不大</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2EBC63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（5）大气环境防护距离</w:t>
      </w:r>
    </w:p>
    <w:p w14:paraId="6A59D7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根据《环境影响评价技术导则 大气环境》（HJ2.2-2018）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26CAE05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本项目经估算各污染物没有超出环境质量标准浓度限值，因此本次环评不设置大气防护距离。</w:t>
      </w:r>
    </w:p>
    <w:p w14:paraId="7145FE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（6）非正常工况大气环境影响分析</w:t>
      </w:r>
    </w:p>
    <w:p w14:paraId="7AA3467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kern w:val="2"/>
          <w:szCs w:val="22"/>
          <w:highlight w:val="none"/>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主要大气污染物为各类无组织排放的粉尘，如未采取有效的抑尘措施会造成粉尘超标排放，导致周边大气环境受到污染。为此建设单位应当加强管理，确保扬尘治理措施正常实施，使无组织排放的粉尘能维持在较低水平排放，并且露天开采遇大风等特殊天气停止生产作业。</w:t>
      </w:r>
    </w:p>
    <w:p w14:paraId="6A035340">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5.2.1.3大气环境影响评价结论</w:t>
      </w:r>
    </w:p>
    <w:p w14:paraId="63AC92C3">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根据AERSCREEN模式估算，项目TSP最大1h地面空气质量浓度为0.</w:t>
      </w:r>
      <w:r>
        <w:rPr>
          <w:rFonts w:hint="eastAsia" w:cs="Times New Roman"/>
          <w:color w:val="000000" w:themeColor="text1"/>
          <w:sz w:val="24"/>
          <w:highlight w:val="none"/>
          <w:lang w:val="en-US" w:eastAsia="zh-CN"/>
          <w14:textFill>
            <w14:solidFill>
              <w14:schemeClr w14:val="tx1"/>
            </w14:solidFill>
          </w14:textFill>
        </w:rPr>
        <w:t>0106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，占标率</w:t>
      </w:r>
      <w:r>
        <w:rPr>
          <w:rFonts w:hint="eastAsia" w:cs="Times New Roman"/>
          <w:color w:val="000000" w:themeColor="text1"/>
          <w:sz w:val="24"/>
          <w:highlight w:val="none"/>
          <w:lang w:val="en-US" w:eastAsia="zh-CN"/>
          <w14:textFill>
            <w14:solidFill>
              <w14:schemeClr w14:val="tx1"/>
            </w14:solidFill>
          </w14:textFill>
        </w:rPr>
        <w:t>1.18</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大气污染物厂界贡献浓度无超标点，因此不设置大气环境防护距离。本项目在采取本次评价提出的降尘措施后，可减轻对周边大气环境的影响。</w:t>
      </w:r>
    </w:p>
    <w:p w14:paraId="5C516573">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5.2.1.4大气环境影响评价自查表</w:t>
      </w:r>
    </w:p>
    <w:p w14:paraId="5F300172">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大气环境影响评价自查表见表5.2-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0CC1F640">
      <w:pPr>
        <w:pStyle w:val="334"/>
        <w:spacing w:line="480" w:lineRule="exact"/>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表5.2-</w:t>
      </w:r>
      <w:r>
        <w:rPr>
          <w:rFonts w:hint="eastAsia" w:asci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建设项目大气环境影响评价自查表</w:t>
      </w:r>
    </w:p>
    <w:tbl>
      <w:tblPr>
        <w:tblStyle w:val="79"/>
        <w:tblW w:w="521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95"/>
        <w:gridCol w:w="1521"/>
        <w:gridCol w:w="951"/>
        <w:gridCol w:w="372"/>
        <w:gridCol w:w="269"/>
        <w:gridCol w:w="462"/>
        <w:gridCol w:w="303"/>
        <w:gridCol w:w="551"/>
        <w:gridCol w:w="527"/>
        <w:gridCol w:w="388"/>
        <w:gridCol w:w="129"/>
        <w:gridCol w:w="223"/>
        <w:gridCol w:w="579"/>
        <w:gridCol w:w="56"/>
        <w:gridCol w:w="94"/>
        <w:gridCol w:w="316"/>
        <w:gridCol w:w="153"/>
        <w:gridCol w:w="416"/>
        <w:gridCol w:w="588"/>
      </w:tblGrid>
      <w:tr w14:paraId="1E77C8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333" w:type="pct"/>
            <w:gridSpan w:val="2"/>
            <w:tcBorders>
              <w:tl2br w:val="nil"/>
              <w:tr2bl w:val="nil"/>
            </w:tcBorders>
            <w:noWrap w:val="0"/>
            <w:vAlign w:val="center"/>
          </w:tcPr>
          <w:p w14:paraId="1D9E7D97">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工作内容</w:t>
            </w:r>
          </w:p>
        </w:tc>
        <w:tc>
          <w:tcPr>
            <w:tcW w:w="3666" w:type="pct"/>
            <w:gridSpan w:val="17"/>
            <w:tcBorders>
              <w:tl2br w:val="nil"/>
              <w:tr2bl w:val="nil"/>
            </w:tcBorders>
            <w:noWrap w:val="0"/>
            <w:vAlign w:val="center"/>
          </w:tcPr>
          <w:p w14:paraId="66C81E95">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自查项目</w:t>
            </w:r>
          </w:p>
        </w:tc>
      </w:tr>
      <w:tr w14:paraId="52A43D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restart"/>
            <w:tcBorders>
              <w:tl2br w:val="nil"/>
              <w:tr2bl w:val="nil"/>
            </w:tcBorders>
            <w:noWrap w:val="0"/>
            <w:vAlign w:val="center"/>
          </w:tcPr>
          <w:p w14:paraId="016ACEA5">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评价等级与范围</w:t>
            </w:r>
          </w:p>
        </w:tc>
        <w:tc>
          <w:tcPr>
            <w:tcW w:w="874" w:type="pct"/>
            <w:tcBorders>
              <w:tl2br w:val="nil"/>
              <w:tr2bl w:val="nil"/>
            </w:tcBorders>
            <w:noWrap w:val="0"/>
            <w:vAlign w:val="center"/>
          </w:tcPr>
          <w:p w14:paraId="76DBC4EB">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评价等级</w:t>
            </w:r>
          </w:p>
        </w:tc>
        <w:tc>
          <w:tcPr>
            <w:tcW w:w="1182" w:type="pct"/>
            <w:gridSpan w:val="4"/>
            <w:tcBorders>
              <w:tl2br w:val="nil"/>
              <w:tr2bl w:val="nil"/>
            </w:tcBorders>
            <w:noWrap w:val="0"/>
            <w:vAlign w:val="center"/>
          </w:tcPr>
          <w:p w14:paraId="67D2B634">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218" w:type="pct"/>
            <w:gridSpan w:val="6"/>
            <w:tcBorders>
              <w:tl2br w:val="nil"/>
              <w:tr2bl w:val="nil"/>
            </w:tcBorders>
            <w:noWrap w:val="0"/>
            <w:vAlign w:val="center"/>
          </w:tcPr>
          <w:p w14:paraId="7CEFEE77">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c>
          <w:tcPr>
            <w:tcW w:w="1265" w:type="pct"/>
            <w:gridSpan w:val="7"/>
            <w:tcBorders>
              <w:tl2br w:val="nil"/>
              <w:tr2bl w:val="nil"/>
            </w:tcBorders>
            <w:noWrap w:val="0"/>
            <w:vAlign w:val="center"/>
          </w:tcPr>
          <w:p w14:paraId="6ED02A44">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682028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6ADD05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605F5A1E">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评价范围</w:t>
            </w:r>
          </w:p>
        </w:tc>
        <w:tc>
          <w:tcPr>
            <w:tcW w:w="1182" w:type="pct"/>
            <w:gridSpan w:val="4"/>
            <w:tcBorders>
              <w:tl2br w:val="nil"/>
              <w:tr2bl w:val="nil"/>
            </w:tcBorders>
            <w:noWrap w:val="0"/>
            <w:vAlign w:val="center"/>
          </w:tcPr>
          <w:p w14:paraId="0356B772">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边长=50km</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218" w:type="pct"/>
            <w:gridSpan w:val="6"/>
            <w:tcBorders>
              <w:tl2br w:val="nil"/>
              <w:tr2bl w:val="nil"/>
            </w:tcBorders>
            <w:noWrap w:val="0"/>
            <w:vAlign w:val="center"/>
          </w:tcPr>
          <w:p w14:paraId="71A5079E">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边长5～50km</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265" w:type="pct"/>
            <w:gridSpan w:val="7"/>
            <w:tcBorders>
              <w:tl2br w:val="nil"/>
              <w:tr2bl w:val="nil"/>
            </w:tcBorders>
            <w:noWrap w:val="0"/>
            <w:vAlign w:val="center"/>
          </w:tcPr>
          <w:p w14:paraId="08D2528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边长=5km</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655E3B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restart"/>
            <w:tcBorders>
              <w:tl2br w:val="nil"/>
              <w:tr2bl w:val="nil"/>
            </w:tcBorders>
            <w:noWrap w:val="0"/>
            <w:vAlign w:val="center"/>
          </w:tcPr>
          <w:p w14:paraId="558E55B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874" w:type="pct"/>
            <w:tcBorders>
              <w:tl2br w:val="nil"/>
              <w:tr2bl w:val="nil"/>
            </w:tcBorders>
            <w:noWrap w:val="0"/>
            <w:vAlign w:val="center"/>
          </w:tcPr>
          <w:p w14:paraId="4745B4FC">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+NO</w:t>
            </w:r>
            <w:r>
              <w:rPr>
                <w:rFonts w:hint="eastAsia" w:ascii="Times New Roman" w:hAnsi="Times New Roman" w:eastAsia="宋体" w:cs="Times New Roman"/>
                <w:color w:val="000000" w:themeColor="text1"/>
                <w:position w:val="1"/>
                <w:sz w:val="21"/>
                <w:szCs w:val="21"/>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排放量</w:t>
            </w:r>
          </w:p>
        </w:tc>
        <w:tc>
          <w:tcPr>
            <w:tcW w:w="1182" w:type="pct"/>
            <w:gridSpan w:val="4"/>
            <w:tcBorders>
              <w:tl2br w:val="nil"/>
              <w:tr2bl w:val="nil"/>
            </w:tcBorders>
            <w:noWrap w:val="0"/>
            <w:vAlign w:val="center"/>
          </w:tcPr>
          <w:p w14:paraId="7038556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2000t/a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sym w:font="Wingdings 2" w:char="00A3"/>
            </w:r>
          </w:p>
        </w:tc>
        <w:tc>
          <w:tcPr>
            <w:tcW w:w="1218" w:type="pct"/>
            <w:gridSpan w:val="6"/>
            <w:tcBorders>
              <w:tl2br w:val="nil"/>
              <w:tr2bl w:val="nil"/>
            </w:tcBorders>
            <w:noWrap w:val="0"/>
            <w:vAlign w:val="center"/>
          </w:tcPr>
          <w:p w14:paraId="69885ADD">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500~2000t/a</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265" w:type="pct"/>
            <w:gridSpan w:val="7"/>
            <w:tcBorders>
              <w:tl2br w:val="nil"/>
              <w:tr2bl w:val="nil"/>
            </w:tcBorders>
            <w:noWrap w:val="0"/>
            <w:vAlign w:val="center"/>
          </w:tcPr>
          <w:p w14:paraId="0EB2B89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＜500t/a</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3DA276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44EE21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59D9229B">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2401" w:type="pct"/>
            <w:gridSpan w:val="10"/>
            <w:tcBorders>
              <w:tl2br w:val="nil"/>
              <w:tr2bl w:val="nil"/>
            </w:tcBorders>
            <w:noWrap w:val="0"/>
            <w:vAlign w:val="center"/>
          </w:tcPr>
          <w:p w14:paraId="234D4507">
            <w:pPr>
              <w:pStyle w:val="679"/>
              <w:keepNext w:val="0"/>
              <w:keepLines w:val="0"/>
              <w:pageBreakBefore w:val="0"/>
              <w:widowControl w:val="0"/>
              <w:suppressLineNumbers w:val="0"/>
              <w:tabs>
                <w:tab w:val="left" w:pos="307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基本污染物</w:t>
            </w:r>
          </w:p>
          <w:p w14:paraId="1D3BE089">
            <w:pPr>
              <w:pStyle w:val="679"/>
              <w:keepNext w:val="0"/>
              <w:keepLines w:val="0"/>
              <w:pageBreakBefore w:val="0"/>
              <w:widowControl w:val="0"/>
              <w:suppressLineNumbers w:val="0"/>
              <w:tabs>
                <w:tab w:val="left" w:pos="307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、CO、O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472DF12">
            <w:pPr>
              <w:pStyle w:val="679"/>
              <w:keepNext w:val="0"/>
              <w:keepLines w:val="0"/>
              <w:pageBreakBefore w:val="0"/>
              <w:widowControl w:val="0"/>
              <w:suppressLineNumbers w:val="0"/>
              <w:tabs>
                <w:tab w:val="left" w:pos="307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其他污染物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65" w:type="pct"/>
            <w:gridSpan w:val="7"/>
            <w:tcBorders>
              <w:tl2br w:val="nil"/>
              <w:tr2bl w:val="nil"/>
            </w:tcBorders>
            <w:noWrap w:val="0"/>
            <w:vAlign w:val="center"/>
          </w:tcPr>
          <w:p w14:paraId="263402B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包括二次PM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sym w:font="Wingdings 2" w:char="00A3"/>
            </w:r>
          </w:p>
          <w:p w14:paraId="7568830F">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不包括二次PM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59C74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tcBorders>
              <w:tl2br w:val="nil"/>
              <w:tr2bl w:val="nil"/>
            </w:tcBorders>
            <w:noWrap w:val="0"/>
            <w:vAlign w:val="center"/>
          </w:tcPr>
          <w:p w14:paraId="1E8D888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w:t>
            </w:r>
          </w:p>
        </w:tc>
        <w:tc>
          <w:tcPr>
            <w:tcW w:w="874" w:type="pct"/>
            <w:tcBorders>
              <w:tl2br w:val="nil"/>
              <w:tr2bl w:val="nil"/>
            </w:tcBorders>
            <w:noWrap w:val="0"/>
            <w:vAlign w:val="center"/>
          </w:tcPr>
          <w:p w14:paraId="148B4DCD">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w:t>
            </w:r>
          </w:p>
        </w:tc>
        <w:tc>
          <w:tcPr>
            <w:tcW w:w="1356" w:type="pct"/>
            <w:gridSpan w:val="5"/>
            <w:tcBorders>
              <w:tl2br w:val="nil"/>
              <w:tr2bl w:val="nil"/>
            </w:tcBorders>
            <w:noWrap w:val="0"/>
            <w:vAlign w:val="center"/>
          </w:tcPr>
          <w:p w14:paraId="2473D2E3">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国家标准</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c>
          <w:tcPr>
            <w:tcW w:w="1045" w:type="pct"/>
            <w:gridSpan w:val="5"/>
            <w:tcBorders>
              <w:tl2br w:val="nil"/>
              <w:tr2bl w:val="nil"/>
            </w:tcBorders>
            <w:noWrap w:val="0"/>
            <w:vAlign w:val="center"/>
          </w:tcPr>
          <w:p w14:paraId="6577D704">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地方标准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sym w:font="Wingdings 2" w:char="00A3"/>
            </w:r>
          </w:p>
        </w:tc>
        <w:tc>
          <w:tcPr>
            <w:tcW w:w="601" w:type="pct"/>
            <w:gridSpan w:val="4"/>
            <w:tcBorders>
              <w:tl2br w:val="nil"/>
              <w:tr2bl w:val="nil"/>
            </w:tcBorders>
            <w:noWrap w:val="0"/>
            <w:vAlign w:val="center"/>
          </w:tcPr>
          <w:p w14:paraId="4E9095AF">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附录D</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63" w:type="pct"/>
            <w:gridSpan w:val="3"/>
            <w:tcBorders>
              <w:tl2br w:val="nil"/>
              <w:tr2bl w:val="nil"/>
            </w:tcBorders>
            <w:noWrap w:val="0"/>
            <w:vAlign w:val="center"/>
          </w:tcPr>
          <w:p w14:paraId="206FF81F">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sym w:font="Wingdings 2" w:char="00A3"/>
            </w:r>
          </w:p>
        </w:tc>
      </w:tr>
      <w:tr w14:paraId="2FEC5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restart"/>
            <w:tcBorders>
              <w:tl2br w:val="nil"/>
              <w:tr2bl w:val="nil"/>
            </w:tcBorders>
            <w:noWrap w:val="0"/>
            <w:vAlign w:val="center"/>
          </w:tcPr>
          <w:p w14:paraId="6202DB28">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现状评价</w:t>
            </w:r>
          </w:p>
        </w:tc>
        <w:tc>
          <w:tcPr>
            <w:tcW w:w="874" w:type="pct"/>
            <w:tcBorders>
              <w:tl2br w:val="nil"/>
              <w:tr2bl w:val="nil"/>
            </w:tcBorders>
            <w:noWrap w:val="0"/>
            <w:vAlign w:val="center"/>
          </w:tcPr>
          <w:p w14:paraId="6EA517C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环境功能区</w:t>
            </w:r>
          </w:p>
        </w:tc>
        <w:tc>
          <w:tcPr>
            <w:tcW w:w="1356" w:type="pct"/>
            <w:gridSpan w:val="5"/>
            <w:tcBorders>
              <w:tl2br w:val="nil"/>
              <w:tr2bl w:val="nil"/>
            </w:tcBorders>
            <w:noWrap w:val="0"/>
            <w:vAlign w:val="center"/>
          </w:tcPr>
          <w:p w14:paraId="44EE1DD7">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045" w:type="pct"/>
            <w:gridSpan w:val="5"/>
            <w:tcBorders>
              <w:tl2br w:val="nil"/>
              <w:tr2bl w:val="nil"/>
            </w:tcBorders>
            <w:noWrap w:val="0"/>
            <w:vAlign w:val="center"/>
          </w:tcPr>
          <w:p w14:paraId="2F2AE259">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二类区</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c>
          <w:tcPr>
            <w:tcW w:w="1265" w:type="pct"/>
            <w:gridSpan w:val="7"/>
            <w:tcBorders>
              <w:tl2br w:val="nil"/>
              <w:tr2bl w:val="nil"/>
            </w:tcBorders>
            <w:noWrap w:val="0"/>
            <w:vAlign w:val="center"/>
          </w:tcPr>
          <w:p w14:paraId="7172F0D0">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一类区和二类区</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3FD28F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251BEED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0C4F3637">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评价基准年</w:t>
            </w:r>
          </w:p>
        </w:tc>
        <w:tc>
          <w:tcPr>
            <w:tcW w:w="3666" w:type="pct"/>
            <w:gridSpan w:val="17"/>
            <w:tcBorders>
              <w:tl2br w:val="nil"/>
              <w:tr2bl w:val="nil"/>
            </w:tcBorders>
            <w:noWrap w:val="0"/>
            <w:vAlign w:val="center"/>
          </w:tcPr>
          <w:p w14:paraId="3C262F58">
            <w:pPr>
              <w:pStyle w:val="679"/>
              <w:keepNext w:val="0"/>
              <w:keepLines w:val="0"/>
              <w:pageBreakBefore w:val="0"/>
              <w:widowControl w:val="0"/>
              <w:suppressLineNumbers w:val="0"/>
              <w:tabs>
                <w:tab w:val="left" w:pos="65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p>
        </w:tc>
      </w:tr>
      <w:tr w14:paraId="2A2E4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08ACBE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4D863B1C">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环境空气质量现状调查数据来源</w:t>
            </w:r>
          </w:p>
        </w:tc>
        <w:tc>
          <w:tcPr>
            <w:tcW w:w="1356" w:type="pct"/>
            <w:gridSpan w:val="5"/>
            <w:tcBorders>
              <w:tl2br w:val="nil"/>
              <w:tr2bl w:val="nil"/>
            </w:tcBorders>
            <w:noWrap w:val="0"/>
            <w:vAlign w:val="center"/>
          </w:tcPr>
          <w:p w14:paraId="6DD2CBF3">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长期例行监测数据</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410" w:type="pct"/>
            <w:gridSpan w:val="7"/>
            <w:tcBorders>
              <w:tl2br w:val="nil"/>
              <w:tr2bl w:val="nil"/>
            </w:tcBorders>
            <w:noWrap w:val="0"/>
            <w:vAlign w:val="center"/>
          </w:tcPr>
          <w:p w14:paraId="50AA4B88">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主管部门发布的数据</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c>
          <w:tcPr>
            <w:tcW w:w="900" w:type="pct"/>
            <w:gridSpan w:val="5"/>
            <w:tcBorders>
              <w:tl2br w:val="nil"/>
              <w:tr2bl w:val="nil"/>
            </w:tcBorders>
            <w:noWrap w:val="0"/>
            <w:vAlign w:val="center"/>
          </w:tcPr>
          <w:p w14:paraId="624670B2">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现状补充监测</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79452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08E9F4C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1A502842">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现状评价</w:t>
            </w:r>
          </w:p>
        </w:tc>
        <w:tc>
          <w:tcPr>
            <w:tcW w:w="2401" w:type="pct"/>
            <w:gridSpan w:val="10"/>
            <w:tcBorders>
              <w:tl2br w:val="nil"/>
              <w:tr2bl w:val="nil"/>
            </w:tcBorders>
            <w:noWrap w:val="0"/>
            <w:vAlign w:val="center"/>
          </w:tcPr>
          <w:p w14:paraId="399692E0">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达标区</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265" w:type="pct"/>
            <w:gridSpan w:val="7"/>
            <w:tcBorders>
              <w:tl2br w:val="nil"/>
              <w:tr2bl w:val="nil"/>
            </w:tcBorders>
            <w:noWrap w:val="0"/>
            <w:vAlign w:val="center"/>
          </w:tcPr>
          <w:p w14:paraId="5315B772">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不达标区</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11E6BA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tcBorders>
              <w:tl2br w:val="nil"/>
              <w:tr2bl w:val="nil"/>
            </w:tcBorders>
            <w:noWrap w:val="0"/>
            <w:vAlign w:val="center"/>
          </w:tcPr>
          <w:p w14:paraId="3E7D4734">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污染源调查</w:t>
            </w:r>
          </w:p>
        </w:tc>
        <w:tc>
          <w:tcPr>
            <w:tcW w:w="874" w:type="pct"/>
            <w:tcBorders>
              <w:tl2br w:val="nil"/>
              <w:tr2bl w:val="nil"/>
            </w:tcBorders>
            <w:noWrap w:val="0"/>
            <w:vAlign w:val="center"/>
          </w:tcPr>
          <w:p w14:paraId="485C2632">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调查内容</w:t>
            </w:r>
          </w:p>
        </w:tc>
        <w:tc>
          <w:tcPr>
            <w:tcW w:w="1356" w:type="pct"/>
            <w:gridSpan w:val="5"/>
            <w:tcBorders>
              <w:tl2br w:val="nil"/>
              <w:tr2bl w:val="nil"/>
            </w:tcBorders>
            <w:noWrap w:val="0"/>
            <w:vAlign w:val="center"/>
          </w:tcPr>
          <w:p w14:paraId="5DE1E81C">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正常排放源</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p w14:paraId="30996EBD">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非正常排放源</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p w14:paraId="70D1E2E8">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现有污染源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sym w:font="Wingdings 2" w:char="00A3"/>
            </w:r>
          </w:p>
        </w:tc>
        <w:tc>
          <w:tcPr>
            <w:tcW w:w="1045" w:type="pct"/>
            <w:gridSpan w:val="5"/>
            <w:tcBorders>
              <w:tl2br w:val="nil"/>
              <w:tr2bl w:val="nil"/>
            </w:tcBorders>
            <w:noWrap w:val="0"/>
            <w:vAlign w:val="center"/>
          </w:tcPr>
          <w:p w14:paraId="588EBD13">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拟替代的污染源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sym w:font="Wingdings 2" w:char="00A3"/>
            </w:r>
          </w:p>
        </w:tc>
        <w:tc>
          <w:tcPr>
            <w:tcW w:w="689" w:type="pct"/>
            <w:gridSpan w:val="5"/>
            <w:tcBorders>
              <w:tl2br w:val="nil"/>
              <w:tr2bl w:val="nil"/>
            </w:tcBorders>
            <w:noWrap w:val="0"/>
            <w:vAlign w:val="center"/>
          </w:tcPr>
          <w:p w14:paraId="2D8D25B8">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其他在建、拟建项目污染源</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576" w:type="pct"/>
            <w:gridSpan w:val="2"/>
            <w:tcBorders>
              <w:tl2br w:val="nil"/>
              <w:tr2bl w:val="nil"/>
            </w:tcBorders>
            <w:noWrap w:val="0"/>
            <w:vAlign w:val="center"/>
          </w:tcPr>
          <w:p w14:paraId="34555C0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区域污染源</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32C70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restart"/>
            <w:tcBorders>
              <w:tl2br w:val="nil"/>
              <w:tr2bl w:val="nil"/>
            </w:tcBorders>
            <w:noWrap w:val="0"/>
            <w:vAlign w:val="center"/>
          </w:tcPr>
          <w:p w14:paraId="728A52F5">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大气环境影响预测与评价</w:t>
            </w:r>
          </w:p>
        </w:tc>
        <w:tc>
          <w:tcPr>
            <w:tcW w:w="874" w:type="pct"/>
            <w:tcBorders>
              <w:tl2br w:val="nil"/>
              <w:tr2bl w:val="nil"/>
            </w:tcBorders>
            <w:noWrap w:val="0"/>
            <w:vAlign w:val="center"/>
          </w:tcPr>
          <w:p w14:paraId="53AD2692">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预测模型</w:t>
            </w:r>
          </w:p>
        </w:tc>
        <w:tc>
          <w:tcPr>
            <w:tcW w:w="547" w:type="pct"/>
            <w:tcBorders>
              <w:tl2br w:val="nil"/>
              <w:tr2bl w:val="nil"/>
            </w:tcBorders>
            <w:noWrap w:val="0"/>
            <w:vAlign w:val="center"/>
          </w:tcPr>
          <w:p w14:paraId="6C05C599">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AERMOD</w:t>
            </w:r>
          </w:p>
          <w:p w14:paraId="38800C26">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369" w:type="pct"/>
            <w:gridSpan w:val="2"/>
            <w:tcBorders>
              <w:tl2br w:val="nil"/>
              <w:tr2bl w:val="nil"/>
            </w:tcBorders>
            <w:noWrap w:val="0"/>
            <w:vAlign w:val="center"/>
          </w:tcPr>
          <w:p w14:paraId="23A43C9D">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ADMS</w:t>
            </w:r>
          </w:p>
          <w:p w14:paraId="11354506">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756" w:type="pct"/>
            <w:gridSpan w:val="3"/>
            <w:tcBorders>
              <w:tl2br w:val="nil"/>
              <w:tr2bl w:val="nil"/>
            </w:tcBorders>
            <w:noWrap w:val="0"/>
            <w:vAlign w:val="center"/>
          </w:tcPr>
          <w:p w14:paraId="3B3F9846">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AUSTAL2000</w:t>
            </w:r>
          </w:p>
          <w:p w14:paraId="246780E0">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728" w:type="pct"/>
            <w:gridSpan w:val="4"/>
            <w:tcBorders>
              <w:tl2br w:val="nil"/>
              <w:tr2bl w:val="nil"/>
            </w:tcBorders>
            <w:noWrap w:val="0"/>
            <w:vAlign w:val="center"/>
          </w:tcPr>
          <w:p w14:paraId="2F0F8DFF">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EDMS/AEDT</w:t>
            </w:r>
          </w:p>
          <w:p w14:paraId="117EAC6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601" w:type="pct"/>
            <w:gridSpan w:val="4"/>
            <w:tcBorders>
              <w:tl2br w:val="nil"/>
              <w:tr2bl w:val="nil"/>
            </w:tcBorders>
            <w:noWrap w:val="0"/>
            <w:vAlign w:val="center"/>
          </w:tcPr>
          <w:p w14:paraId="5ADFF52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CALPUFF</w:t>
            </w:r>
          </w:p>
          <w:p w14:paraId="497BEEE5">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327" w:type="pct"/>
            <w:gridSpan w:val="2"/>
            <w:tcBorders>
              <w:tl2br w:val="nil"/>
              <w:tr2bl w:val="nil"/>
            </w:tcBorders>
            <w:noWrap w:val="0"/>
            <w:vAlign w:val="center"/>
          </w:tcPr>
          <w:p w14:paraId="27705483">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网格模型</w:t>
            </w:r>
          </w:p>
          <w:p w14:paraId="22FA4435">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335" w:type="pct"/>
            <w:tcBorders>
              <w:tl2br w:val="nil"/>
              <w:tr2bl w:val="nil"/>
            </w:tcBorders>
            <w:noWrap w:val="0"/>
            <w:vAlign w:val="center"/>
          </w:tcPr>
          <w:p w14:paraId="400BEA44">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p>
          <w:p w14:paraId="2B32D126">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3FFB18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6FCFB35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461E87D2">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预测范围</w:t>
            </w:r>
          </w:p>
        </w:tc>
        <w:tc>
          <w:tcPr>
            <w:tcW w:w="916" w:type="pct"/>
            <w:gridSpan w:val="3"/>
            <w:tcBorders>
              <w:tl2br w:val="nil"/>
              <w:tr2bl w:val="nil"/>
            </w:tcBorders>
            <w:noWrap w:val="0"/>
            <w:vAlign w:val="center"/>
          </w:tcPr>
          <w:p w14:paraId="2313960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边长≥50km</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818" w:type="pct"/>
            <w:gridSpan w:val="8"/>
            <w:tcBorders>
              <w:tl2br w:val="nil"/>
              <w:tr2bl w:val="nil"/>
            </w:tcBorders>
            <w:noWrap w:val="0"/>
            <w:vAlign w:val="center"/>
          </w:tcPr>
          <w:p w14:paraId="4AF0A228">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边长5～50km</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932" w:type="pct"/>
            <w:gridSpan w:val="6"/>
            <w:tcBorders>
              <w:tl2br w:val="nil"/>
              <w:tr2bl w:val="nil"/>
            </w:tcBorders>
            <w:noWrap w:val="0"/>
            <w:vAlign w:val="center"/>
          </w:tcPr>
          <w:p w14:paraId="0C09D2B8">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边长=5km</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72AF21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7F791A1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42ECF31F">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p>
        </w:tc>
        <w:tc>
          <w:tcPr>
            <w:tcW w:w="1976" w:type="pct"/>
            <w:gridSpan w:val="7"/>
            <w:tcBorders>
              <w:tl2br w:val="nil"/>
              <w:tr2bl w:val="nil"/>
            </w:tcBorders>
            <w:noWrap w:val="0"/>
            <w:vAlign w:val="center"/>
          </w:tcPr>
          <w:p w14:paraId="6F26DB6B">
            <w:pPr>
              <w:pStyle w:val="679"/>
              <w:keepNext w:val="0"/>
              <w:keepLines w:val="0"/>
              <w:pageBreakBefore w:val="0"/>
              <w:widowControl w:val="0"/>
              <w:suppressLineNumbers w:val="0"/>
              <w:tabs>
                <w:tab w:val="left" w:pos="2989"/>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690" w:type="pct"/>
            <w:gridSpan w:val="10"/>
            <w:tcBorders>
              <w:tl2br w:val="nil"/>
              <w:tr2bl w:val="nil"/>
            </w:tcBorders>
            <w:noWrap w:val="0"/>
            <w:vAlign w:val="center"/>
          </w:tcPr>
          <w:p w14:paraId="5112A156">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包括二次 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sym w:font="Wingdings 2" w:char="00A3"/>
            </w:r>
          </w:p>
          <w:p w14:paraId="5AFD33F7">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不包括二次 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53230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7A5C50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7C522EA5">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正常排放短期浓度贡献值</w:t>
            </w:r>
          </w:p>
        </w:tc>
        <w:tc>
          <w:tcPr>
            <w:tcW w:w="1976" w:type="pct"/>
            <w:gridSpan w:val="7"/>
            <w:tcBorders>
              <w:tl2br w:val="nil"/>
              <w:tr2bl w:val="nil"/>
            </w:tcBorders>
            <w:noWrap w:val="0"/>
            <w:vAlign w:val="center"/>
          </w:tcPr>
          <w:p w14:paraId="25A4218E">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最大占标率≤100%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c>
          <w:tcPr>
            <w:tcW w:w="1690" w:type="pct"/>
            <w:gridSpan w:val="10"/>
            <w:tcBorders>
              <w:tl2br w:val="nil"/>
              <w:tr2bl w:val="nil"/>
            </w:tcBorders>
            <w:noWrap w:val="0"/>
            <w:vAlign w:val="center"/>
          </w:tcPr>
          <w:p w14:paraId="4842848C">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最大占标率＞100%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3E37C8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3884E0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vMerge w:val="restart"/>
            <w:tcBorders>
              <w:tl2br w:val="nil"/>
              <w:tr2bl w:val="nil"/>
            </w:tcBorders>
            <w:noWrap w:val="0"/>
            <w:vAlign w:val="center"/>
          </w:tcPr>
          <w:p w14:paraId="7E852C33">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正常排放年均浓度贡献值</w:t>
            </w:r>
          </w:p>
        </w:tc>
        <w:tc>
          <w:tcPr>
            <w:tcW w:w="547" w:type="pct"/>
            <w:tcBorders>
              <w:tl2br w:val="nil"/>
              <w:tr2bl w:val="nil"/>
            </w:tcBorders>
            <w:noWrap w:val="0"/>
            <w:vAlign w:val="center"/>
          </w:tcPr>
          <w:p w14:paraId="296D5764">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w:t>
            </w:r>
          </w:p>
        </w:tc>
        <w:tc>
          <w:tcPr>
            <w:tcW w:w="1652" w:type="pct"/>
            <w:gridSpan w:val="7"/>
            <w:tcBorders>
              <w:tl2br w:val="nil"/>
              <w:tr2bl w:val="nil"/>
            </w:tcBorders>
            <w:noWrap w:val="0"/>
            <w:vAlign w:val="center"/>
          </w:tcPr>
          <w:p w14:paraId="53A03537">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最大占标率≤10%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467" w:type="pct"/>
            <w:gridSpan w:val="9"/>
            <w:tcBorders>
              <w:tl2br w:val="nil"/>
              <w:tr2bl w:val="nil"/>
            </w:tcBorders>
            <w:noWrap w:val="0"/>
            <w:vAlign w:val="center"/>
          </w:tcPr>
          <w:p w14:paraId="703ACD0D">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最大标率＞10%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0C2600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76BA05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vMerge w:val="continue"/>
            <w:tcBorders>
              <w:tl2br w:val="nil"/>
              <w:tr2bl w:val="nil"/>
            </w:tcBorders>
            <w:noWrap w:val="0"/>
            <w:vAlign w:val="center"/>
          </w:tcPr>
          <w:p w14:paraId="43E23EE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7" w:type="pct"/>
            <w:tcBorders>
              <w:tl2br w:val="nil"/>
              <w:tr2bl w:val="nil"/>
            </w:tcBorders>
            <w:noWrap w:val="0"/>
            <w:vAlign w:val="center"/>
          </w:tcPr>
          <w:p w14:paraId="2D8F1F6B">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二类区</w:t>
            </w:r>
          </w:p>
        </w:tc>
        <w:tc>
          <w:tcPr>
            <w:tcW w:w="1652" w:type="pct"/>
            <w:gridSpan w:val="7"/>
            <w:tcBorders>
              <w:tl2br w:val="nil"/>
              <w:tr2bl w:val="nil"/>
            </w:tcBorders>
            <w:noWrap w:val="0"/>
            <w:vAlign w:val="center"/>
          </w:tcPr>
          <w:p w14:paraId="1013417E">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最大占标率≤30%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467" w:type="pct"/>
            <w:gridSpan w:val="9"/>
            <w:tcBorders>
              <w:tl2br w:val="nil"/>
              <w:tr2bl w:val="nil"/>
            </w:tcBorders>
            <w:noWrap w:val="0"/>
            <w:vAlign w:val="center"/>
          </w:tcPr>
          <w:p w14:paraId="01EE558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最大标率＞30%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617283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0292F5A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239176B0">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非正常排放1h浓度贡献值</w:t>
            </w:r>
          </w:p>
        </w:tc>
        <w:tc>
          <w:tcPr>
            <w:tcW w:w="761" w:type="pct"/>
            <w:gridSpan w:val="2"/>
            <w:tcBorders>
              <w:tl2br w:val="nil"/>
              <w:tr2bl w:val="nil"/>
            </w:tcBorders>
            <w:noWrap w:val="0"/>
            <w:vAlign w:val="center"/>
          </w:tcPr>
          <w:p w14:paraId="5023AD7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非正常持续时长（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1512" w:type="pct"/>
            <w:gridSpan w:val="7"/>
            <w:tcBorders>
              <w:tl2br w:val="nil"/>
              <w:tr2bl w:val="nil"/>
            </w:tcBorders>
            <w:noWrap w:val="0"/>
            <w:vAlign w:val="center"/>
          </w:tcPr>
          <w:p w14:paraId="07FCF73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position w:val="-5"/>
                <w:sz w:val="21"/>
                <w:szCs w:val="21"/>
                <w:highlight w:val="none"/>
                <w14:textFill>
                  <w14:solidFill>
                    <w14:schemeClr w14:val="tx1"/>
                  </w14:solidFill>
                </w14:textFill>
              </w:rPr>
              <w:t>非正常</w:t>
            </w:r>
            <w:r>
              <w:rPr>
                <w:rFonts w:hint="default" w:ascii="Times New Roman" w:hAnsi="Times New Roman" w:eastAsia="宋体" w:cs="Times New Roman"/>
                <w:color w:val="000000" w:themeColor="text1"/>
                <w:sz w:val="21"/>
                <w:szCs w:val="21"/>
                <w:highlight w:val="none"/>
                <w14:textFill>
                  <w14:solidFill>
                    <w14:schemeClr w14:val="tx1"/>
                  </w14:solidFill>
                </w14:textFill>
              </w:rPr>
              <w:t>占标率≤100%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393" w:type="pct"/>
            <w:gridSpan w:val="8"/>
            <w:tcBorders>
              <w:tl2br w:val="nil"/>
              <w:tr2bl w:val="nil"/>
            </w:tcBorders>
            <w:noWrap w:val="0"/>
            <w:vAlign w:val="center"/>
          </w:tcPr>
          <w:p w14:paraId="331D61D6">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position w:val="-5"/>
                <w:sz w:val="21"/>
                <w:szCs w:val="21"/>
                <w:highlight w:val="none"/>
                <w14:textFill>
                  <w14:solidFill>
                    <w14:schemeClr w14:val="tx1"/>
                  </w14:solidFill>
                </w14:textFill>
              </w:rPr>
              <w:t>非正常</w:t>
            </w:r>
            <w:r>
              <w:rPr>
                <w:rFonts w:hint="default" w:ascii="Times New Roman" w:hAnsi="Times New Roman" w:eastAsia="宋体" w:cs="Times New Roman"/>
                <w:color w:val="000000" w:themeColor="text1"/>
                <w:sz w:val="21"/>
                <w:szCs w:val="21"/>
                <w:highlight w:val="none"/>
                <w14:textFill>
                  <w14:solidFill>
                    <w14:schemeClr w14:val="tx1"/>
                  </w14:solidFill>
                </w14:textFill>
              </w:rPr>
              <w:t>占标率＞100%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14E844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65DDDFA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7B20D5CC">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保证率日平均浓度和年平均浓度叠加值</w:t>
            </w:r>
          </w:p>
        </w:tc>
        <w:tc>
          <w:tcPr>
            <w:tcW w:w="1673" w:type="pct"/>
            <w:gridSpan w:val="6"/>
            <w:tcBorders>
              <w:tl2br w:val="nil"/>
              <w:tr2bl w:val="nil"/>
            </w:tcBorders>
            <w:noWrap w:val="0"/>
            <w:vAlign w:val="center"/>
          </w:tcPr>
          <w:p w14:paraId="4B6E2A4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cs="Times New Roman"/>
                <w:color w:val="000000" w:themeColor="text1"/>
                <w:position w:val="-5"/>
                <w:sz w:val="21"/>
                <w:szCs w:val="21"/>
                <w:highlight w:val="none"/>
                <w:lang w:eastAsia="zh-CN"/>
                <w14:textFill>
                  <w14:solidFill>
                    <w14:schemeClr w14:val="tx1"/>
                  </w14:solidFill>
                </w14:textFill>
              </w:rPr>
              <w:t>叠加</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993" w:type="pct"/>
            <w:gridSpan w:val="11"/>
            <w:tcBorders>
              <w:tl2br w:val="nil"/>
              <w:tr2bl w:val="nil"/>
            </w:tcBorders>
            <w:noWrap w:val="0"/>
            <w:vAlign w:val="center"/>
          </w:tcPr>
          <w:p w14:paraId="716293C9">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cs="Times New Roman"/>
                <w:color w:val="000000" w:themeColor="text1"/>
                <w:position w:val="-5"/>
                <w:sz w:val="21"/>
                <w:szCs w:val="21"/>
                <w:highlight w:val="none"/>
                <w:lang w:eastAsia="zh-CN"/>
                <w14:textFill>
                  <w14:solidFill>
                    <w14:schemeClr w14:val="tx1"/>
                  </w14:solidFill>
                </w14:textFill>
              </w:rPr>
              <w:t>叠加</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62B805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2323B0E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2C629BA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区域环境质量的整体变化情况</w:t>
            </w:r>
          </w:p>
        </w:tc>
        <w:tc>
          <w:tcPr>
            <w:tcW w:w="1673" w:type="pct"/>
            <w:gridSpan w:val="6"/>
            <w:tcBorders>
              <w:tl2br w:val="nil"/>
              <w:tr2bl w:val="nil"/>
            </w:tcBorders>
            <w:noWrap w:val="0"/>
            <w:vAlign w:val="center"/>
          </w:tcPr>
          <w:p w14:paraId="10AE01E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color w:val="000000" w:themeColor="text1"/>
                <w:sz w:val="21"/>
                <w:szCs w:val="21"/>
                <w:highlight w:val="none"/>
                <w14:textFill>
                  <w14:solidFill>
                    <w14:schemeClr w14:val="tx1"/>
                  </w14:solidFill>
                </w14:textFill>
              </w:rPr>
              <w:t>k</w:t>
            </w: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1993" w:type="pct"/>
            <w:gridSpan w:val="11"/>
            <w:tcBorders>
              <w:tl2br w:val="nil"/>
              <w:tr2bl w:val="nil"/>
            </w:tcBorders>
            <w:noWrap w:val="0"/>
            <w:vAlign w:val="center"/>
          </w:tcPr>
          <w:p w14:paraId="2502D815">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color w:val="000000" w:themeColor="text1"/>
                <w:sz w:val="21"/>
                <w:szCs w:val="21"/>
                <w:highlight w:val="none"/>
                <w14:textFill>
                  <w14:solidFill>
                    <w14:schemeClr w14:val="tx1"/>
                  </w14:solidFill>
                </w14:textFill>
              </w:rPr>
              <w:t>k</w:t>
            </w: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16A1C3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restart"/>
            <w:tcBorders>
              <w:tl2br w:val="nil"/>
              <w:tr2bl w:val="nil"/>
            </w:tcBorders>
            <w:noWrap w:val="0"/>
            <w:vAlign w:val="center"/>
          </w:tcPr>
          <w:p w14:paraId="40271692">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环境监测计划</w:t>
            </w:r>
          </w:p>
        </w:tc>
        <w:tc>
          <w:tcPr>
            <w:tcW w:w="874" w:type="pct"/>
            <w:tcBorders>
              <w:tl2br w:val="nil"/>
              <w:tr2bl w:val="nil"/>
            </w:tcBorders>
            <w:noWrap w:val="0"/>
            <w:vAlign w:val="center"/>
          </w:tcPr>
          <w:p w14:paraId="7B5FB670">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污染源监测</w:t>
            </w:r>
          </w:p>
        </w:tc>
        <w:tc>
          <w:tcPr>
            <w:tcW w:w="1673" w:type="pct"/>
            <w:gridSpan w:val="6"/>
            <w:tcBorders>
              <w:tl2br w:val="nil"/>
              <w:tr2bl w:val="nil"/>
            </w:tcBorders>
            <w:noWrap w:val="0"/>
            <w:vAlign w:val="center"/>
          </w:tcPr>
          <w:p w14:paraId="166109E7">
            <w:pPr>
              <w:pStyle w:val="679"/>
              <w:keepNext w:val="0"/>
              <w:keepLines w:val="0"/>
              <w:pageBreakBefore w:val="0"/>
              <w:widowControl w:val="0"/>
              <w:suppressLineNumbers w:val="0"/>
              <w:tabs>
                <w:tab w:val="left" w:pos="2466"/>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r>
              <w:rPr>
                <w:rFonts w:hint="default" w:ascii="Times New Roman" w:hAnsi="Times New Roman" w:eastAsia="宋体" w:cs="Times New Roman"/>
                <w:color w:val="000000" w:themeColor="text1"/>
                <w:spacing w:val="-92"/>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17" w:type="pct"/>
            <w:gridSpan w:val="9"/>
            <w:tcBorders>
              <w:tl2br w:val="nil"/>
              <w:tr2bl w:val="nil"/>
            </w:tcBorders>
            <w:noWrap w:val="0"/>
            <w:vAlign w:val="center"/>
          </w:tcPr>
          <w:p w14:paraId="4772458E">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有组织废气监测</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p w14:paraId="2F303A71">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无组织废气监测</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c>
          <w:tcPr>
            <w:tcW w:w="576" w:type="pct"/>
            <w:gridSpan w:val="2"/>
            <w:tcBorders>
              <w:tl2br w:val="nil"/>
              <w:tr2bl w:val="nil"/>
            </w:tcBorders>
            <w:noWrap w:val="0"/>
            <w:vAlign w:val="center"/>
          </w:tcPr>
          <w:p w14:paraId="14C5592D">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71A96D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2D54F4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05E041FE">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环境质量监测</w:t>
            </w:r>
          </w:p>
        </w:tc>
        <w:tc>
          <w:tcPr>
            <w:tcW w:w="1673" w:type="pct"/>
            <w:gridSpan w:val="6"/>
            <w:tcBorders>
              <w:tl2br w:val="nil"/>
              <w:tr2bl w:val="nil"/>
            </w:tcBorders>
            <w:noWrap w:val="0"/>
            <w:vAlign w:val="center"/>
          </w:tcPr>
          <w:p w14:paraId="0BA6D28B">
            <w:pPr>
              <w:pStyle w:val="679"/>
              <w:keepNext w:val="0"/>
              <w:keepLines w:val="0"/>
              <w:pageBreakBefore w:val="0"/>
              <w:widowControl w:val="0"/>
              <w:suppressLineNumbers w:val="0"/>
              <w:tabs>
                <w:tab w:val="left" w:pos="2466"/>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r>
              <w:rPr>
                <w:rFonts w:hint="default" w:ascii="Times New Roman" w:hAnsi="Times New Roman" w:eastAsia="宋体" w:cs="Times New Roman"/>
                <w:color w:val="000000" w:themeColor="text1"/>
                <w:spacing w:val="-92"/>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417" w:type="pct"/>
            <w:gridSpan w:val="9"/>
            <w:tcBorders>
              <w:tl2br w:val="nil"/>
              <w:tr2bl w:val="nil"/>
            </w:tcBorders>
            <w:noWrap w:val="0"/>
            <w:vAlign w:val="center"/>
          </w:tcPr>
          <w:p w14:paraId="7304A276">
            <w:pPr>
              <w:pStyle w:val="679"/>
              <w:keepNext w:val="0"/>
              <w:keepLines w:val="0"/>
              <w:pageBreakBefore w:val="0"/>
              <w:widowControl w:val="0"/>
              <w:suppressLineNumbers w:val="0"/>
              <w:tabs>
                <w:tab w:val="left" w:pos="192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监测点位数（</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76" w:type="pct"/>
            <w:gridSpan w:val="2"/>
            <w:tcBorders>
              <w:tl2br w:val="nil"/>
              <w:tr2bl w:val="nil"/>
            </w:tcBorders>
            <w:noWrap w:val="0"/>
            <w:vAlign w:val="center"/>
          </w:tcPr>
          <w:p w14:paraId="4A097FC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p>
        </w:tc>
      </w:tr>
      <w:tr w14:paraId="1DD09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restart"/>
            <w:tcBorders>
              <w:tl2br w:val="nil"/>
              <w:tr2bl w:val="nil"/>
            </w:tcBorders>
            <w:noWrap w:val="0"/>
            <w:vAlign w:val="center"/>
          </w:tcPr>
          <w:p w14:paraId="57DEB7AB">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874" w:type="pct"/>
            <w:tcBorders>
              <w:tl2br w:val="nil"/>
              <w:tr2bl w:val="nil"/>
            </w:tcBorders>
            <w:noWrap w:val="0"/>
            <w:vAlign w:val="center"/>
          </w:tcPr>
          <w:p w14:paraId="6F416AD9">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w:t>
            </w:r>
          </w:p>
        </w:tc>
        <w:tc>
          <w:tcPr>
            <w:tcW w:w="3666" w:type="pct"/>
            <w:gridSpan w:val="17"/>
            <w:tcBorders>
              <w:tl2br w:val="nil"/>
              <w:tr2bl w:val="nil"/>
            </w:tcBorders>
            <w:noWrap w:val="0"/>
            <w:vAlign w:val="center"/>
          </w:tcPr>
          <w:p w14:paraId="493858B5">
            <w:pPr>
              <w:pStyle w:val="679"/>
              <w:keepNext w:val="0"/>
              <w:keepLines w:val="0"/>
              <w:pageBreakBefore w:val="0"/>
              <w:widowControl w:val="0"/>
              <w:suppressLineNumbers w:val="0"/>
              <w:tabs>
                <w:tab w:val="left" w:pos="3582"/>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可以接受</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highlight w:val="none"/>
                <w14:textFill>
                  <w14:solidFill>
                    <w14:schemeClr w14:val="tx1"/>
                  </w14:solidFill>
                </w14:textFill>
              </w:rPr>
              <w:tab/>
            </w:r>
            <w:r>
              <w:rPr>
                <w:rFonts w:hint="default" w:ascii="Times New Roman" w:hAnsi="Times New Roman" w:eastAsia="宋体" w:cs="Times New Roman"/>
                <w:color w:val="000000" w:themeColor="text1"/>
                <w:sz w:val="21"/>
                <w:szCs w:val="21"/>
                <w:highlight w:val="none"/>
                <w14:textFill>
                  <w14:solidFill>
                    <w14:schemeClr w14:val="tx1"/>
                  </w14:solidFill>
                </w14:textFill>
              </w:rPr>
              <w:t>不可以</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接</w:t>
            </w:r>
            <w:r>
              <w:rPr>
                <w:rFonts w:hint="default" w:ascii="Times New Roman" w:hAnsi="Times New Roman" w:eastAsia="宋体" w:cs="Times New Roman"/>
                <w:color w:val="000000" w:themeColor="text1"/>
                <w:sz w:val="21"/>
                <w:szCs w:val="21"/>
                <w:highlight w:val="none"/>
                <w14:textFill>
                  <w14:solidFill>
                    <w14:schemeClr w14:val="tx1"/>
                  </w14:solidFill>
                </w14:textFill>
              </w:rPr>
              <w:t>受</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r>
      <w:tr w14:paraId="4A7B6F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561C57E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625E96BA">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大气环境防护距离</w:t>
            </w:r>
          </w:p>
        </w:tc>
        <w:tc>
          <w:tcPr>
            <w:tcW w:w="3666" w:type="pct"/>
            <w:gridSpan w:val="17"/>
            <w:tcBorders>
              <w:tl2br w:val="nil"/>
              <w:tr2bl w:val="nil"/>
            </w:tcBorders>
            <w:noWrap w:val="0"/>
            <w:vAlign w:val="center"/>
          </w:tcPr>
          <w:p w14:paraId="2821A683">
            <w:pPr>
              <w:pStyle w:val="679"/>
              <w:keepNext w:val="0"/>
              <w:keepLines w:val="0"/>
              <w:pageBreakBefore w:val="0"/>
              <w:widowControl w:val="0"/>
              <w:suppressLineNumbers w:val="0"/>
              <w:tabs>
                <w:tab w:val="left" w:pos="2840"/>
                <w:tab w:val="left" w:pos="4367"/>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距（）厂界最远（）m</w:t>
            </w:r>
          </w:p>
        </w:tc>
      </w:tr>
      <w:tr w14:paraId="6B460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8" w:type="pct"/>
            <w:vMerge w:val="continue"/>
            <w:tcBorders>
              <w:tl2br w:val="nil"/>
              <w:tr2bl w:val="nil"/>
            </w:tcBorders>
            <w:noWrap w:val="0"/>
            <w:vAlign w:val="center"/>
          </w:tcPr>
          <w:p w14:paraId="6FF7112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4" w:type="pct"/>
            <w:tcBorders>
              <w:tl2br w:val="nil"/>
              <w:tr2bl w:val="nil"/>
            </w:tcBorders>
            <w:noWrap w:val="0"/>
            <w:vAlign w:val="center"/>
          </w:tcPr>
          <w:p w14:paraId="56E24BFD">
            <w:pPr>
              <w:pStyle w:val="67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污染源年排放量</w:t>
            </w:r>
          </w:p>
        </w:tc>
        <w:tc>
          <w:tcPr>
            <w:tcW w:w="761" w:type="pct"/>
            <w:gridSpan w:val="2"/>
            <w:tcBorders>
              <w:tl2br w:val="nil"/>
              <w:tr2bl w:val="nil"/>
            </w:tcBorders>
            <w:noWrap w:val="0"/>
            <w:vAlign w:val="center"/>
          </w:tcPr>
          <w:p w14:paraId="4DFFC865">
            <w:pPr>
              <w:pStyle w:val="679"/>
              <w:keepNext w:val="0"/>
              <w:keepLines w:val="0"/>
              <w:pageBreakBefore w:val="0"/>
              <w:widowControl w:val="0"/>
              <w:suppressLineNumbers w:val="0"/>
              <w:tabs>
                <w:tab w:val="left" w:pos="1129"/>
              </w:tabs>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position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）t/a</w:t>
            </w:r>
          </w:p>
        </w:tc>
        <w:tc>
          <w:tcPr>
            <w:tcW w:w="911" w:type="pct"/>
            <w:gridSpan w:val="4"/>
            <w:tcBorders>
              <w:tl2br w:val="nil"/>
              <w:tr2bl w:val="nil"/>
            </w:tcBorders>
            <w:noWrap w:val="0"/>
            <w:vAlign w:val="center"/>
          </w:tcPr>
          <w:p w14:paraId="2A1267EA">
            <w:pPr>
              <w:pStyle w:val="679"/>
              <w:keepNext w:val="0"/>
              <w:keepLines w:val="0"/>
              <w:pageBreakBefore w:val="0"/>
              <w:widowControl w:val="0"/>
              <w:suppressLineNumbers w:val="0"/>
              <w:tabs>
                <w:tab w:val="left" w:pos="1181"/>
              </w:tabs>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14:textFill>
                  <w14:solidFill>
                    <w14:schemeClr w14:val="tx1"/>
                  </w14:solidFill>
                </w14:textFill>
              </w:rPr>
              <w:t>x</w:t>
            </w:r>
            <w:r>
              <w:rPr>
                <w:rFonts w:hint="eastAsia" w:ascii="Times New Roman" w:hAnsi="Times New Roman" w:eastAsia="宋体" w:cs="Times New Roman"/>
                <w:color w:val="000000" w:themeColor="text1"/>
                <w:position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）t/a</w:t>
            </w:r>
          </w:p>
        </w:tc>
        <w:tc>
          <w:tcPr>
            <w:tcW w:w="1147" w:type="pct"/>
            <w:gridSpan w:val="7"/>
            <w:tcBorders>
              <w:tl2br w:val="nil"/>
              <w:tr2bl w:val="nil"/>
            </w:tcBorders>
            <w:noWrap w:val="0"/>
            <w:vAlign w:val="center"/>
          </w:tcPr>
          <w:p w14:paraId="6F55E9A5">
            <w:pPr>
              <w:pStyle w:val="679"/>
              <w:keepNext w:val="0"/>
              <w:keepLines w:val="0"/>
              <w:pageBreakBefore w:val="0"/>
              <w:widowControl w:val="0"/>
              <w:suppressLineNumbers w:val="0"/>
              <w:tabs>
                <w:tab w:val="left" w:pos="1081"/>
              </w:tabs>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18.005</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846" w:type="pct"/>
            <w:gridSpan w:val="4"/>
            <w:tcBorders>
              <w:tl2br w:val="nil"/>
              <w:tr2bl w:val="nil"/>
            </w:tcBorders>
            <w:noWrap w:val="0"/>
            <w:vAlign w:val="center"/>
          </w:tcPr>
          <w:p w14:paraId="24B4C245">
            <w:pPr>
              <w:pStyle w:val="679"/>
              <w:keepNext w:val="0"/>
              <w:keepLines w:val="0"/>
              <w:pageBreakBefore w:val="0"/>
              <w:widowControl w:val="0"/>
              <w:suppressLineNumbers w:val="0"/>
              <w:tabs>
                <w:tab w:val="left" w:pos="1039"/>
              </w:tabs>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VOC</w:t>
            </w:r>
            <w:r>
              <w:rPr>
                <w:rFonts w:hint="default" w:ascii="Times New Roman" w:hAnsi="Times New Roman" w:eastAsia="宋体" w:cs="Times New Roman"/>
                <w:color w:val="000000" w:themeColor="text1"/>
                <w:sz w:val="21"/>
                <w:szCs w:val="21"/>
                <w:highlight w:val="none"/>
                <w14:textFill>
                  <w14:solidFill>
                    <w14:schemeClr w14:val="tx1"/>
                  </w14:solidFill>
                </w14:textFill>
              </w:rPr>
              <w:t>s</w:t>
            </w:r>
            <w:r>
              <w:rPr>
                <w:rFonts w:hint="eastAsia" w:ascii="Times New Roman" w:hAnsi="Times New Roman" w:eastAsia="宋体" w:cs="Times New Roman"/>
                <w:color w:val="000000" w:themeColor="text1"/>
                <w:position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（）t/a</w:t>
            </w:r>
          </w:p>
        </w:tc>
      </w:tr>
      <w:tr w14:paraId="7D8B1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19"/>
            <w:tcBorders>
              <w:tl2br w:val="nil"/>
              <w:tr2bl w:val="nil"/>
            </w:tcBorders>
            <w:noWrap w:val="0"/>
            <w:vAlign w:val="center"/>
          </w:tcPr>
          <w:p w14:paraId="5D5D5689">
            <w:pPr>
              <w:pStyle w:val="679"/>
              <w:keepNext w:val="0"/>
              <w:keepLines w:val="0"/>
              <w:pageBreakBefore w:val="0"/>
              <w:widowControl w:val="0"/>
              <w:suppressLineNumbers w:val="0"/>
              <w:tabs>
                <w:tab w:val="left" w:pos="3439"/>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w:t>
            </w:r>
            <w:r>
              <w:rPr>
                <w:rFonts w:hint="default" w:ascii="Times New Roman" w:hAnsi="Times New Roman" w:eastAsia="宋体" w:cs="Times New Roman"/>
                <w:color w:val="000000" w:themeColor="text1"/>
                <w:spacing w:val="-92"/>
                <w:sz w:val="21"/>
                <w:szCs w:val="21"/>
                <w:highlight w:val="none"/>
                <w14:textFill>
                  <w14:solidFill>
                    <w14:schemeClr w14:val="tx1"/>
                  </w14:solidFill>
                </w14:textFill>
              </w:rPr>
              <w:t>：</w:t>
            </w:r>
            <w:r>
              <w:rPr>
                <w:rFonts w:hint="eastAsia" w:ascii="Times New Roman" w:hAnsi="Times New Roman" w:eastAsia="宋体" w:cs="Times New Roman"/>
                <w:color w:val="000000" w:themeColor="text1"/>
                <w:w w:val="2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w:t>
            </w:r>
            <w:r>
              <w:rPr>
                <w:rFonts w:hint="eastAsia" w:ascii="Times New Roman" w:hAnsi="Times New Roman" w:eastAsia="宋体" w:cs="Times New Roman"/>
                <w:color w:val="000000" w:themeColor="text1"/>
                <w:w w:val="2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为勾选项，填</w:t>
            </w:r>
            <w:r>
              <w:rPr>
                <w:rFonts w:hint="eastAsia" w:ascii="Times New Roman" w:hAnsi="Times New Roman" w:eastAsia="宋体" w:cs="Times New Roman"/>
                <w:color w:val="000000" w:themeColor="text1"/>
                <w:w w:val="135"/>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w w:val="135"/>
                <w:sz w:val="21"/>
                <w:szCs w:val="21"/>
                <w:highlight w:val="none"/>
                <w14:textFill>
                  <w14:solidFill>
                    <w14:schemeClr w14:val="tx1"/>
                  </w14:solidFill>
                </w14:textFill>
              </w:rPr>
              <w:t>√</w:t>
            </w:r>
            <w:r>
              <w:rPr>
                <w:rFonts w:hint="eastAsia" w:ascii="Times New Roman" w:hAnsi="Times New Roman" w:eastAsia="宋体" w:cs="Times New Roman"/>
                <w:color w:val="000000" w:themeColor="text1"/>
                <w:w w:val="21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为内容填写项</w:t>
            </w:r>
          </w:p>
        </w:tc>
      </w:tr>
    </w:tbl>
    <w:p w14:paraId="2C7AF399">
      <w:pPr>
        <w:pStyle w:val="4"/>
        <w:spacing w:before="60" w:after="60" w:line="480" w:lineRule="exact"/>
        <w:rPr>
          <w:color w:val="000000" w:themeColor="text1"/>
          <w14:textFill>
            <w14:solidFill>
              <w14:schemeClr w14:val="tx1"/>
            </w14:solidFill>
          </w14:textFill>
        </w:rPr>
      </w:pPr>
      <w:bookmarkStart w:id="434" w:name="_Toc18511"/>
      <w:r>
        <w:rPr>
          <w:rFonts w:hint="eastAsia"/>
          <w:color w:val="000000" w:themeColor="text1"/>
          <w:kern w:val="2"/>
          <w14:textFill>
            <w14:solidFill>
              <w14:schemeClr w14:val="tx1"/>
            </w14:solidFill>
          </w14:textFill>
        </w:rPr>
        <w:t>5.2.2地表水</w:t>
      </w:r>
      <w:r>
        <w:rPr>
          <w:color w:val="000000" w:themeColor="text1"/>
          <w14:textFill>
            <w14:solidFill>
              <w14:schemeClr w14:val="tx1"/>
            </w14:solidFill>
          </w14:textFill>
        </w:rPr>
        <w:t>环境影响</w:t>
      </w:r>
      <w:r>
        <w:rPr>
          <w:rFonts w:hint="eastAsia"/>
          <w:color w:val="000000" w:themeColor="text1"/>
          <w:lang w:eastAsia="zh-CN"/>
          <w14:textFill>
            <w14:solidFill>
              <w14:schemeClr w14:val="tx1"/>
            </w14:solidFill>
          </w14:textFill>
        </w:rPr>
        <w:t>分析</w:t>
      </w:r>
      <w:r>
        <w:rPr>
          <w:color w:val="000000" w:themeColor="text1"/>
          <w14:textFill>
            <w14:solidFill>
              <w14:schemeClr w14:val="tx1"/>
            </w14:solidFill>
          </w14:textFill>
        </w:rPr>
        <w:t>与评价</w:t>
      </w:r>
      <w:bookmarkEnd w:id="434"/>
    </w:p>
    <w:p w14:paraId="11A69B98">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bookmarkStart w:id="435" w:name="_Toc11796"/>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.2.1给排水情况分析</w:t>
      </w:r>
    </w:p>
    <w:p w14:paraId="0851E8AF">
      <w:pPr>
        <w:keepNext w:val="0"/>
        <w:keepLines w:val="0"/>
        <w:pageBreakBefore w:val="0"/>
        <w:kinsoku/>
        <w:wordWrap/>
        <w:overflowPunct/>
        <w:topLinePunct w:val="0"/>
        <w:autoSpaceDE w:val="0"/>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（1）给水情况</w:t>
      </w:r>
    </w:p>
    <w:p w14:paraId="0C982D73">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①生活用水</w:t>
      </w:r>
    </w:p>
    <w:p w14:paraId="3BD2F6E3">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矿区</w:t>
      </w:r>
      <w:r>
        <w:rPr>
          <w:rFonts w:hint="eastAsia"/>
          <w:color w:val="000000" w:themeColor="text1"/>
          <w:sz w:val="24"/>
          <w:lang w:val="en-US" w:eastAsia="zh-CN" w:bidi="ar"/>
          <w14:textFill>
            <w14:solidFill>
              <w14:schemeClr w14:val="tx1"/>
            </w14:solidFill>
          </w14:textFill>
        </w:rPr>
        <w:t>生产期</w:t>
      </w:r>
      <w:r>
        <w:rPr>
          <w:rFonts w:hint="eastAsia"/>
          <w:color w:val="000000" w:themeColor="text1"/>
          <w:sz w:val="24"/>
          <w:lang w:bidi="ar"/>
          <w14:textFill>
            <w14:solidFill>
              <w14:schemeClr w14:val="tx1"/>
            </w14:solidFill>
          </w14:textFill>
        </w:rPr>
        <w:t>采矿职工生活用水量为</w:t>
      </w:r>
      <w:r>
        <w:rPr>
          <w:rFonts w:hint="eastAsia"/>
          <w:color w:val="000000" w:themeColor="text1"/>
          <w:sz w:val="24"/>
          <w:lang w:val="en-US" w:eastAsia="zh-CN" w:bidi="ar"/>
          <w14:textFill>
            <w14:solidFill>
              <w14:schemeClr w14:val="tx1"/>
            </w14:solidFill>
          </w14:textFill>
        </w:rPr>
        <w:t>8.0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2200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ascii="Times New Roman" w:hAnsi="Times New Roman" w:eastAsia="宋体" w:cs="Times New Roman"/>
          <w:color w:val="000000" w:themeColor="text1"/>
          <w:sz w:val="24"/>
          <w:lang w:val="en-US" w:eastAsia="zh-CN" w:bidi="ar"/>
          <w14:textFill>
            <w14:solidFill>
              <w14:schemeClr w14:val="tx1"/>
            </w14:solidFill>
          </w14:textFill>
        </w:rPr>
        <w:t>冬季停产期，</w:t>
      </w:r>
      <w:r>
        <w:rPr>
          <w:rFonts w:hint="eastAsia"/>
          <w:color w:val="000000" w:themeColor="text1"/>
          <w:sz w:val="24"/>
          <w:lang w:bidi="ar"/>
          <w14:textFill>
            <w14:solidFill>
              <w14:schemeClr w14:val="tx1"/>
            </w14:solidFill>
          </w14:textFill>
        </w:rPr>
        <w:t>生活用水量为</w:t>
      </w:r>
      <w:r>
        <w:rPr>
          <w:rFonts w:hint="eastAsia"/>
          <w:color w:val="000000" w:themeColor="text1"/>
          <w:sz w:val="24"/>
          <w:lang w:val="en-US" w:eastAsia="zh-CN" w:bidi="ar"/>
          <w14:textFill>
            <w14:solidFill>
              <w14:schemeClr w14:val="tx1"/>
            </w14:solidFill>
          </w14:textFill>
        </w:rPr>
        <w:t>1.0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90m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p>
    <w:p w14:paraId="4A52EBFF">
      <w:pPr>
        <w:pStyle w:val="29"/>
        <w:keepNext w:val="0"/>
        <w:keepLines w:val="0"/>
        <w:pageBreakBefore w:val="0"/>
        <w:kinsoku/>
        <w:wordWrap/>
        <w:overflowPunct/>
        <w:topLinePunct w:val="0"/>
        <w:autoSpaceDE w:val="0"/>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②生产用水</w:t>
      </w:r>
    </w:p>
    <w:p w14:paraId="76C86E44">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生产用水主要</w:t>
      </w:r>
      <w:r>
        <w:rPr>
          <w:rFonts w:hint="eastAsia" w:cs="Times New Roman"/>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矿体井下开采时所需的降尘、生产</w:t>
      </w:r>
      <w:r>
        <w:rPr>
          <w:rFonts w:hint="eastAsia" w:cs="Times New Roman"/>
          <w:color w:val="000000" w:themeColor="text1"/>
          <w:sz w:val="24"/>
          <w:szCs w:val="24"/>
          <w:highlight w:val="none"/>
          <w:lang w:val="en-US" w:eastAsia="zh-CN"/>
          <w14:textFill>
            <w14:solidFill>
              <w14:schemeClr w14:val="tx1"/>
            </w14:solidFill>
          </w14:textFill>
        </w:rPr>
        <w:t>用水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，生产用水量为</w:t>
      </w:r>
      <w:r>
        <w:rPr>
          <w:rFonts w:hint="eastAsia" w:cs="Times New Roman"/>
          <w:color w:val="000000" w:themeColor="text1"/>
          <w:sz w:val="24"/>
          <w:szCs w:val="24"/>
          <w:highlight w:val="none"/>
          <w:lang w:val="en-US" w:eastAsia="zh-CN"/>
          <w14:textFill>
            <w14:solidFill>
              <w14:schemeClr w14:val="tx1"/>
            </w14:solidFill>
          </w14:textFill>
        </w:rPr>
        <w:t>960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（24万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。井下用水通过无缝钢管送到井下各中段，在各中段通过减压阀减压后，再通过无缝钢管送到中段生产作业点。</w:t>
      </w:r>
    </w:p>
    <w:p w14:paraId="7118B9C8">
      <w:pPr>
        <w:keepNext w:val="0"/>
        <w:keepLines w:val="0"/>
        <w:pageBreakBefore w:val="0"/>
        <w:kinsoku/>
        <w:wordWrap/>
        <w:overflowPunct/>
        <w:topLinePunct w:val="0"/>
        <w:autoSpaceDE w:val="0"/>
        <w:autoSpaceDN/>
        <w:bidi w:val="0"/>
        <w:adjustRightInd/>
        <w:snapToGrid/>
        <w:spacing w:line="48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排水情况</w:t>
      </w:r>
    </w:p>
    <w:p w14:paraId="11F195D6">
      <w:pPr>
        <w:keepNext w:val="0"/>
        <w:keepLines w:val="0"/>
        <w:pageBreakBefore w:val="0"/>
        <w:kinsoku/>
        <w:wordWrap/>
        <w:overflowPunct/>
        <w:topLinePunct w:val="0"/>
        <w:autoSpaceDE w:val="0"/>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①生活</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污水</w:t>
      </w:r>
    </w:p>
    <w:p w14:paraId="1B10007B">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eastAsia"/>
          <w:color w:val="000000" w:themeColor="text1"/>
          <w:sz w:val="24"/>
          <w:lang w:val="en-US" w:eastAsia="zh-CN" w:bidi="ar"/>
          <w14:textFill>
            <w14:solidFill>
              <w14:schemeClr w14:val="tx1"/>
            </w14:solidFill>
          </w14:textFill>
        </w:rPr>
        <w:t>生产期</w:t>
      </w:r>
      <w:r>
        <w:rPr>
          <w:rFonts w:hint="eastAsia"/>
          <w:color w:val="000000" w:themeColor="text1"/>
          <w:sz w:val="24"/>
          <w:lang w:bidi="ar"/>
          <w14:textFill>
            <w14:solidFill>
              <w14:schemeClr w14:val="tx1"/>
            </w14:solidFill>
          </w14:textFill>
        </w:rPr>
        <w:t>生活污水产生量为</w:t>
      </w:r>
      <w:r>
        <w:rPr>
          <w:rFonts w:hint="eastAsia"/>
          <w:color w:val="000000" w:themeColor="text1"/>
          <w:sz w:val="24"/>
          <w:lang w:val="en-US" w:eastAsia="zh-CN" w:bidi="ar"/>
          <w14:textFill>
            <w14:solidFill>
              <w14:schemeClr w14:val="tx1"/>
            </w14:solidFill>
          </w14:textFill>
        </w:rPr>
        <w:t>6.4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1760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bidi="ar"/>
          <w14:textFill>
            <w14:solidFill>
              <w14:schemeClr w14:val="tx1"/>
            </w14:solidFill>
          </w14:textFill>
        </w:rPr>
        <w:t>。</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冬季停产期，生活污水水量仅0.8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72m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color w:val="000000" w:themeColor="text1"/>
          <w:sz w:val="24"/>
          <w:szCs w:val="24"/>
          <w:lang w:bidi="ar"/>
          <w14:textFill>
            <w14:solidFill>
              <w14:schemeClr w14:val="tx1"/>
            </w14:solidFill>
          </w14:textFill>
        </w:rPr>
        <w:t>生活污水</w:t>
      </w:r>
      <w:r>
        <w:rPr>
          <w:rFonts w:hint="eastAsia"/>
          <w:color w:val="000000" w:themeColor="text1"/>
          <w:sz w:val="24"/>
          <w:szCs w:val="24"/>
          <w:lang w:bidi="ar"/>
          <w14:textFill>
            <w14:solidFill>
              <w14:schemeClr w14:val="tx1"/>
            </w14:solidFill>
          </w14:textFill>
        </w:rPr>
        <w:t>经矿山现有地埋式一体化污水处理设施处理后，灌溉期用于矿</w:t>
      </w:r>
      <w:r>
        <w:rPr>
          <w:rFonts w:hint="eastAsia"/>
          <w:color w:val="000000" w:themeColor="text1"/>
          <w:sz w:val="24"/>
          <w:szCs w:val="24"/>
          <w:lang w:eastAsia="zh-CN" w:bidi="ar"/>
          <w14:textFill>
            <w14:solidFill>
              <w14:schemeClr w14:val="tx1"/>
            </w14:solidFill>
          </w14:textFill>
        </w:rPr>
        <w:t>区</w:t>
      </w:r>
      <w:r>
        <w:rPr>
          <w:rFonts w:hint="eastAsia"/>
          <w:color w:val="000000" w:themeColor="text1"/>
          <w:sz w:val="24"/>
          <w:szCs w:val="24"/>
          <w:lang w:bidi="ar"/>
          <w14:textFill>
            <w14:solidFill>
              <w14:schemeClr w14:val="tx1"/>
            </w14:solidFill>
          </w14:textFill>
        </w:rPr>
        <w:t>绿化，不外排。非灌溉期</w:t>
      </w:r>
      <w:r>
        <w:rPr>
          <w:rFonts w:hint="eastAsia"/>
          <w:color w:val="000000" w:themeColor="text1"/>
          <w:sz w:val="24"/>
          <w:szCs w:val="24"/>
          <w14:textFill>
            <w14:solidFill>
              <w14:schemeClr w14:val="tx1"/>
            </w14:solidFill>
          </w14:textFill>
        </w:rPr>
        <w:t>生活污水输送至西成矿业选矿厂用于选矿生产。</w:t>
      </w:r>
      <w:r>
        <w:rPr>
          <w:rFonts w:hint="eastAsia"/>
          <w:color w:val="000000" w:themeColor="text1"/>
          <w:sz w:val="24"/>
          <w:szCs w:val="28"/>
          <w:lang w:val="en-US" w:eastAsia="zh-CN"/>
          <w14:textFill>
            <w14:solidFill>
              <w14:schemeClr w14:val="tx1"/>
            </w14:solidFill>
          </w14:textFill>
        </w:rPr>
        <w:t>冬季停产期临时贮存于80m</w:t>
      </w:r>
      <w:r>
        <w:rPr>
          <w:rFonts w:hint="eastAsia"/>
          <w:color w:val="000000" w:themeColor="text1"/>
          <w:sz w:val="24"/>
          <w:szCs w:val="28"/>
          <w:vertAlign w:val="superscript"/>
          <w:lang w:val="en-US" w:eastAsia="zh-CN"/>
          <w14:textFill>
            <w14:solidFill>
              <w14:schemeClr w14:val="tx1"/>
            </w14:solidFill>
          </w14:textFill>
        </w:rPr>
        <w:t>3</w:t>
      </w:r>
      <w:r>
        <w:rPr>
          <w:rFonts w:hint="eastAsia"/>
          <w:color w:val="000000" w:themeColor="text1"/>
          <w:sz w:val="24"/>
          <w:szCs w:val="28"/>
          <w:lang w:val="en-US" w:eastAsia="zh-CN"/>
          <w14:textFill>
            <w14:solidFill>
              <w14:schemeClr w14:val="tx1"/>
            </w14:solidFill>
          </w14:textFill>
        </w:rPr>
        <w:t>的生活污水贮水池，待来年用于绿化</w:t>
      </w:r>
      <w:r>
        <w:rPr>
          <w:rFonts w:hint="eastAsia"/>
          <w:color w:val="000000" w:themeColor="text1"/>
          <w:sz w:val="24"/>
          <w:szCs w:val="28"/>
          <w14:textFill>
            <w14:solidFill>
              <w14:schemeClr w14:val="tx1"/>
            </w14:solidFill>
          </w14:textFill>
        </w:rPr>
        <w:t>。</w:t>
      </w:r>
    </w:p>
    <w:p w14:paraId="477372EC">
      <w:pPr>
        <w:pStyle w:val="29"/>
        <w:keepNext w:val="0"/>
        <w:keepLines w:val="0"/>
        <w:pageBreakBefore w:val="0"/>
        <w:kinsoku/>
        <w:wordWrap/>
        <w:overflowPunct/>
        <w:topLinePunct w:val="0"/>
        <w:autoSpaceDE w:val="0"/>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②</w:t>
      </w:r>
      <w:r>
        <w:rPr>
          <w:rFonts w:hint="eastAsia" w:ascii="Times New Roman" w:hAnsi="Times New Roman" w:cs="Times New Roman"/>
          <w:snapToGrid/>
          <w:color w:val="000000" w:themeColor="text1"/>
          <w:spacing w:val="0"/>
          <w:kern w:val="0"/>
          <w:position w:val="0"/>
          <w:sz w:val="24"/>
          <w:szCs w:val="24"/>
          <w:highlight w:val="none"/>
          <w:lang w:val="en-US" w:eastAsia="zh-CN" w:bidi="ar"/>
          <w14:textFill>
            <w14:solidFill>
              <w14:schemeClr w14:val="tx1"/>
            </w14:solidFill>
          </w14:textFill>
        </w:rPr>
        <w:t>生产废水</w:t>
      </w:r>
    </w:p>
    <w:p w14:paraId="5E6CFBE7">
      <w:pPr>
        <w:pStyle w:val="18"/>
        <w:keepNext w:val="0"/>
        <w:keepLines w:val="0"/>
        <w:pageBreakBefore w:val="0"/>
        <w:kinsoku/>
        <w:wordWrap/>
        <w:overflowPunct/>
        <w:topLinePunct w:val="0"/>
        <w:autoSpaceDN/>
        <w:bidi w:val="0"/>
        <w:adjustRightInd/>
        <w:snapToGrid/>
        <w:spacing w:line="480" w:lineRule="exact"/>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本项目生产废水为矿井涌水。根据矿山水文地质资料，矿区900m标高正常涌水量1500m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/d，最大涌水量1600m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/d。矿井涌水抽排至地表</w:t>
      </w:r>
      <w:r>
        <w:rPr>
          <w:rFonts w:hint="eastAsia" w:cs="Times New Roman"/>
          <w:color w:val="000000" w:themeColor="text1"/>
          <w:sz w:val="24"/>
          <w:szCs w:val="24"/>
          <w:lang w:eastAsia="zh-CN"/>
          <w14:textFill>
            <w14:solidFill>
              <w14:schemeClr w14:val="tx1"/>
            </w14:solidFill>
          </w14:textFill>
        </w:rPr>
        <w:t>沉淀池</w:t>
      </w:r>
      <w:r>
        <w:rPr>
          <w:rFonts w:hint="default" w:ascii="Times New Roman" w:hAnsi="Times New Roman" w:cs="Times New Roman"/>
          <w:color w:val="000000" w:themeColor="text1"/>
          <w:sz w:val="24"/>
          <w:szCs w:val="24"/>
          <w14:textFill>
            <w14:solidFill>
              <w14:schemeClr w14:val="tx1"/>
            </w14:solidFill>
          </w14:textFill>
        </w:rPr>
        <w:t>，在</w:t>
      </w:r>
      <w:r>
        <w:rPr>
          <w:rFonts w:hint="eastAsia" w:cs="Times New Roman"/>
          <w:color w:val="000000" w:themeColor="text1"/>
          <w:sz w:val="24"/>
          <w:szCs w:val="24"/>
          <w:lang w:eastAsia="zh-CN"/>
          <w14:textFill>
            <w14:solidFill>
              <w14:schemeClr w14:val="tx1"/>
            </w14:solidFill>
          </w14:textFill>
        </w:rPr>
        <w:t>沉淀</w:t>
      </w:r>
      <w:r>
        <w:rPr>
          <w:rFonts w:hint="default" w:ascii="Times New Roman" w:hAnsi="Times New Roman" w:cs="Times New Roman"/>
          <w:color w:val="000000" w:themeColor="text1"/>
          <w:sz w:val="24"/>
          <w:szCs w:val="24"/>
          <w14:textFill>
            <w14:solidFill>
              <w14:schemeClr w14:val="tx1"/>
            </w14:solidFill>
          </w14:textFill>
        </w:rPr>
        <w:t>池沉淀及净化处理。</w:t>
      </w:r>
    </w:p>
    <w:p w14:paraId="4E9F3809">
      <w:pPr>
        <w:pStyle w:val="18"/>
        <w:keepNext w:val="0"/>
        <w:keepLines w:val="0"/>
        <w:pageBreakBefore w:val="0"/>
        <w:kinsoku/>
        <w:wordWrap/>
        <w:overflowPunct/>
        <w:topLinePunct w:val="0"/>
        <w:autoSpaceDN/>
        <w:bidi w:val="0"/>
        <w:adjustRightInd/>
        <w:snapToGrid/>
        <w:spacing w:line="480" w:lineRule="exact"/>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灌溉期，矿井涌水</w:t>
      </w:r>
      <w:r>
        <w:rPr>
          <w:rFonts w:hint="eastAsia" w:cs="Times New Roman"/>
          <w:color w:val="000000" w:themeColor="text1"/>
          <w:sz w:val="24"/>
          <w:szCs w:val="24"/>
          <w:lang w:eastAsia="zh-CN"/>
          <w14:textFill>
            <w14:solidFill>
              <w14:schemeClr w14:val="tx1"/>
            </w14:solidFill>
          </w14:textFill>
        </w:rPr>
        <w:t>沉淀</w:t>
      </w:r>
      <w:r>
        <w:rPr>
          <w:rFonts w:hint="default" w:ascii="Times New Roman" w:hAnsi="Times New Roman" w:cs="Times New Roman"/>
          <w:color w:val="000000" w:themeColor="text1"/>
          <w:sz w:val="24"/>
          <w:szCs w:val="24"/>
          <w14:textFill>
            <w14:solidFill>
              <w14:schemeClr w14:val="tx1"/>
            </w14:solidFill>
          </w14:textFill>
        </w:rPr>
        <w:t>池沉淀及净化处理后，约960m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/d回用于井下作为湿式凿岩、喷雾洒水及消防等生产用水，约84.2m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/d灌溉期用作绿化、洒水降尘，其余555.8m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/d矿井涌水经混凝沉淀处理后通过管道输送至西成矿业选矿厂供选矿生产使用</w:t>
      </w:r>
      <w:r>
        <w:rPr>
          <w:rFonts w:hint="eastAsia" w:ascii="Times New Roman" w:hAnsi="Times New Roman" w:cs="Times New Roman"/>
          <w:color w:val="000000" w:themeColor="text1"/>
          <w:sz w:val="24"/>
          <w:szCs w:val="24"/>
          <w:lang w:eastAsia="zh-CN"/>
          <w14:textFill>
            <w14:solidFill>
              <w14:schemeClr w14:val="tx1"/>
            </w14:solidFill>
          </w14:textFill>
        </w:rPr>
        <w:t>。</w:t>
      </w:r>
    </w:p>
    <w:p w14:paraId="5C1490A4">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非灌溉期，矿井涌水</w:t>
      </w:r>
      <w:r>
        <w:rPr>
          <w:rFonts w:hint="eastAsia" w:cs="Times New Roman"/>
          <w:color w:val="000000" w:themeColor="text1"/>
          <w:sz w:val="24"/>
          <w:szCs w:val="24"/>
          <w:lang w:eastAsia="zh-CN"/>
          <w14:textFill>
            <w14:solidFill>
              <w14:schemeClr w14:val="tx1"/>
            </w14:solidFill>
          </w14:textFill>
        </w:rPr>
        <w:t>沉淀池</w:t>
      </w:r>
      <w:r>
        <w:rPr>
          <w:rFonts w:hint="default" w:ascii="Times New Roman" w:hAnsi="Times New Roman" w:cs="Times New Roman"/>
          <w:color w:val="000000" w:themeColor="text1"/>
          <w:sz w:val="24"/>
          <w:szCs w:val="24"/>
          <w14:textFill>
            <w14:solidFill>
              <w14:schemeClr w14:val="tx1"/>
            </w14:solidFill>
          </w14:textFill>
        </w:rPr>
        <w:t>沉淀及净化处理后，约960m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/d回用于井下作为湿式凿岩、喷雾洒水及消防等生产用水，约64.2m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/d灌溉期用作洒水降尘，生活污水经地埋式一体化污水处理设施处理后与其余矿井涌水共</w:t>
      </w:r>
      <w:r>
        <w:rPr>
          <w:rFonts w:hint="eastAsia" w:cs="Times New Roman"/>
          <w:color w:val="000000" w:themeColor="text1"/>
          <w:sz w:val="24"/>
          <w:szCs w:val="24"/>
          <w:lang w:val="en-US" w:eastAsia="zh-CN"/>
          <w14:textFill>
            <w14:solidFill>
              <w14:schemeClr w14:val="tx1"/>
            </w14:solidFill>
          </w14:textFill>
        </w:rPr>
        <w:t>582.2</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/d通过管道输送至西成矿业选矿厂供选矿生产使用。</w:t>
      </w:r>
    </w:p>
    <w:p w14:paraId="05AE79A7">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冬季停产期</w:t>
      </w:r>
      <w:r>
        <w:rPr>
          <w:rFonts w:hint="eastAsia" w:cs="Times New Roman"/>
          <w:color w:val="000000" w:themeColor="text1"/>
          <w:sz w:val="24"/>
          <w:lang w:val="en-US" w:eastAsia="zh-CN"/>
          <w14:textFill>
            <w14:solidFill>
              <w14:schemeClr w14:val="tx1"/>
            </w14:solidFill>
          </w14:textFill>
        </w:rPr>
        <w:t>（90天）</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矿井涌水收集沉淀后临时贮存于容积为150000m</w:t>
      </w:r>
      <w:r>
        <w:rPr>
          <w:rFonts w:hint="eastAsia"/>
          <w:color w:val="000000" w:themeColor="text1"/>
          <w:sz w:val="24"/>
          <w:vertAlign w:val="superscript"/>
          <w:lang w:val="en-US" w:eastAsia="zh-CN" w:bidi="ar"/>
          <w14:textFill>
            <w14:solidFill>
              <w14:schemeClr w14:val="tx1"/>
            </w14:solidFill>
          </w14:textFill>
        </w:rPr>
        <w:t>3</w:t>
      </w:r>
      <w:r>
        <w:rPr>
          <w:rFonts w:hint="eastAsia"/>
          <w:color w:val="000000" w:themeColor="text1"/>
          <w:sz w:val="24"/>
          <w:lang w:val="en-US" w:eastAsia="zh-CN" w:bidi="ar"/>
          <w14:textFill>
            <w14:solidFill>
              <w14:schemeClr w14:val="tx1"/>
            </w14:solidFill>
          </w14:textFill>
        </w:rPr>
        <w:t>的蓄水池中，待来年用于采矿和选矿生产、绿化、洒水降尘等。</w:t>
      </w:r>
    </w:p>
    <w:p w14:paraId="5FD08DEE">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.2.2.2地表水环境影响分析</w:t>
      </w:r>
    </w:p>
    <w:p w14:paraId="4756213E">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生活污水处理分析</w:t>
      </w:r>
    </w:p>
    <w:p w14:paraId="0ADAC1A2">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本项目污水处理工艺：生活污水采用地埋式一体化生活污水处理装置处理，其工艺流程见图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-1。</w:t>
      </w:r>
    </w:p>
    <w:p w14:paraId="4591F64D">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snapToGrid/>
          <w:color w:val="000000" w:themeColor="text1"/>
          <w:spacing w:val="0"/>
          <w:kern w:val="0"/>
          <w:position w:val="0"/>
          <w:sz w:val="24"/>
          <w:szCs w:val="24"/>
          <w:highlight w:val="none"/>
          <w14:textFill>
            <w14:solidFill>
              <w14:schemeClr w14:val="tx1"/>
            </w14:solidFill>
          </w14:textFill>
        </w:rPr>
        <w:drawing>
          <wp:inline distT="0" distB="0" distL="114300" distR="114300">
            <wp:extent cx="5231765" cy="2043430"/>
            <wp:effectExtent l="0" t="0" r="0" b="0"/>
            <wp:docPr id="194" name="ECB019B1-382A-4266-B25C-5B523AA43C14-1"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CB019B1-382A-4266-B25C-5B523AA43C14-1" descr="wpsoffice"/>
                    <pic:cNvPicPr>
                      <a:picLocks noChangeAspect="1"/>
                    </pic:cNvPicPr>
                  </pic:nvPicPr>
                  <pic:blipFill>
                    <a:blip r:embed="rId52"/>
                    <a:stretch>
                      <a:fillRect/>
                    </a:stretch>
                  </pic:blipFill>
                  <pic:spPr>
                    <a:xfrm>
                      <a:off x="0" y="0"/>
                      <a:ext cx="5231765" cy="2043430"/>
                    </a:xfrm>
                    <a:prstGeom prst="rect">
                      <a:avLst/>
                    </a:prstGeom>
                    <a:noFill/>
                    <a:ln w="9525" cap="flat" cmpd="sng">
                      <a:noFill/>
                      <a:prstDash val="solid"/>
                      <a:miter/>
                      <a:headEnd type="none" w="med" len="med"/>
                      <a:tailEnd type="none" w="med" len="med"/>
                    </a:ln>
                  </pic:spPr>
                </pic:pic>
              </a:graphicData>
            </a:graphic>
          </wp:inline>
        </w:drawing>
      </w:r>
      <w:r>
        <w:rPr>
          <w:rFonts w:hint="default" w:ascii="Times New Roman" w:hAnsi="Times New Roman" w:eastAsia="宋体" w:cs="Times New Roman"/>
          <w:b/>
          <w:snapToGrid/>
          <w:color w:val="000000" w:themeColor="text1"/>
          <w:spacing w:val="0"/>
          <w:kern w:val="0"/>
          <w:position w:val="0"/>
          <w:sz w:val="24"/>
          <w:szCs w:val="24"/>
          <w:highlight w:val="none"/>
          <w:lang w:val="en-US" w:eastAsia="zh-CN" w:bidi="ar-SA"/>
          <w14:textFill>
            <w14:solidFill>
              <w14:schemeClr w14:val="tx1"/>
            </w14:solidFill>
          </w14:textFill>
        </w:rPr>
        <w:t>图</w:t>
      </w:r>
      <w:r>
        <w:rPr>
          <w:rFonts w:hint="eastAsia" w:ascii="Times New Roman" w:hAnsi="Times New Roman" w:cs="Times New Roman"/>
          <w:b/>
          <w:snapToGrid/>
          <w:color w:val="000000" w:themeColor="text1"/>
          <w:spacing w:val="0"/>
          <w:kern w:val="0"/>
          <w:positio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snapToGrid/>
          <w:color w:val="000000" w:themeColor="text1"/>
          <w:spacing w:val="0"/>
          <w:kern w:val="0"/>
          <w:position w:val="0"/>
          <w:sz w:val="24"/>
          <w:szCs w:val="24"/>
          <w:highlight w:val="none"/>
          <w:lang w:val="en-US" w:eastAsia="zh-CN" w:bidi="ar-SA"/>
          <w14:textFill>
            <w14:solidFill>
              <w14:schemeClr w14:val="tx1"/>
            </w14:solidFill>
          </w14:textFill>
        </w:rPr>
        <w:t>.2-1    地埋式一体化处理装置工艺流程图</w:t>
      </w:r>
    </w:p>
    <w:p w14:paraId="69C94993">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Hans"/>
          <w14:textFill>
            <w14:solidFill>
              <w14:schemeClr w14:val="tx1"/>
            </w14:solidFill>
          </w14:textFill>
        </w:rPr>
        <w:t>水解酸化池将大分子物质转化为小分子物质，将环状结构转化为链状结构，进一步提高了废水的BOD/COD比，增加了废水的可生化性，为后续的好氧生化处理创造条件。接触氧化法是利用栖息其内组合填料表面上生物膜的吸附作用和微生物的代谢作用来达到净化污水的目的，生物膜中的微生物在有氧的条件下将污水中的一部分有机物用于合成新的细胞，将另一部分有机物进行分解代谢以便获得细胞合成所需的能量，其最终产物是二氧化碳和水等稳定物质，在这种合成代谢和分解代谢过程中，溶解性有机物直接进入细胞内部被利用，而非溶解性有机物则首先被吸附在微生物表面，然后被酶水解后进入细胞内部被利用。微生物的好氧代谢对污水中的溶解性有机物和非溶解性有机物都起作用，并且代谢产物是无害的稳定物质。生化后的污水流到沉淀池，排泥提升至污泥池，沉淀池出水排放到消毒池，在消毒池中进行消毒，使废水中粪大肠菌群数达标排放。污泥经提升至污泥池进行厌氧消化，污泥池的上清</w:t>
      </w:r>
      <w:r>
        <w:rPr>
          <w:rFonts w:hint="eastAsia" w:cs="Times New Roman"/>
          <w:color w:val="000000" w:themeColor="text1"/>
          <w:sz w:val="24"/>
          <w:szCs w:val="24"/>
          <w:lang w:val="en-US" w:eastAsia="zh-CN"/>
          <w14:textFill>
            <w14:solidFill>
              <w14:schemeClr w14:val="tx1"/>
            </w14:solidFill>
          </w14:textFill>
        </w:rPr>
        <w:t>液</w:t>
      </w:r>
      <w:r>
        <w:rPr>
          <w:rFonts w:hint="default" w:ascii="Times New Roman" w:hAnsi="Times New Roman" w:eastAsia="宋体" w:cs="Times New Roman"/>
          <w:color w:val="000000" w:themeColor="text1"/>
          <w:sz w:val="24"/>
          <w:szCs w:val="24"/>
          <w:lang w:eastAsia="zh-Hans"/>
          <w14:textFill>
            <w14:solidFill>
              <w14:schemeClr w14:val="tx1"/>
            </w14:solidFill>
          </w14:textFill>
        </w:rPr>
        <w:t>回流至接触氧化池内进行再处理。污泥池剩余污泥很少，一般几个月清理一次，清理方法可用吸粪车从污泥池的检查孔伸入污泥池底部进行抽吸。</w:t>
      </w:r>
    </w:p>
    <w:p w14:paraId="6EAF0C99">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本项目生活污水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产生量</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6.4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160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现有</w:t>
      </w:r>
      <w:r>
        <w:rPr>
          <w:rFonts w:hint="eastAsia" w:ascii="Times New Roman" w:hAnsi="Times New Roman" w:eastAsia="宋体" w:cs="Times New Roman"/>
          <w:color w:val="000000" w:themeColor="text1"/>
          <w:sz w:val="24"/>
          <w:szCs w:val="24"/>
          <w14:textFill>
            <w14:solidFill>
              <w14:schemeClr w14:val="tx1"/>
            </w14:solidFill>
          </w14:textFill>
        </w:rPr>
        <w:t>地埋式</w:t>
      </w:r>
      <w:r>
        <w:rPr>
          <w:rFonts w:hint="default" w:ascii="Times New Roman" w:hAnsi="Times New Roman" w:eastAsia="宋体" w:cs="Times New Roman"/>
          <w:color w:val="000000" w:themeColor="text1"/>
          <w:sz w:val="24"/>
          <w:szCs w:val="24"/>
          <w14:textFill>
            <w14:solidFill>
              <w14:schemeClr w14:val="tx1"/>
            </w14:solidFill>
          </w14:textFill>
        </w:rPr>
        <w:t>一体化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污水</w:t>
      </w:r>
      <w:r>
        <w:rPr>
          <w:rFonts w:hint="default" w:ascii="Times New Roman" w:hAnsi="Times New Roman" w:eastAsia="宋体" w:cs="Times New Roman"/>
          <w:color w:val="000000" w:themeColor="text1"/>
          <w:sz w:val="24"/>
          <w:szCs w:val="24"/>
          <w14:textFill>
            <w14:solidFill>
              <w14:schemeClr w14:val="tx1"/>
            </w14:solidFill>
          </w14:textFill>
        </w:rPr>
        <w:t>处理设施</w:t>
      </w:r>
      <w:r>
        <w:rPr>
          <w:rFonts w:hint="eastAsia" w:cs="Times New Roman"/>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14:textFill>
            <w14:solidFill>
              <w14:schemeClr w14:val="tx1"/>
            </w14:solidFill>
          </w14:textFill>
        </w:rPr>
        <w:t>规模为20m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，在其处理负荷范围内。生活污水采用该设备处理后可达到</w:t>
      </w:r>
      <w:r>
        <w:rPr>
          <w:rFonts w:ascii="Times New Roman" w:hAnsi="Times New Roman" w:eastAsiaTheme="minorEastAsia"/>
          <w:color w:val="000000" w:themeColor="text1"/>
          <w:sz w:val="24"/>
          <w:szCs w:val="24"/>
          <w14:textFill>
            <w14:solidFill>
              <w14:schemeClr w14:val="tx1"/>
            </w14:solidFill>
          </w14:textFill>
        </w:rPr>
        <w:t>《农村生活污水处理排放标准》（DB65 4275-2019）中A级标准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灌溉期用于矿</w:t>
      </w:r>
      <w:r>
        <w:rPr>
          <w:rFonts w:hint="eastAsia" w:cs="Times New Roman"/>
          <w:color w:val="000000" w:themeColor="text1"/>
          <w:sz w:val="24"/>
          <w:szCs w:val="24"/>
          <w:lang w:val="en-US" w:eastAsia="zh-CN"/>
          <w14:textFill>
            <w14:solidFill>
              <w14:schemeClr w14:val="tx1"/>
            </w14:solidFill>
          </w14:textFill>
        </w:rPr>
        <w:t>区</w:t>
      </w:r>
      <w:r>
        <w:rPr>
          <w:rFonts w:hint="eastAsia" w:ascii="Times New Roman" w:hAnsi="Times New Roman" w:eastAsia="宋体" w:cs="Times New Roman"/>
          <w:color w:val="000000" w:themeColor="text1"/>
          <w:sz w:val="24"/>
          <w:szCs w:val="24"/>
          <w14:textFill>
            <w14:solidFill>
              <w14:schemeClr w14:val="tx1"/>
            </w14:solidFill>
          </w14:textFill>
        </w:rPr>
        <w:t>绿化，非灌溉期</w:t>
      </w:r>
      <w:r>
        <w:rPr>
          <w:rFonts w:hint="default" w:ascii="Times New Roman" w:hAnsi="Times New Roman" w:eastAsia="宋体" w:cs="Times New Roman"/>
          <w:color w:val="000000" w:themeColor="text1"/>
          <w:sz w:val="24"/>
          <w:szCs w:val="24"/>
          <w14:textFill>
            <w14:solidFill>
              <w14:schemeClr w14:val="tx1"/>
            </w14:solidFill>
          </w14:textFill>
        </w:rPr>
        <w:t>输送至</w:t>
      </w:r>
      <w:r>
        <w:rPr>
          <w:rFonts w:hint="eastAsia" w:ascii="Times New Roman" w:hAnsi="Times New Roman" w:eastAsia="宋体" w:cs="Times New Roman"/>
          <w:color w:val="000000" w:themeColor="text1"/>
          <w:sz w:val="24"/>
          <w:szCs w:val="24"/>
          <w14:textFill>
            <w14:solidFill>
              <w14:schemeClr w14:val="tx1"/>
            </w14:solidFill>
          </w14:textFill>
        </w:rPr>
        <w:t>选矿厂用于选矿生产</w:t>
      </w:r>
      <w:r>
        <w:rPr>
          <w:rFonts w:hint="default" w:ascii="Times New Roman" w:hAnsi="Times New Roman" w:eastAsia="宋体" w:cs="Times New Roman"/>
          <w:color w:val="000000" w:themeColor="text1"/>
          <w:sz w:val="24"/>
          <w:szCs w:val="24"/>
          <w14:textFill>
            <w14:solidFill>
              <w14:schemeClr w14:val="tx1"/>
            </w14:solidFill>
          </w14:textFill>
        </w:rPr>
        <w:t>。</w:t>
      </w:r>
    </w:p>
    <w:p w14:paraId="61704EAE">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highlight w:val="none"/>
          <w:lang w:val="en-US" w:eastAsia="zh-CN" w:bidi="ar"/>
          <w14:textFill>
            <w14:solidFill>
              <w14:schemeClr w14:val="tx1"/>
            </w14:solidFill>
          </w14:textFill>
        </w:rPr>
        <w:t>变更</w:t>
      </w:r>
      <w:r>
        <w:rPr>
          <w:rFonts w:hint="default" w:ascii="Times New Roman" w:hAnsi="Times New Roman" w:cs="Times New Roman"/>
          <w:color w:val="000000" w:themeColor="text1"/>
          <w:sz w:val="24"/>
          <w:szCs w:val="24"/>
          <w:highlight w:val="none"/>
          <w:lang w:val="en-US" w:eastAsia="zh-CN" w:bidi="ar"/>
          <w14:textFill>
            <w14:solidFill>
              <w14:schemeClr w14:val="tx1"/>
            </w14:solidFill>
          </w14:textFill>
        </w:rPr>
        <w:t>后采矿区</w:t>
      </w:r>
      <w:r>
        <w:rPr>
          <w:rFonts w:hint="default" w:ascii="Times New Roman" w:hAnsi="Times New Roman" w:cs="Times New Roman"/>
          <w:color w:val="000000" w:themeColor="text1"/>
          <w:sz w:val="24"/>
          <w:szCs w:val="24"/>
          <w:highlight w:val="none"/>
          <w:lang w:eastAsia="zh-CN" w:bidi="ar"/>
          <w14:textFill>
            <w14:solidFill>
              <w14:schemeClr w14:val="tx1"/>
            </w14:solidFill>
          </w14:textFill>
        </w:rPr>
        <w:t>生活污水产生量</w:t>
      </w:r>
      <w:r>
        <w:rPr>
          <w:rFonts w:hint="default" w:ascii="Times New Roman" w:hAnsi="Times New Roman" w:cs="Times New Roman"/>
          <w:color w:val="000000" w:themeColor="text1"/>
          <w:sz w:val="24"/>
          <w:szCs w:val="24"/>
          <w:highlight w:val="none"/>
          <w:lang w:val="en-US" w:eastAsia="zh-CN" w:bidi="ar"/>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地埋式一体化生活污水处理设施处理能力，现生活污水处理设施正常运行</w:t>
      </w:r>
      <w:r>
        <w:rPr>
          <w:rFonts w:hint="eastAsia" w:cs="Times New Roman"/>
          <w:color w:val="000000" w:themeColor="text1"/>
          <w:sz w:val="24"/>
          <w:szCs w:val="24"/>
          <w:highlight w:val="none"/>
          <w:lang w:val="en-US" w:eastAsia="zh-CN"/>
          <w14:textFill>
            <w14:solidFill>
              <w14:schemeClr w14:val="tx1"/>
            </w14:solidFill>
          </w14:textFill>
        </w:rPr>
        <w:t>，生活污水污染防治措施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可行。</w:t>
      </w:r>
    </w:p>
    <w:p w14:paraId="7B782D48">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（2）生产废水处理分析</w:t>
      </w:r>
    </w:p>
    <w:p w14:paraId="490BEA52">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szCs w:val="28"/>
          <w14:textFill>
            <w14:solidFill>
              <w14:schemeClr w14:val="tx1"/>
            </w14:solidFill>
          </w14:textFill>
        </w:rPr>
        <w:t>本项目生产废水为矿井涌水。</w:t>
      </w:r>
      <w:r>
        <w:rPr>
          <w:rFonts w:hint="default" w:ascii="Times New Roman" w:hAnsi="Times New Roman" w:eastAsia="宋体" w:cs="Times New Roman"/>
          <w:color w:val="000000" w:themeColor="text1"/>
          <w:sz w:val="24"/>
          <w:szCs w:val="24"/>
          <w14:textFill>
            <w14:solidFill>
              <w14:schemeClr w14:val="tx1"/>
            </w14:solidFill>
          </w14:textFill>
        </w:rPr>
        <w:t>根据开发利用方案、矿山水文地质资料，矿区900m标高正常涌水量1500m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/d，最大涌水量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14:textFill>
            <w14:solidFill>
              <w14:schemeClr w14:val="tx1"/>
            </w14:solidFill>
          </w14:textFill>
        </w:rPr>
        <w:t>1600m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根据经验，</w:t>
      </w:r>
      <w:r>
        <w:rPr>
          <w:rFonts w:hint="default" w:ascii="Times New Roman" w:hAnsi="Times New Roman" w:eastAsia="宋体" w:cs="Times New Roman"/>
          <w:color w:val="000000" w:themeColor="text1"/>
          <w:sz w:val="24"/>
          <w:szCs w:val="24"/>
          <w14:textFill>
            <w14:solidFill>
              <w14:schemeClr w14:val="tx1"/>
            </w14:solidFill>
          </w14:textFill>
        </w:rPr>
        <w:t>矿井涌水中仅悬浮物浓度偏大，污水水质较为简单，无毒无害。</w:t>
      </w:r>
      <w:r>
        <w:rPr>
          <w:rFonts w:hint="eastAsia"/>
          <w:color w:val="000000" w:themeColor="text1"/>
          <w:sz w:val="24"/>
          <w:szCs w:val="28"/>
          <w14:textFill>
            <w14:solidFill>
              <w14:schemeClr w14:val="tx1"/>
            </w14:solidFill>
          </w14:textFill>
        </w:rPr>
        <w:t>矿井涌水抽排至地表</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采用沉淀池混凝沉淀处理，沉淀池容积为</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净化后的矿井涌水用于井下凿岩、降尘及消防、绿化、废石堆场和排土场洒水降尘，其余</w:t>
      </w:r>
      <w:r>
        <w:rPr>
          <w:rFonts w:hint="eastAsia"/>
          <w:color w:val="000000" w:themeColor="text1"/>
          <w:sz w:val="24"/>
          <w:szCs w:val="28"/>
          <w14:textFill>
            <w14:solidFill>
              <w14:schemeClr w14:val="tx1"/>
            </w14:solidFill>
          </w14:textFill>
        </w:rPr>
        <w:t>通过管道输送至西成矿业选矿厂供选矿生产使用。</w:t>
      </w:r>
    </w:p>
    <w:p w14:paraId="0CB2970E">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开采期第1年至第8年9个月，</w:t>
      </w:r>
      <w:r>
        <w:rPr>
          <w:rFonts w:hint="eastAsia"/>
          <w:color w:val="000000" w:themeColor="text1"/>
          <w:sz w:val="24"/>
          <w:szCs w:val="28"/>
          <w14:textFill>
            <w14:solidFill>
              <w14:schemeClr w14:val="tx1"/>
            </w14:solidFill>
          </w14:textFill>
        </w:rPr>
        <w:t>灌溉期矿井涌水</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池沉淀及净化处理后，约9</w:t>
      </w:r>
      <w:r>
        <w:rPr>
          <w:color w:val="000000" w:themeColor="text1"/>
          <w:sz w:val="24"/>
          <w:szCs w:val="28"/>
          <w14:textFill>
            <w14:solidFill>
              <w14:schemeClr w14:val="tx1"/>
            </w14:solidFill>
          </w14:textFill>
        </w:rPr>
        <w:t>60</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回用于井下作为湿式凿岩、喷雾洒水及消防等生产用水，约</w:t>
      </w:r>
      <w:r>
        <w:rPr>
          <w:rFonts w:hint="eastAsia"/>
          <w:color w:val="000000" w:themeColor="text1"/>
          <w:sz w:val="24"/>
          <w:szCs w:val="28"/>
          <w:lang w:val="en-US" w:eastAsia="zh-CN"/>
          <w14:textFill>
            <w14:solidFill>
              <w14:schemeClr w14:val="tx1"/>
            </w14:solidFill>
          </w14:textFill>
        </w:rPr>
        <w:t>122.8</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/d用作绿化、洒水降尘，</w:t>
      </w:r>
      <w:r>
        <w:rPr>
          <w:rFonts w:hint="eastAsia"/>
          <w:color w:val="000000" w:themeColor="text1"/>
          <w:sz w:val="24"/>
          <w:szCs w:val="28"/>
          <w:lang w:val="en-US" w:eastAsia="zh-CN"/>
          <w14:textFill>
            <w14:solidFill>
              <w14:schemeClr w14:val="tx1"/>
            </w14:solidFill>
          </w14:textFill>
        </w:rPr>
        <w:t>其余517.2</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/d矿井涌水经混凝沉淀处理后通过管道输送至西成矿业选矿厂供选矿生产使用。</w:t>
      </w:r>
      <w:r>
        <w:rPr>
          <w:rFonts w:hint="eastAsia"/>
          <w:color w:val="000000" w:themeColor="text1"/>
          <w:sz w:val="24"/>
          <w:szCs w:val="28"/>
          <w:lang w:val="en-US" w:eastAsia="zh-CN"/>
          <w14:textFill>
            <w14:solidFill>
              <w14:schemeClr w14:val="tx1"/>
            </w14:solidFill>
          </w14:textFill>
        </w:rPr>
        <w:t>开采期第8年10个月至开采期结束，</w:t>
      </w:r>
      <w:r>
        <w:rPr>
          <w:rFonts w:hint="eastAsia"/>
          <w:color w:val="000000" w:themeColor="text1"/>
          <w:sz w:val="24"/>
          <w:szCs w:val="28"/>
          <w14:textFill>
            <w14:solidFill>
              <w14:schemeClr w14:val="tx1"/>
            </w14:solidFill>
          </w14:textFill>
        </w:rPr>
        <w:t>灌溉期矿井涌水</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池沉淀及净化处理后，约9</w:t>
      </w:r>
      <w:r>
        <w:rPr>
          <w:color w:val="000000" w:themeColor="text1"/>
          <w:sz w:val="24"/>
          <w:szCs w:val="28"/>
          <w14:textFill>
            <w14:solidFill>
              <w14:schemeClr w14:val="tx1"/>
            </w14:solidFill>
          </w14:textFill>
        </w:rPr>
        <w:t>60</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回用于井下作为湿式凿岩、喷雾洒水及消防等生产用水，约</w:t>
      </w:r>
      <w:r>
        <w:rPr>
          <w:rFonts w:hint="eastAsia"/>
          <w:color w:val="000000" w:themeColor="text1"/>
          <w:sz w:val="24"/>
          <w:szCs w:val="28"/>
          <w:lang w:val="en-US" w:eastAsia="zh-CN"/>
          <w14:textFill>
            <w14:solidFill>
              <w14:schemeClr w14:val="tx1"/>
            </w14:solidFill>
          </w14:textFill>
        </w:rPr>
        <w:t>105.2</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/d用作绿化、洒水降尘，</w:t>
      </w:r>
      <w:r>
        <w:rPr>
          <w:rFonts w:hint="eastAsia"/>
          <w:color w:val="000000" w:themeColor="text1"/>
          <w:sz w:val="24"/>
          <w:szCs w:val="28"/>
          <w:lang w:val="en-US" w:eastAsia="zh-CN"/>
          <w14:textFill>
            <w14:solidFill>
              <w14:schemeClr w14:val="tx1"/>
            </w14:solidFill>
          </w14:textFill>
        </w:rPr>
        <w:t>其余534.8</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/d矿井涌水经混凝沉淀处理后通过管道输送至西成矿业选矿厂供选矿生产使用。</w:t>
      </w:r>
    </w:p>
    <w:p w14:paraId="67B1708B">
      <w:pPr>
        <w:pStyle w:val="18"/>
        <w:spacing w:line="480" w:lineRule="exact"/>
        <w:ind w:firstLine="480"/>
        <w:rPr>
          <w:rFonts w:hint="eastAsia"/>
          <w:color w:val="000000" w:themeColor="text1"/>
          <w:sz w:val="24"/>
          <w:szCs w:val="28"/>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开采期第1年至第8年9个月，非</w:t>
      </w:r>
      <w:r>
        <w:rPr>
          <w:rFonts w:hint="eastAsia"/>
          <w:color w:val="000000" w:themeColor="text1"/>
          <w:sz w:val="24"/>
          <w:szCs w:val="28"/>
          <w14:textFill>
            <w14:solidFill>
              <w14:schemeClr w14:val="tx1"/>
            </w14:solidFill>
          </w14:textFill>
        </w:rPr>
        <w:t>灌溉期矿井涌水</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池沉淀及净化处理后，约9</w:t>
      </w:r>
      <w:r>
        <w:rPr>
          <w:color w:val="000000" w:themeColor="text1"/>
          <w:sz w:val="24"/>
          <w:szCs w:val="28"/>
          <w14:textFill>
            <w14:solidFill>
              <w14:schemeClr w14:val="tx1"/>
            </w14:solidFill>
          </w14:textFill>
        </w:rPr>
        <w:t>60</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回用于井下作为湿式凿岩、喷雾洒水及消防等生产用水，约</w:t>
      </w:r>
      <w:r>
        <w:rPr>
          <w:rFonts w:hint="eastAsia"/>
          <w:color w:val="000000" w:themeColor="text1"/>
          <w:sz w:val="24"/>
          <w:szCs w:val="28"/>
          <w:lang w:val="en-US" w:eastAsia="zh-CN"/>
          <w14:textFill>
            <w14:solidFill>
              <w14:schemeClr w14:val="tx1"/>
            </w14:solidFill>
          </w14:textFill>
        </w:rPr>
        <w:t>44.8</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lang w:val="en-US" w:eastAsia="zh-CN"/>
          <w14:textFill>
            <w14:solidFill>
              <w14:schemeClr w14:val="tx1"/>
            </w14:solidFill>
          </w14:textFill>
        </w:rPr>
        <w:t>用于废石堆场降尘，其余577.6</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w:t>
      </w:r>
      <w:r>
        <w:rPr>
          <w:rFonts w:hint="eastAsia"/>
          <w:color w:val="000000" w:themeColor="text1"/>
          <w:sz w:val="24"/>
          <w:szCs w:val="28"/>
          <w:lang w:val="en-US" w:eastAsia="zh-CN"/>
          <w14:textFill>
            <w14:solidFill>
              <w14:schemeClr w14:val="tx1"/>
            </w14:solidFill>
          </w14:textFill>
        </w:rPr>
        <w:t>矿井涌水与</w:t>
      </w:r>
      <w:r>
        <w:rPr>
          <w:rFonts w:hint="eastAsia"/>
          <w:color w:val="000000" w:themeColor="text1"/>
          <w:sz w:val="24"/>
          <w:lang w:val="en-US" w:eastAsia="zh-CN" w:bidi="ar"/>
          <w14:textFill>
            <w14:solidFill>
              <w14:schemeClr w14:val="tx1"/>
            </w14:solidFill>
          </w14:textFill>
        </w:rPr>
        <w:t>6.4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处理后的生活污水通过</w:t>
      </w:r>
      <w:r>
        <w:rPr>
          <w:rFonts w:hint="eastAsia"/>
          <w:color w:val="000000" w:themeColor="text1"/>
          <w:sz w:val="24"/>
          <w:szCs w:val="28"/>
          <w14:textFill>
            <w14:solidFill>
              <w14:schemeClr w14:val="tx1"/>
            </w14:solidFill>
          </w14:textFill>
        </w:rPr>
        <w:t>管道输送至西成矿业选矿厂供选矿生产使用。</w:t>
      </w:r>
      <w:r>
        <w:rPr>
          <w:rFonts w:hint="eastAsia"/>
          <w:color w:val="000000" w:themeColor="text1"/>
          <w:sz w:val="24"/>
          <w:szCs w:val="28"/>
          <w:lang w:val="en-US" w:eastAsia="zh-CN"/>
          <w14:textFill>
            <w14:solidFill>
              <w14:schemeClr w14:val="tx1"/>
            </w14:solidFill>
          </w14:textFill>
        </w:rPr>
        <w:t>开采期第8年10个月至开采期结束，非</w:t>
      </w:r>
      <w:r>
        <w:rPr>
          <w:rFonts w:hint="eastAsia"/>
          <w:color w:val="000000" w:themeColor="text1"/>
          <w:sz w:val="24"/>
          <w:szCs w:val="28"/>
          <w14:textFill>
            <w14:solidFill>
              <w14:schemeClr w14:val="tx1"/>
            </w14:solidFill>
          </w14:textFill>
        </w:rPr>
        <w:t>灌溉期矿井涌水</w:t>
      </w:r>
      <w:r>
        <w:rPr>
          <w:rFonts w:hint="eastAsia"/>
          <w:color w:val="000000" w:themeColor="text1"/>
          <w:sz w:val="24"/>
          <w:szCs w:val="28"/>
          <w:lang w:eastAsia="zh-CN"/>
          <w14:textFill>
            <w14:solidFill>
              <w14:schemeClr w14:val="tx1"/>
            </w14:solidFill>
          </w14:textFill>
        </w:rPr>
        <w:t>沉淀</w:t>
      </w:r>
      <w:r>
        <w:rPr>
          <w:rFonts w:hint="eastAsia"/>
          <w:color w:val="000000" w:themeColor="text1"/>
          <w:sz w:val="24"/>
          <w:szCs w:val="28"/>
          <w14:textFill>
            <w14:solidFill>
              <w14:schemeClr w14:val="tx1"/>
            </w14:solidFill>
          </w14:textFill>
        </w:rPr>
        <w:t>池沉淀及净化处理后，约9</w:t>
      </w:r>
      <w:r>
        <w:rPr>
          <w:color w:val="000000" w:themeColor="text1"/>
          <w:sz w:val="24"/>
          <w:szCs w:val="28"/>
          <w14:textFill>
            <w14:solidFill>
              <w14:schemeClr w14:val="tx1"/>
            </w14:solidFill>
          </w14:textFill>
        </w:rPr>
        <w:t>60</w:t>
      </w:r>
      <w:r>
        <w:rPr>
          <w:rFonts w:hint="eastAsia"/>
          <w:color w:val="000000" w:themeColor="text1"/>
          <w:sz w:val="24"/>
          <w:szCs w:val="28"/>
          <w14:textFill>
            <w14:solidFill>
              <w14:schemeClr w14:val="tx1"/>
            </w14:solidFill>
          </w14:textFill>
        </w:rPr>
        <w:t>m</w:t>
      </w:r>
      <w:r>
        <w:rPr>
          <w:color w:val="000000" w:themeColor="text1"/>
          <w:sz w:val="24"/>
          <w:szCs w:val="28"/>
          <w:vertAlign w:val="superscript"/>
          <w14:textFill>
            <w14:solidFill>
              <w14:schemeClr w14:val="tx1"/>
            </w14:solidFill>
          </w14:textFill>
        </w:rPr>
        <w:t>3</w:t>
      </w:r>
      <w:r>
        <w:rPr>
          <w:color w:val="000000" w:themeColor="text1"/>
          <w:sz w:val="24"/>
          <w:szCs w:val="28"/>
          <w14:textFill>
            <w14:solidFill>
              <w14:schemeClr w14:val="tx1"/>
            </w14:solidFill>
          </w14:textFill>
        </w:rPr>
        <w:t>/d</w:t>
      </w:r>
      <w:r>
        <w:rPr>
          <w:rFonts w:hint="eastAsia"/>
          <w:color w:val="000000" w:themeColor="text1"/>
          <w:sz w:val="24"/>
          <w:szCs w:val="28"/>
          <w14:textFill>
            <w14:solidFill>
              <w14:schemeClr w14:val="tx1"/>
            </w14:solidFill>
          </w14:textFill>
        </w:rPr>
        <w:t>回用于井下作为湿式凿岩、喷雾洒水及消防等生产用水，约</w:t>
      </w:r>
      <w:r>
        <w:rPr>
          <w:rFonts w:hint="eastAsia"/>
          <w:color w:val="000000" w:themeColor="text1"/>
          <w:sz w:val="24"/>
          <w:szCs w:val="28"/>
          <w:lang w:val="en-US" w:eastAsia="zh-CN"/>
          <w14:textFill>
            <w14:solidFill>
              <w14:schemeClr w14:val="tx1"/>
            </w14:solidFill>
          </w14:textFill>
        </w:rPr>
        <w:t>595.2</w:t>
      </w:r>
      <w:r>
        <w:rPr>
          <w:rFonts w:hint="eastAsia"/>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3</w:t>
      </w:r>
      <w:r>
        <w:rPr>
          <w:rFonts w:hint="eastAsia"/>
          <w:color w:val="000000" w:themeColor="text1"/>
          <w:sz w:val="24"/>
          <w:szCs w:val="28"/>
          <w14:textFill>
            <w14:solidFill>
              <w14:schemeClr w14:val="tx1"/>
            </w14:solidFill>
          </w14:textFill>
        </w:rPr>
        <w:t>/d</w:t>
      </w:r>
      <w:r>
        <w:rPr>
          <w:rFonts w:hint="eastAsia"/>
          <w:color w:val="000000" w:themeColor="text1"/>
          <w:sz w:val="24"/>
          <w:szCs w:val="28"/>
          <w:lang w:val="en-US" w:eastAsia="zh-CN"/>
          <w14:textFill>
            <w14:solidFill>
              <w14:schemeClr w14:val="tx1"/>
            </w14:solidFill>
          </w14:textFill>
        </w:rPr>
        <w:t>矿井涌水与</w:t>
      </w:r>
      <w:r>
        <w:rPr>
          <w:rFonts w:hint="eastAsia"/>
          <w:color w:val="000000" w:themeColor="text1"/>
          <w:sz w:val="24"/>
          <w:lang w:val="en-US" w:eastAsia="zh-CN" w:bidi="ar"/>
          <w14:textFill>
            <w14:solidFill>
              <w14:schemeClr w14:val="tx1"/>
            </w14:solidFill>
          </w14:textFill>
        </w:rPr>
        <w:t>6.4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处理后的生活污水通过</w:t>
      </w:r>
      <w:r>
        <w:rPr>
          <w:rFonts w:hint="eastAsia"/>
          <w:color w:val="000000" w:themeColor="text1"/>
          <w:sz w:val="24"/>
          <w:szCs w:val="28"/>
          <w14:textFill>
            <w14:solidFill>
              <w14:schemeClr w14:val="tx1"/>
            </w14:solidFill>
          </w14:textFill>
        </w:rPr>
        <w:t>管道输送至西成矿业选矿厂供选矿生产使用。</w:t>
      </w:r>
    </w:p>
    <w:p w14:paraId="2BAD36CA">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eastAsia"/>
          <w:color w:val="000000" w:themeColor="text1"/>
          <w:sz w:val="24"/>
          <w:szCs w:val="28"/>
          <w:lang w:eastAsia="zh-CN"/>
          <w14:textFill>
            <w14:solidFill>
              <w14:schemeClr w14:val="tx1"/>
            </w14:solidFill>
          </w14:textFill>
        </w:rPr>
      </w:pPr>
      <w:r>
        <w:rPr>
          <w:rFonts w:hint="eastAsia"/>
          <w:color w:val="000000" w:themeColor="text1"/>
          <w:sz w:val="24"/>
          <w:szCs w:val="28"/>
          <w:lang w:val="en-US" w:eastAsia="zh-CN"/>
          <w14:textFill>
            <w14:solidFill>
              <w14:schemeClr w14:val="tx1"/>
            </w14:solidFill>
          </w14:textFill>
        </w:rPr>
        <w:t>冬季停产期（每年12月-次年2月）90天，矿井涌水经收集后，临时贮存于蓄水池中，待来年生产期用于绿化灌溉、选矿生产、废石堆场及道路洒水抑尘。</w:t>
      </w:r>
    </w:p>
    <w:p w14:paraId="3B477D6A">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eastAsia" w:ascii="Times New Roman" w:hAnsi="Times New Roman" w:cs="Times New Roman"/>
          <w:color w:val="000000" w:themeColor="text1"/>
          <w:sz w:val="24"/>
          <w:szCs w:val="24"/>
          <w:highlight w:val="none"/>
          <w:lang w:val="en-US" w:eastAsia="zh-CN" w:bidi="ar"/>
          <w14:textFill>
            <w14:solidFill>
              <w14:schemeClr w14:val="tx1"/>
            </w14:solidFill>
          </w14:textFill>
        </w:rPr>
      </w:pPr>
      <w:r>
        <w:rPr>
          <w:rFonts w:hint="eastAsia"/>
          <w:color w:val="000000" w:themeColor="text1"/>
          <w:sz w:val="24"/>
          <w:lang w:val="en-US" w:eastAsia="zh-CN" w:bidi="ar"/>
          <w14:textFill>
            <w14:solidFill>
              <w14:schemeClr w14:val="tx1"/>
            </w14:solidFill>
          </w14:textFill>
        </w:rPr>
        <w:t>1号</w:t>
      </w:r>
      <w:r>
        <w:rPr>
          <w:rFonts w:hint="eastAsia"/>
          <w:color w:val="000000" w:themeColor="text1"/>
          <w:sz w:val="24"/>
          <w:lang w:bidi="ar"/>
          <w14:textFill>
            <w14:solidFill>
              <w14:schemeClr w14:val="tx1"/>
            </w14:solidFill>
          </w14:textFill>
        </w:rPr>
        <w:t>废石堆场抑尘用水量为</w:t>
      </w:r>
      <w:r>
        <w:rPr>
          <w:rFonts w:hint="eastAsia"/>
          <w:color w:val="000000" w:themeColor="text1"/>
          <w:sz w:val="24"/>
          <w:lang w:val="en-US" w:eastAsia="zh-CN" w:bidi="ar"/>
          <w14:textFill>
            <w14:solidFill>
              <w14:schemeClr w14:val="tx1"/>
            </w14:solidFill>
          </w14:textFill>
        </w:rPr>
        <w:t>62.4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15600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val="en-US" w:eastAsia="zh-CN" w:bidi="ar"/>
          <w14:textFill>
            <w14:solidFill>
              <w14:schemeClr w14:val="tx1"/>
            </w14:solidFill>
          </w14:textFill>
        </w:rPr>
        <w:t>2号</w:t>
      </w:r>
      <w:r>
        <w:rPr>
          <w:rFonts w:hint="eastAsia"/>
          <w:color w:val="000000" w:themeColor="text1"/>
          <w:sz w:val="24"/>
          <w:lang w:bidi="ar"/>
          <w14:textFill>
            <w14:solidFill>
              <w14:schemeClr w14:val="tx1"/>
            </w14:solidFill>
          </w14:textFill>
        </w:rPr>
        <w:t>废石堆场抑尘用水量为</w:t>
      </w:r>
      <w:r>
        <w:rPr>
          <w:rFonts w:hint="eastAsia"/>
          <w:color w:val="000000" w:themeColor="text1"/>
          <w:sz w:val="24"/>
          <w:lang w:val="en-US" w:eastAsia="zh-CN" w:bidi="ar"/>
          <w14:textFill>
            <w14:solidFill>
              <w14:schemeClr w14:val="tx1"/>
            </w14:solidFill>
          </w14:textFill>
        </w:rPr>
        <w:t>44.8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11200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bidi="ar"/>
          <w14:textFill>
            <w14:solidFill>
              <w14:schemeClr w14:val="tx1"/>
            </w14:solidFill>
          </w14:textFill>
        </w:rPr>
        <w:t>矿区道路抑尘用水量为</w:t>
      </w:r>
      <w:r>
        <w:rPr>
          <w:color w:val="000000" w:themeColor="text1"/>
          <w:sz w:val="24"/>
          <w:lang w:bidi="ar"/>
          <w14:textFill>
            <w14:solidFill>
              <w14:schemeClr w14:val="tx1"/>
            </w14:solidFill>
          </w14:textFill>
        </w:rPr>
        <w:t>40.4</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color w:val="000000" w:themeColor="text1"/>
          <w:sz w:val="24"/>
          <w:lang w:bidi="ar"/>
          <w14:textFill>
            <w14:solidFill>
              <w14:schemeClr w14:val="tx1"/>
            </w14:solidFill>
          </w14:textFill>
        </w:rPr>
        <w:t>7272</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开采期第1年至第8年9个月，</w:t>
      </w:r>
      <w:r>
        <w:rPr>
          <w:rFonts w:hint="eastAsia"/>
          <w:color w:val="000000" w:themeColor="text1"/>
          <w:sz w:val="24"/>
          <w:lang w:bidi="ar"/>
          <w14:textFill>
            <w14:solidFill>
              <w14:schemeClr w14:val="tx1"/>
            </w14:solidFill>
          </w14:textFill>
        </w:rPr>
        <w:t>废石堆场及道路洒水降尘合计</w:t>
      </w:r>
      <w:r>
        <w:rPr>
          <w:rFonts w:hint="eastAsia"/>
          <w:color w:val="000000" w:themeColor="text1"/>
          <w:sz w:val="24"/>
          <w:lang w:val="en-US" w:eastAsia="zh-CN" w:bidi="ar"/>
          <w14:textFill>
            <w14:solidFill>
              <w14:schemeClr w14:val="tx1"/>
            </w14:solidFill>
          </w14:textFill>
        </w:rPr>
        <w:t>用水量102.8</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22872</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开采期第8年10个月至开采期结束，</w:t>
      </w:r>
      <w:r>
        <w:rPr>
          <w:rFonts w:hint="eastAsia"/>
          <w:color w:val="000000" w:themeColor="text1"/>
          <w:sz w:val="24"/>
          <w:lang w:bidi="ar"/>
          <w14:textFill>
            <w14:solidFill>
              <w14:schemeClr w14:val="tx1"/>
            </w14:solidFill>
          </w14:textFill>
        </w:rPr>
        <w:t>废石堆场及道路洒水降尘合计</w:t>
      </w:r>
      <w:r>
        <w:rPr>
          <w:rFonts w:hint="eastAsia"/>
          <w:color w:val="000000" w:themeColor="text1"/>
          <w:sz w:val="24"/>
          <w:lang w:val="en-US" w:eastAsia="zh-CN" w:bidi="ar"/>
          <w14:textFill>
            <w14:solidFill>
              <w14:schemeClr w14:val="tx1"/>
            </w14:solidFill>
          </w14:textFill>
        </w:rPr>
        <w:t>用水量85.2</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/d（</w:t>
      </w:r>
      <w:r>
        <w:rPr>
          <w:rFonts w:hint="eastAsia"/>
          <w:color w:val="000000" w:themeColor="text1"/>
          <w:sz w:val="24"/>
          <w:lang w:val="en-US" w:eastAsia="zh-CN" w:bidi="ar"/>
          <w14:textFill>
            <w14:solidFill>
              <w14:schemeClr w14:val="tx1"/>
            </w14:solidFill>
          </w14:textFill>
        </w:rPr>
        <w:t>18472</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3</w:t>
      </w:r>
      <w:r>
        <w:rPr>
          <w:rFonts w:hint="eastAsia"/>
          <w:color w:val="000000" w:themeColor="text1"/>
          <w:sz w:val="24"/>
          <w:lang w:bidi="ar"/>
          <w14:textFill>
            <w14:solidFill>
              <w14:schemeClr w14:val="tx1"/>
            </w14:solidFill>
          </w14:textFill>
        </w:rPr>
        <w:t>/a）</w:t>
      </w:r>
      <w:r>
        <w:rPr>
          <w:rFonts w:hint="eastAsia"/>
          <w:color w:val="000000" w:themeColor="text1"/>
          <w:sz w:val="24"/>
          <w:lang w:eastAsia="zh-CN" w:bidi="ar"/>
          <w14:textFill>
            <w14:solidFill>
              <w14:schemeClr w14:val="tx1"/>
            </w14:solidFill>
          </w14:textFill>
        </w:rPr>
        <w:t>。</w:t>
      </w:r>
    </w:p>
    <w:p w14:paraId="5107D21A">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bidi="ar"/>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从生态环境保护角度分析，矿井涌水处理方式及净化后矿井涌水去向合理可行。</w:t>
      </w:r>
    </w:p>
    <w:p w14:paraId="49334F70">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本项目废水对周围地表水的影响</w:t>
      </w:r>
    </w:p>
    <w:p w14:paraId="35FAAAC7">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根据《新疆哈密市M1033铁矿资源储量核实报告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（2021年）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》，矿体部分位于下寒武统双鹰山组第四岩段</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∈1S4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磁铁矿化绿泥石石英片岩和磁铁矿化绿泥石片岩中，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矿区及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地表水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发育，无常年性流水。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矿体标高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以上未见地下水出露，仅在6～8月份雨季，暴雨时期在地表形成暂时性水流在低洼地汇集蒸发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，矿区内沟谷不发育。矿区附近最低点位于矿区西南部，标高1234m，为矿区最低排泄面标高。</w:t>
      </w:r>
    </w:p>
    <w:p w14:paraId="2F2C2C31">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目前矿山已开采至1030m标高（四中段），地下水出露标高1222.32m，为矿区最低侵蚀基准面标高。矿区范围内矿体最低开采标高为900m</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采矿证最低限采标高</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，位于地下水位标高以下，故矿山在开采过程中的水文地质问题以采坑矿井涌水为主，补给来源主要为地下水侧向补给，其次为少量大气降水缓慢渗入。</w:t>
      </w:r>
    </w:p>
    <w:p w14:paraId="6044905A">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本次评价提出了以下地表水污染防治措施：</w:t>
      </w:r>
    </w:p>
    <w:p w14:paraId="1F5B75FC">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在工业场地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周边设截洪沟，防止地表水将污染水带入自然水系。</w:t>
      </w:r>
    </w:p>
    <w:p w14:paraId="45413E5F">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②生活污水统一经工业场地内的排水管网排入地埋式一体化污水处理设施，地埋式一体化污水处理设施及附属设施采用钢筋混凝土结构，池体需做防渗处理，确保无污染。</w:t>
      </w:r>
    </w:p>
    <w:p w14:paraId="5D4953CE">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③生活污水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地埋式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一体化污水处理设施选用国家定型的先进设备，确保污水处理后达标，处理后可用于绿化或回用于生产。</w:t>
      </w:r>
    </w:p>
    <w:p w14:paraId="6048CFE6">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④工业场地及生产生活场地，有污水存在的地方均采用150mm厚的混凝土硬化，确保生产生活污水不污染自然水系。在施工找坡层时应进行结构</w:t>
      </w:r>
      <w:r>
        <w:rPr>
          <w:rFonts w:hint="eastAsia" w:cs="Times New Roman"/>
          <w:color w:val="000000" w:themeColor="text1"/>
          <w:sz w:val="24"/>
          <w:szCs w:val="24"/>
          <w:lang w:val="en-US" w:eastAsia="zh-CN"/>
          <w14:textFill>
            <w14:solidFill>
              <w14:schemeClr w14:val="tx1"/>
            </w14:solidFill>
          </w14:textFill>
        </w:rPr>
        <w:t>闭水试验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，地面要分多遍涂刷1.5mm厚的JS防水，确保不渗漏。</w:t>
      </w:r>
    </w:p>
    <w:p w14:paraId="28ABF239">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⑤本矿山产生的废石为</w:t>
      </w:r>
      <w:r>
        <w:rPr>
          <w:rFonts w:hint="default" w:ascii="Times New Roman" w:hAnsi="Times New Roman" w:cs="Times New Roman"/>
          <w:color w:val="000000" w:themeColor="text1"/>
          <w:sz w:val="24"/>
          <w14:textFill>
            <w14:solidFill>
              <w14:schemeClr w14:val="tx1"/>
            </w14:solidFill>
          </w14:textFill>
        </w:rPr>
        <w:t>Ⅰ类工业固体废物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周边已设置了截水沟，废石淋溶水及采矿生产活动产生的污染水通过地表汇流统一收集，可确保废石的淋溶水不对周边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地下水体产生污染。</w:t>
      </w:r>
    </w:p>
    <w:p w14:paraId="04BC555D">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因项目区周边地表水不发育，无地表水体，且本次评价提出了严格的水污染防治措施，在采取上述污染防治措施的前提下，本项目运营期对项目区周边地表水环境基本无影响。</w:t>
      </w:r>
    </w:p>
    <w:p w14:paraId="3EA520F4">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）非正常工况水环境影响分析</w:t>
      </w:r>
    </w:p>
    <w:p w14:paraId="2D2D116C">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w:t>
      </w:r>
    </w:p>
    <w:p w14:paraId="0506AC5B">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非正常工况主要为发生地埋式一体化污水处理设施故障，</w:t>
      </w:r>
      <w:r>
        <w:rPr>
          <w:rFonts w:hint="eastAsia" w:ascii="Times New Roman" w:hAnsi="Times New Roman" w:eastAsia="宋体" w:cs="Times New Roman"/>
          <w:color w:val="000000" w:themeColor="text1"/>
          <w:sz w:val="24"/>
          <w:szCs w:val="24"/>
          <w14:textFill>
            <w14:solidFill>
              <w14:schemeClr w14:val="tx1"/>
            </w14:solidFill>
          </w14:textFill>
        </w:rPr>
        <w:t>当污水处理设施发生故障时，生活污水无法进行及时处理，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可能对污水处理设施造成冲击。</w:t>
      </w:r>
    </w:p>
    <w:p w14:paraId="0E0B3D0B">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在地埋式一体化污水处理设备中设置</w:t>
      </w:r>
      <w:r>
        <w:rPr>
          <w:rFonts w:hint="default" w:ascii="Times New Roman" w:hAnsi="Times New Roman" w:eastAsia="宋体" w:cs="Times New Roman"/>
          <w:color w:val="000000" w:themeColor="text1"/>
          <w:sz w:val="24"/>
          <w:szCs w:val="24"/>
          <w:lang w:eastAsia="zh-Hans"/>
          <w14:textFill>
            <w14:solidFill>
              <w14:schemeClr w14:val="tx1"/>
            </w14:solidFill>
          </w14:textFill>
        </w:rPr>
        <w:t>40</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eastAsia="zh-Hans"/>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的调节水池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，在非正常工况情况下，未经污水处理设施处理的废水排放</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调节水池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内，避免其对环境产生影响，待</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区污水处理站正常运行后再逐批次的处理。</w:t>
      </w:r>
      <w:r>
        <w:rPr>
          <w:rFonts w:hint="eastAsia" w:ascii="Times New Roman" w:hAnsi="Times New Roman" w:eastAsia="宋体" w:cs="Times New Roman"/>
          <w:color w:val="000000" w:themeColor="text1"/>
          <w:sz w:val="24"/>
          <w:szCs w:val="24"/>
          <w14:textFill>
            <w14:solidFill>
              <w14:schemeClr w14:val="tx1"/>
            </w14:solidFill>
          </w14:textFill>
        </w:rPr>
        <w:t>生活用水临时停水，生活污水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14:textFill>
            <w14:solidFill>
              <w14:schemeClr w14:val="tx1"/>
            </w14:solidFill>
          </w14:textFill>
        </w:rPr>
        <w:t>站临时停用，</w:t>
      </w:r>
      <w:r>
        <w:rPr>
          <w:rFonts w:hint="default" w:ascii="Times New Roman" w:hAnsi="Times New Roman" w:eastAsia="宋体" w:cs="Times New Roman"/>
          <w:color w:val="000000" w:themeColor="text1"/>
          <w:sz w:val="24"/>
          <w:szCs w:val="24"/>
          <w14:textFill>
            <w14:solidFill>
              <w14:schemeClr w14:val="tx1"/>
            </w14:solidFill>
          </w14:textFill>
        </w:rPr>
        <w:t>尽快修复设备后再进行处理</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因此，在非正常工况下，废水也不会排入外环境，对区域环境影响很小。</w:t>
      </w:r>
    </w:p>
    <w:p w14:paraId="3A31C478">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生产废水</w:t>
      </w:r>
    </w:p>
    <w:p w14:paraId="2CAD4D17">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14:textFill>
            <w14:solidFill>
              <w14:schemeClr w14:val="tx1"/>
            </w14:solidFill>
          </w14:textFill>
        </w:rPr>
        <w:t>矿井涌水非正常工况排放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主要为排水设备损坏或异常及矿山停产检修、设备维护两种情况</w:t>
      </w:r>
      <w:r>
        <w:rPr>
          <w:rFonts w:hint="eastAsia" w:ascii="Times New Roman" w:hAnsi="Times New Roman" w:eastAsia="宋体" w:cs="Times New Roman"/>
          <w:color w:val="000000" w:themeColor="text1"/>
          <w:sz w:val="24"/>
          <w:szCs w:val="24"/>
          <w14:textFill>
            <w14:solidFill>
              <w14:schemeClr w14:val="tx1"/>
            </w14:solidFill>
          </w14:textFill>
        </w:rPr>
        <w:t>。</w:t>
      </w:r>
    </w:p>
    <w:p w14:paraId="5FA5A7AC">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排水设备损坏或异常，造成矿井涌水无法正常抽送而溢出沉淀池。因井下开采为连续作业，矿井涌水需连续抽送，故井下排水工程在设计时已考虑到事故工况，所有抽排水设备均1用2备，确保井下排水工程正常工作，不因设备运行异常造成矿井涌水事故排放。</w:t>
      </w:r>
    </w:p>
    <w:p w14:paraId="5CD67328">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②矿山停产检修、设备维护，矿井涌水无法用于生产。本项目最大涌水量为1600m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/d（66.67m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/h）。项目生产检修、设备维护时间一般不超过6个小时，</w:t>
      </w:r>
      <w:r>
        <w:rPr>
          <w:rFonts w:hint="eastAsia" w:cs="Times New Roman"/>
          <w:color w:val="000000" w:themeColor="text1"/>
          <w:sz w:val="24"/>
          <w:szCs w:val="24"/>
          <w:lang w:val="en-US" w:eastAsia="zh-CN"/>
          <w14:textFill>
            <w14:solidFill>
              <w14:schemeClr w14:val="tx1"/>
            </w14:solidFill>
          </w14:textFill>
        </w:rPr>
        <w:t>项目区设置有800m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蓄水收集池，可收集非正常工况矿井涌水。</w:t>
      </w:r>
    </w:p>
    <w:p w14:paraId="3B6B8563">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综上所述，非正常工况下生产生活污水对周围地表水及地下水环境影响不大。</w:t>
      </w:r>
    </w:p>
    <w:p w14:paraId="000F37DA">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.2.2.3</w:t>
      </w:r>
      <w:r>
        <w:rPr>
          <w:rFonts w:hint="eastAsia" w:ascii="Times New Roman" w:hAnsi="Times New Roman" w:cs="Times New Roman"/>
          <w:b/>
          <w:bCs w:val="0"/>
          <w:color w:val="000000" w:themeColor="text1"/>
          <w:kern w:val="0"/>
          <w:sz w:val="24"/>
          <w:szCs w:val="24"/>
          <w:highlight w:val="none"/>
          <w:lang w:val="en-US" w:eastAsia="zh-CN"/>
          <w14:textFill>
            <w14:solidFill>
              <w14:schemeClr w14:val="tx1"/>
            </w14:solidFill>
          </w14:textFill>
        </w:rPr>
        <w:t>废石堆场</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的淋滤水对地表水的影响</w:t>
      </w:r>
    </w:p>
    <w:p w14:paraId="0499864B">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废石浸出液中所有监测项目浓度值均低于《危险废物鉴别标准-浸出毒性鉴别》（GB5085.3-2007）和《污水综合排放标准》（GB8978-1996）中最高允许排放浓度，且pH值为6~9，由此确定</w:t>
      </w:r>
      <w:r>
        <w:rPr>
          <w:rFonts w:hint="eastAsia" w:cs="Times New Roman"/>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产生的废石为第Ⅰ类一般工业固体废物，可按照第Ⅰ类一般工业固体废物处理，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采用渗透系数为1.0×10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cm/s且厚度不小于0.75m的防渗衬层。</w:t>
      </w:r>
    </w:p>
    <w:p w14:paraId="3D2ADF43">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石露天堆放，经风吹、日晒、雨淋和温度的变化等影响，将发生物理和化学变化，废石经降水淋洗后，表面的细颗粒会随降水迁移，其中可溶性组分也会进入淋溶中，可能影响水环境和土壤环境。但本矿区所在区域平均降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mm，年平均蒸发量为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2754.1</w:t>
      </w:r>
      <w:r>
        <w:rPr>
          <w:rFonts w:hint="default" w:ascii="Times New Roman" w:hAnsi="Times New Roman" w:eastAsia="宋体" w:cs="Times New Roman"/>
          <w:color w:val="000000" w:themeColor="text1"/>
          <w:sz w:val="24"/>
          <w:szCs w:val="24"/>
          <w14:textFill>
            <w14:solidFill>
              <w14:schemeClr w14:val="tx1"/>
            </w14:solidFill>
          </w14:textFill>
        </w:rPr>
        <w:t>mm，降水量小于蒸发量。矿区地层岩性为砾岩，透水性差，加之蒸发量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较</w:t>
      </w:r>
      <w:r>
        <w:rPr>
          <w:rFonts w:hint="default" w:ascii="Times New Roman" w:hAnsi="Times New Roman" w:eastAsia="宋体" w:cs="Times New Roman"/>
          <w:color w:val="000000" w:themeColor="text1"/>
          <w:sz w:val="24"/>
          <w:szCs w:val="24"/>
          <w14:textFill>
            <w14:solidFill>
              <w14:schemeClr w14:val="tx1"/>
            </w14:solidFill>
          </w14:textFill>
        </w:rPr>
        <w:t>大，废石淋溶液通过垂直渗透或补给方式污染地下水环境的可能性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较</w:t>
      </w:r>
      <w:r>
        <w:rPr>
          <w:rFonts w:hint="default" w:ascii="Times New Roman" w:hAnsi="Times New Roman" w:eastAsia="宋体" w:cs="Times New Roman"/>
          <w:color w:val="000000" w:themeColor="text1"/>
          <w:sz w:val="24"/>
          <w:szCs w:val="24"/>
          <w14:textFill>
            <w14:solidFill>
              <w14:schemeClr w14:val="tx1"/>
            </w14:solidFill>
          </w14:textFill>
        </w:rPr>
        <w:t>小。因此，不管是从</w:t>
      </w:r>
      <w:r>
        <w:rPr>
          <w:rFonts w:hint="eastAsia"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的水文地质条件还是</w:t>
      </w:r>
      <w:r>
        <w:rPr>
          <w:rFonts w:hint="eastAsia" w:cs="Times New Roman"/>
          <w:color w:val="000000" w:themeColor="text1"/>
          <w:sz w:val="24"/>
          <w:szCs w:val="24"/>
          <w:lang w:eastAsia="zh-CN"/>
          <w14:textFill>
            <w14:solidFill>
              <w14:schemeClr w14:val="tx1"/>
            </w14:solidFill>
          </w14:textFill>
        </w:rPr>
        <w:t>废石堆场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淋</w:t>
      </w:r>
      <w:r>
        <w:rPr>
          <w:rFonts w:hint="default" w:ascii="Times New Roman" w:hAnsi="Times New Roman" w:eastAsia="宋体" w:cs="Times New Roman"/>
          <w:color w:val="000000" w:themeColor="text1"/>
          <w:sz w:val="24"/>
          <w:szCs w:val="24"/>
          <w14:textFill>
            <w14:solidFill>
              <w14:schemeClr w14:val="tx1"/>
            </w14:solidFill>
          </w14:textFill>
        </w:rPr>
        <w:t>溶液的</w:t>
      </w:r>
      <w:r>
        <w:rPr>
          <w:rFonts w:hint="eastAsia" w:cs="Times New Roman"/>
          <w:color w:val="000000" w:themeColor="text1"/>
          <w:sz w:val="24"/>
          <w:szCs w:val="24"/>
          <w:lang w:eastAsia="zh-CN"/>
          <w14:textFill>
            <w14:solidFill>
              <w14:schemeClr w14:val="tx1"/>
            </w14:solidFill>
          </w14:textFill>
        </w:rPr>
        <w:t>成分</w:t>
      </w:r>
      <w:r>
        <w:rPr>
          <w:rFonts w:hint="default" w:ascii="Times New Roman" w:hAnsi="Times New Roman" w:eastAsia="宋体" w:cs="Times New Roman"/>
          <w:color w:val="000000" w:themeColor="text1"/>
          <w:sz w:val="24"/>
          <w:szCs w:val="24"/>
          <w14:textFill>
            <w14:solidFill>
              <w14:schemeClr w14:val="tx1"/>
            </w14:solidFill>
          </w14:textFill>
        </w:rPr>
        <w:t>分析，</w:t>
      </w:r>
      <w:r>
        <w:rPr>
          <w:rFonts w:hint="eastAsia"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淋溶水对区域地下水环境的影响均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较</w:t>
      </w:r>
      <w:r>
        <w:rPr>
          <w:rFonts w:hint="default" w:ascii="Times New Roman" w:hAnsi="Times New Roman" w:eastAsia="宋体" w:cs="Times New Roman"/>
          <w:color w:val="000000" w:themeColor="text1"/>
          <w:sz w:val="24"/>
          <w:szCs w:val="24"/>
          <w14:textFill>
            <w14:solidFill>
              <w14:schemeClr w14:val="tx1"/>
            </w14:solidFill>
          </w14:textFill>
        </w:rPr>
        <w:t>小。</w:t>
      </w:r>
    </w:p>
    <w:p w14:paraId="6372113D">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评价要求在</w:t>
      </w:r>
      <w:r>
        <w:rPr>
          <w:rFonts w:hint="eastAsia"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外修建引流渠和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渗滤液收集池收集废石淋溶水，淋溶水通过引流渠导入沉淀池澄清后用于场内运输道路除尘，自然蒸发损耗，应最大限度</w:t>
      </w:r>
      <w:r>
        <w:rPr>
          <w:rFonts w:hint="eastAsia" w:cs="Times New Roman"/>
          <w:color w:val="000000" w:themeColor="text1"/>
          <w:sz w:val="24"/>
          <w:szCs w:val="24"/>
          <w:lang w:val="en-US" w:eastAsia="zh-CN"/>
          <w14:textFill>
            <w14:solidFill>
              <w14:schemeClr w14:val="tx1"/>
            </w14:solidFill>
          </w14:textFill>
        </w:rPr>
        <w:t>地</w:t>
      </w:r>
      <w:r>
        <w:rPr>
          <w:rFonts w:hint="default" w:ascii="Times New Roman" w:hAnsi="Times New Roman" w:eastAsia="宋体" w:cs="Times New Roman"/>
          <w:color w:val="000000" w:themeColor="text1"/>
          <w:sz w:val="24"/>
          <w:szCs w:val="24"/>
          <w14:textFill>
            <w14:solidFill>
              <w14:schemeClr w14:val="tx1"/>
            </w14:solidFill>
          </w14:textFill>
        </w:rPr>
        <w:t>保护项目区水环境。</w:t>
      </w:r>
    </w:p>
    <w:p w14:paraId="66B5F8DC">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在生产过程中废石按规划合理堆放，且在采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14:textFill>
            <w14:solidFill>
              <w14:schemeClr w14:val="tx1"/>
            </w14:solidFill>
          </w14:textFill>
        </w:rPr>
        <w:t>四周，尤其是在</w:t>
      </w:r>
      <w:r>
        <w:rPr>
          <w:rFonts w:hint="eastAsia"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拦渣坝外修建截水沟，阻止了外围洪水对废石的冲刷，禁止排入地表水体。综上所述，</w:t>
      </w:r>
      <w:r>
        <w:rPr>
          <w:rFonts w:hint="eastAsia"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不会对地表水造成影响较小。</w:t>
      </w:r>
    </w:p>
    <w:p w14:paraId="67DAB417">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5.2.2.4</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洪水期影响分析</w:t>
      </w:r>
    </w:p>
    <w:p w14:paraId="7589774B">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w:t>
      </w:r>
      <w:r>
        <w:rPr>
          <w:rFonts w:hint="eastAsia"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洪水影响分析主要考虑</w:t>
      </w:r>
      <w:r>
        <w:rPr>
          <w:rFonts w:hint="eastAsia"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eastAsia="zh-CN"/>
          <w14:textFill>
            <w14:solidFill>
              <w14:schemeClr w14:val="tx1"/>
            </w14:solidFill>
          </w14:textFill>
        </w:rPr>
        <w:t>，井巷开拓工程等。</w:t>
      </w:r>
    </w:p>
    <w:p w14:paraId="4467E284">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1）矿山可能受洪水冲刷的地面污染物</w:t>
      </w:r>
    </w:p>
    <w:p w14:paraId="5E4EFE4F">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矿山开发及正常生产条件下，矿区原有的地貌形态将发生较大改变，矿体开拓后，堆置的废石由于其相对松散，易受洪水冲刷，同时也是诱发泥石流的重要因素。</w:t>
      </w:r>
      <w:r>
        <w:rPr>
          <w:rFonts w:hint="eastAsia" w:cs="Times New Roman"/>
          <w:color w:val="000000" w:themeColor="text1"/>
          <w:sz w:val="24"/>
          <w:szCs w:val="24"/>
          <w:lang w:val="en-US" w:eastAsia="zh-CN"/>
          <w14:textFill>
            <w14:solidFill>
              <w14:schemeClr w14:val="tx1"/>
            </w14:solidFill>
          </w14:textFill>
        </w:rPr>
        <w:t>根据三合一方案，由于矿区属干旱地区，降水量很少，地势相对较平缓，少有暴雨引发的洪水，防洪标准采用50年一遇洪水，矿山工业场地及选矿厂上游设置截洪沟，防止季节性洪水可能产生的洪水危害，因此不会受到洪水冲刷地面污染。</w:t>
      </w:r>
    </w:p>
    <w:p w14:paraId="682F2109">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2）雨洪冲刷地面污染物对环境的影响</w:t>
      </w:r>
    </w:p>
    <w:p w14:paraId="4C05F82B">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①雨洪对环境的影响</w:t>
      </w:r>
    </w:p>
    <w:p w14:paraId="1F0DB55B">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大气降水本身是区域水资源的主要来源，暴雨洪流也是构成区域水文环境的重点要素。矿山的开发活动增加了上述雨洪冲刷因素，可能诱发或促进雨洪冲刷进程，进而可能对矿区水环境产生影响。</w:t>
      </w:r>
    </w:p>
    <w:p w14:paraId="79466827">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②洪水冲刷对矿山及矿区水文环境的影响</w:t>
      </w:r>
    </w:p>
    <w:p w14:paraId="175774E0">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项目区年降水量为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lang w:eastAsia="zh-CN"/>
          <w14:textFill>
            <w14:solidFill>
              <w14:schemeClr w14:val="tx1"/>
            </w14:solidFill>
          </w14:textFill>
        </w:rPr>
        <w:t>mm，年蒸发量为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2754.1</w:t>
      </w:r>
      <w:r>
        <w:rPr>
          <w:rFonts w:hint="default" w:ascii="Times New Roman" w:hAnsi="Times New Roman" w:eastAsia="宋体" w:cs="Times New Roman"/>
          <w:color w:val="000000" w:themeColor="text1"/>
          <w:sz w:val="24"/>
          <w:szCs w:val="24"/>
          <w:lang w:eastAsia="zh-CN"/>
          <w14:textFill>
            <w14:solidFill>
              <w14:schemeClr w14:val="tx1"/>
            </w14:solidFill>
          </w14:textFill>
        </w:rPr>
        <w:t>mm</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发生暴雨的频率不大，加之</w:t>
      </w:r>
      <w:r>
        <w:rPr>
          <w:rFonts w:hint="eastAsia"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eastAsia="zh-CN"/>
          <w14:textFill>
            <w14:solidFill>
              <w14:schemeClr w14:val="tx1"/>
            </w14:solidFill>
          </w14:textFill>
        </w:rPr>
        <w:t>均设计一定的防护措施，</w:t>
      </w:r>
      <w:r>
        <w:rPr>
          <w:rFonts w:hint="eastAsia" w:cs="Times New Roman"/>
          <w:color w:val="000000" w:themeColor="text1"/>
          <w:sz w:val="24"/>
          <w:szCs w:val="24"/>
          <w:lang w:val="en-US" w:eastAsia="zh-CN"/>
          <w14:textFill>
            <w14:solidFill>
              <w14:schemeClr w14:val="tx1"/>
            </w14:solidFill>
          </w14:textFill>
        </w:rPr>
        <w:t>上游设置截洪沟，</w:t>
      </w:r>
      <w:r>
        <w:rPr>
          <w:rFonts w:hint="default" w:ascii="Times New Roman" w:hAnsi="Times New Roman" w:eastAsia="宋体" w:cs="Times New Roman"/>
          <w:color w:val="000000" w:themeColor="text1"/>
          <w:sz w:val="24"/>
          <w:szCs w:val="24"/>
          <w:lang w:eastAsia="zh-CN"/>
          <w14:textFill>
            <w14:solidFill>
              <w14:schemeClr w14:val="tx1"/>
            </w14:solidFill>
          </w14:textFill>
        </w:rPr>
        <w:t>大的降雨形成洪流时，一般不致发生泥石流，较可能出现的不利情况是</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壅水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现象，雨洪使堆场局部发生不同程度位移，但由于洪流量不足或坡度趋缓等原因，使水流被一定程度阻滞，洪水径流不畅，形成局部</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壅水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现象，在降雨停止后逐步趋于稳定。</w:t>
      </w:r>
    </w:p>
    <w:p w14:paraId="2E5BF215">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壅水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现象的形成可能使局部地段的地表流态发生改变，或形成局部积水，对矿区乃至外围的水文环境影响较小。</w:t>
      </w:r>
    </w:p>
    <w:p w14:paraId="47BBE30F">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由于矿山的截排水设施比较完善，洪水季节在矿山段不会冲刷大量水污染物，且当地蒸发量大，故不会对地表水造成影响。</w:t>
      </w:r>
    </w:p>
    <w:p w14:paraId="74FF29EF">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5.2.2.5</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地表水环境影响评价自查表</w:t>
      </w:r>
    </w:p>
    <w:p w14:paraId="6455FAE4">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本项目地表水环境影响评价自查情况见表5.2-</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609F337">
      <w:pPr>
        <w:keepNext w:val="0"/>
        <w:keepLines w:val="0"/>
        <w:pageBreakBefore w:val="0"/>
        <w:kinsoku/>
        <w:wordWrap/>
        <w:overflowPunct/>
        <w:topLinePunct w:val="0"/>
        <w:bidi w:val="0"/>
        <w:spacing w:line="480" w:lineRule="exact"/>
        <w:jc w:val="center"/>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表5.2-</w:t>
      </w: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14:textFill>
            <w14:solidFill>
              <w14:schemeClr w14:val="tx1"/>
            </w14:solidFill>
          </w14:textFill>
        </w:rPr>
        <w:t>地表水环境影响评价自查表</w:t>
      </w:r>
    </w:p>
    <w:tbl>
      <w:tblPr>
        <w:tblStyle w:val="79"/>
        <w:tblW w:w="85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184"/>
        <w:gridCol w:w="1500"/>
        <w:gridCol w:w="376"/>
        <w:gridCol w:w="312"/>
        <w:gridCol w:w="521"/>
        <w:gridCol w:w="414"/>
        <w:gridCol w:w="685"/>
        <w:gridCol w:w="442"/>
        <w:gridCol w:w="120"/>
        <w:gridCol w:w="417"/>
        <w:gridCol w:w="788"/>
        <w:gridCol w:w="41"/>
        <w:gridCol w:w="1258"/>
      </w:tblGrid>
      <w:tr w14:paraId="77DC0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0" w:type="dxa"/>
            <w:gridSpan w:val="2"/>
            <w:noWrap w:val="0"/>
            <w:vAlign w:val="center"/>
          </w:tcPr>
          <w:p w14:paraId="2C535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工作内容</w:t>
            </w:r>
          </w:p>
        </w:tc>
        <w:tc>
          <w:tcPr>
            <w:tcW w:w="6874" w:type="dxa"/>
            <w:gridSpan w:val="12"/>
            <w:noWrap w:val="0"/>
            <w:vAlign w:val="center"/>
          </w:tcPr>
          <w:p w14:paraId="1EF7C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自查项目</w:t>
            </w:r>
          </w:p>
        </w:tc>
      </w:tr>
      <w:tr w14:paraId="47F99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14:paraId="10937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影响识别</w:t>
            </w:r>
          </w:p>
        </w:tc>
        <w:tc>
          <w:tcPr>
            <w:tcW w:w="1184" w:type="dxa"/>
            <w:noWrap w:val="0"/>
            <w:vAlign w:val="center"/>
          </w:tcPr>
          <w:p w14:paraId="57ADD4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影响类型</w:t>
            </w:r>
          </w:p>
        </w:tc>
        <w:tc>
          <w:tcPr>
            <w:tcW w:w="6874" w:type="dxa"/>
            <w:gridSpan w:val="12"/>
            <w:noWrap w:val="0"/>
            <w:vAlign w:val="center"/>
          </w:tcPr>
          <w:p w14:paraId="56E7E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水污染影响型</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；水文要素影响型</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03790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67003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036DD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水环境保护目标</w:t>
            </w:r>
          </w:p>
        </w:tc>
        <w:tc>
          <w:tcPr>
            <w:tcW w:w="6874" w:type="dxa"/>
            <w:gridSpan w:val="12"/>
            <w:noWrap w:val="0"/>
            <w:vAlign w:val="center"/>
          </w:tcPr>
          <w:p w14:paraId="600B0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饮用水水源保护区</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；饮用水取水口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；涉水的自然保护区</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；重要湿地</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w:t>
            </w:r>
          </w:p>
          <w:p w14:paraId="2F14D7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重点保护与珍稀水生生物的栖息地</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重要水生生物的自然产卵场及索饵场、越冬场和洄游通道、天然渔场等渔业水体</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；涉水的风景名胜区</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；其他（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3D726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4E588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restart"/>
            <w:noWrap w:val="0"/>
            <w:vAlign w:val="center"/>
          </w:tcPr>
          <w:p w14:paraId="32CD9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影响途径</w:t>
            </w:r>
          </w:p>
        </w:tc>
        <w:tc>
          <w:tcPr>
            <w:tcW w:w="3808" w:type="dxa"/>
            <w:gridSpan w:val="6"/>
            <w:noWrap w:val="0"/>
            <w:vAlign w:val="center"/>
          </w:tcPr>
          <w:p w14:paraId="56748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水污染影响型</w:t>
            </w:r>
          </w:p>
        </w:tc>
        <w:tc>
          <w:tcPr>
            <w:tcW w:w="3066" w:type="dxa"/>
            <w:gridSpan w:val="6"/>
            <w:noWrap w:val="0"/>
            <w:vAlign w:val="center"/>
          </w:tcPr>
          <w:p w14:paraId="3C947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水文要素影响型</w:t>
            </w:r>
          </w:p>
        </w:tc>
      </w:tr>
      <w:tr w14:paraId="4519D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4E327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7C134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808" w:type="dxa"/>
            <w:gridSpan w:val="6"/>
            <w:noWrap w:val="0"/>
            <w:vAlign w:val="center"/>
          </w:tcPr>
          <w:p w14:paraId="270EA8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直接排放</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；间接排放</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w:t>
            </w:r>
          </w:p>
        </w:tc>
        <w:tc>
          <w:tcPr>
            <w:tcW w:w="3066" w:type="dxa"/>
            <w:gridSpan w:val="6"/>
            <w:noWrap w:val="0"/>
            <w:vAlign w:val="center"/>
          </w:tcPr>
          <w:p w14:paraId="6FF42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水温</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；径流</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；水域面积</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3C1D0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7879F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378AC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影响因子</w:t>
            </w:r>
          </w:p>
        </w:tc>
        <w:tc>
          <w:tcPr>
            <w:tcW w:w="3808" w:type="dxa"/>
            <w:gridSpan w:val="6"/>
            <w:noWrap w:val="0"/>
            <w:vAlign w:val="center"/>
          </w:tcPr>
          <w:p w14:paraId="28C67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持久性污染物</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；有毒有害污染物</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；非持久性污染物</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w:t>
            </w:r>
          </w:p>
          <w:p w14:paraId="753DD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pH值</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；热污染</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；富营养化</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3066" w:type="dxa"/>
            <w:gridSpan w:val="6"/>
            <w:noWrap w:val="0"/>
            <w:vAlign w:val="center"/>
          </w:tcPr>
          <w:p w14:paraId="3CA3D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水温</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；水位（水深）</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；流速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；流量</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58E63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Merge w:val="restart"/>
            <w:noWrap w:val="0"/>
            <w:vAlign w:val="center"/>
          </w:tcPr>
          <w:p w14:paraId="05CF9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评价等级</w:t>
            </w:r>
          </w:p>
        </w:tc>
        <w:tc>
          <w:tcPr>
            <w:tcW w:w="3808" w:type="dxa"/>
            <w:gridSpan w:val="6"/>
            <w:noWrap w:val="0"/>
            <w:vAlign w:val="center"/>
          </w:tcPr>
          <w:p w14:paraId="22635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水污染影响型</w:t>
            </w:r>
          </w:p>
        </w:tc>
        <w:tc>
          <w:tcPr>
            <w:tcW w:w="3066" w:type="dxa"/>
            <w:gridSpan w:val="6"/>
            <w:noWrap w:val="0"/>
            <w:vAlign w:val="center"/>
          </w:tcPr>
          <w:p w14:paraId="74933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水文要素影响型</w:t>
            </w:r>
          </w:p>
        </w:tc>
      </w:tr>
      <w:tr w14:paraId="297A2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Merge w:val="continue"/>
            <w:noWrap w:val="0"/>
            <w:vAlign w:val="center"/>
          </w:tcPr>
          <w:p w14:paraId="02C07D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808" w:type="dxa"/>
            <w:gridSpan w:val="6"/>
            <w:noWrap w:val="0"/>
            <w:vAlign w:val="center"/>
          </w:tcPr>
          <w:p w14:paraId="25D46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一级</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；二级</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；三级A</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；三级B</w:t>
            </w:r>
            <w:r>
              <w:rPr>
                <w:rFonts w:hint="default" w:ascii="Times New Roman" w:hAnsi="Times New Roman" w:cs="Times New Roman"/>
                <w:color w:val="000000" w:themeColor="text1"/>
                <w:sz w:val="21"/>
                <w:szCs w:val="21"/>
                <w14:textFill>
                  <w14:solidFill>
                    <w14:schemeClr w14:val="tx1"/>
                  </w14:solidFill>
                </w14:textFill>
              </w:rPr>
              <w:sym w:font="Wingdings 2" w:char="0052"/>
            </w:r>
          </w:p>
        </w:tc>
        <w:tc>
          <w:tcPr>
            <w:tcW w:w="3066" w:type="dxa"/>
            <w:gridSpan w:val="6"/>
            <w:noWrap w:val="0"/>
            <w:vAlign w:val="center"/>
          </w:tcPr>
          <w:p w14:paraId="51190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一级</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；二级</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；三级</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47FEB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14:paraId="13744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现状调查</w:t>
            </w:r>
          </w:p>
        </w:tc>
        <w:tc>
          <w:tcPr>
            <w:tcW w:w="1184" w:type="dxa"/>
            <w:vMerge w:val="restart"/>
            <w:noWrap w:val="0"/>
            <w:vAlign w:val="center"/>
          </w:tcPr>
          <w:p w14:paraId="5CEBE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区域污染源</w:t>
            </w:r>
          </w:p>
        </w:tc>
        <w:tc>
          <w:tcPr>
            <w:tcW w:w="3808" w:type="dxa"/>
            <w:gridSpan w:val="6"/>
            <w:noWrap w:val="0"/>
            <w:vAlign w:val="center"/>
          </w:tcPr>
          <w:p w14:paraId="6B3C6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调查项目</w:t>
            </w:r>
          </w:p>
        </w:tc>
        <w:tc>
          <w:tcPr>
            <w:tcW w:w="3066" w:type="dxa"/>
            <w:gridSpan w:val="6"/>
            <w:noWrap w:val="0"/>
            <w:vAlign w:val="center"/>
          </w:tcPr>
          <w:p w14:paraId="4832E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数据来源</w:t>
            </w:r>
          </w:p>
        </w:tc>
      </w:tr>
      <w:tr w14:paraId="240BB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0C62B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0491D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188" w:type="dxa"/>
            <w:gridSpan w:val="3"/>
            <w:noWrap w:val="0"/>
            <w:vAlign w:val="center"/>
          </w:tcPr>
          <w:p w14:paraId="634B4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已建</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；在建</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；拟建</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1620" w:type="dxa"/>
            <w:gridSpan w:val="3"/>
            <w:noWrap w:val="0"/>
            <w:vAlign w:val="center"/>
          </w:tcPr>
          <w:p w14:paraId="18353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拟替代的污染源</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3066" w:type="dxa"/>
            <w:gridSpan w:val="6"/>
            <w:noWrap w:val="0"/>
            <w:vAlign w:val="center"/>
          </w:tcPr>
          <w:p w14:paraId="4E540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排污许可证</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；环评</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；环保验收</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；既有实测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；现场监测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；入河排放口数据</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556E7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2AC8C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restart"/>
            <w:noWrap w:val="0"/>
            <w:vAlign w:val="center"/>
          </w:tcPr>
          <w:p w14:paraId="41DF9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受影响水体水环境质量</w:t>
            </w:r>
          </w:p>
        </w:tc>
        <w:tc>
          <w:tcPr>
            <w:tcW w:w="3808" w:type="dxa"/>
            <w:gridSpan w:val="6"/>
            <w:noWrap w:val="0"/>
            <w:vAlign w:val="center"/>
          </w:tcPr>
          <w:p w14:paraId="2446B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调查时期</w:t>
            </w:r>
          </w:p>
        </w:tc>
        <w:tc>
          <w:tcPr>
            <w:tcW w:w="3066" w:type="dxa"/>
            <w:gridSpan w:val="6"/>
            <w:noWrap w:val="0"/>
            <w:vAlign w:val="center"/>
          </w:tcPr>
          <w:p w14:paraId="2BD1F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数据来源</w:t>
            </w:r>
          </w:p>
        </w:tc>
      </w:tr>
      <w:tr w14:paraId="798FB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10DEE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504534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808" w:type="dxa"/>
            <w:gridSpan w:val="6"/>
            <w:noWrap w:val="0"/>
            <w:vAlign w:val="center"/>
          </w:tcPr>
          <w:p w14:paraId="23089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丰水期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；平水期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；枯水期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；冰封期</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4CDE4B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春季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；夏季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；秋季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；冬季</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3066" w:type="dxa"/>
            <w:gridSpan w:val="6"/>
            <w:noWrap w:val="0"/>
            <w:vAlign w:val="center"/>
          </w:tcPr>
          <w:p w14:paraId="1373D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生态环境保护主管部门</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；补充监测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53A76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757A2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47F24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区域水资源开发利用状况</w:t>
            </w:r>
          </w:p>
        </w:tc>
        <w:tc>
          <w:tcPr>
            <w:tcW w:w="6874" w:type="dxa"/>
            <w:gridSpan w:val="12"/>
            <w:noWrap w:val="0"/>
            <w:vAlign w:val="center"/>
          </w:tcPr>
          <w:p w14:paraId="340A1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未开发</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；开发量40%以下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；开发量40%以上</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744DD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2B8BD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restart"/>
            <w:noWrap w:val="0"/>
            <w:vAlign w:val="center"/>
          </w:tcPr>
          <w:p w14:paraId="4BFDA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水文情势调查</w:t>
            </w:r>
          </w:p>
        </w:tc>
        <w:tc>
          <w:tcPr>
            <w:tcW w:w="3808" w:type="dxa"/>
            <w:gridSpan w:val="6"/>
            <w:noWrap w:val="0"/>
            <w:vAlign w:val="center"/>
          </w:tcPr>
          <w:p w14:paraId="15409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调查时期</w:t>
            </w:r>
          </w:p>
        </w:tc>
        <w:tc>
          <w:tcPr>
            <w:tcW w:w="3066" w:type="dxa"/>
            <w:gridSpan w:val="6"/>
            <w:noWrap w:val="0"/>
            <w:vAlign w:val="center"/>
          </w:tcPr>
          <w:p w14:paraId="0015C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数据来源</w:t>
            </w:r>
          </w:p>
        </w:tc>
      </w:tr>
      <w:tr w14:paraId="747F8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00667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3C5B0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808" w:type="dxa"/>
            <w:gridSpan w:val="6"/>
            <w:noWrap w:val="0"/>
            <w:vAlign w:val="center"/>
          </w:tcPr>
          <w:p w14:paraId="70BB9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丰水期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；平水期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；枯水期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；冰封期</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1F201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春季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；夏季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；秋季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；冬季</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3066" w:type="dxa"/>
            <w:gridSpan w:val="6"/>
            <w:noWrap w:val="0"/>
            <w:vAlign w:val="center"/>
          </w:tcPr>
          <w:p w14:paraId="383F8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水行政主管部门</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；补充监测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4C2F4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275D6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restart"/>
            <w:noWrap w:val="0"/>
            <w:vAlign w:val="center"/>
          </w:tcPr>
          <w:p w14:paraId="064C0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补充监测</w:t>
            </w:r>
          </w:p>
        </w:tc>
        <w:tc>
          <w:tcPr>
            <w:tcW w:w="2709" w:type="dxa"/>
            <w:gridSpan w:val="4"/>
            <w:noWrap w:val="0"/>
            <w:vAlign w:val="center"/>
          </w:tcPr>
          <w:p w14:paraId="1C66D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监测时期</w:t>
            </w:r>
          </w:p>
        </w:tc>
        <w:tc>
          <w:tcPr>
            <w:tcW w:w="2078" w:type="dxa"/>
            <w:gridSpan w:val="5"/>
            <w:noWrap w:val="0"/>
            <w:vAlign w:val="center"/>
          </w:tcPr>
          <w:p w14:paraId="77F18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监测因子</w:t>
            </w:r>
          </w:p>
        </w:tc>
        <w:tc>
          <w:tcPr>
            <w:tcW w:w="2087" w:type="dxa"/>
            <w:gridSpan w:val="3"/>
            <w:noWrap w:val="0"/>
            <w:vAlign w:val="center"/>
          </w:tcPr>
          <w:p w14:paraId="325B9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监测断面或点位</w:t>
            </w:r>
          </w:p>
        </w:tc>
      </w:tr>
      <w:tr w14:paraId="3AEDD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5ED7E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56969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709" w:type="dxa"/>
            <w:gridSpan w:val="4"/>
            <w:noWrap w:val="0"/>
            <w:vAlign w:val="center"/>
          </w:tcPr>
          <w:p w14:paraId="1EE52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丰水期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；平水期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；枯水期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；冰封期</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7FE58F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春季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；夏季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；秋季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；冬季</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2078" w:type="dxa"/>
            <w:gridSpan w:val="5"/>
            <w:noWrap w:val="0"/>
            <w:vAlign w:val="center"/>
          </w:tcPr>
          <w:p w14:paraId="72AA3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tc>
        <w:tc>
          <w:tcPr>
            <w:tcW w:w="2087" w:type="dxa"/>
            <w:gridSpan w:val="3"/>
            <w:noWrap w:val="0"/>
            <w:vAlign w:val="center"/>
          </w:tcPr>
          <w:p w14:paraId="4929B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监测断面或点位个数（</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）个</w:t>
            </w:r>
          </w:p>
        </w:tc>
      </w:tr>
      <w:tr w14:paraId="35AC4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14:paraId="789BD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现状评价</w:t>
            </w:r>
          </w:p>
        </w:tc>
        <w:tc>
          <w:tcPr>
            <w:tcW w:w="1184" w:type="dxa"/>
            <w:noWrap w:val="0"/>
            <w:vAlign w:val="center"/>
          </w:tcPr>
          <w:p w14:paraId="184FA6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评价范围</w:t>
            </w:r>
          </w:p>
        </w:tc>
        <w:tc>
          <w:tcPr>
            <w:tcW w:w="6874" w:type="dxa"/>
            <w:gridSpan w:val="12"/>
            <w:noWrap w:val="0"/>
            <w:vAlign w:val="center"/>
          </w:tcPr>
          <w:p w14:paraId="5B1EC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河流：长度（</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）km；湖库、河口及近岸海域：面积（）km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 xml:space="preserve"> </w:t>
            </w:r>
          </w:p>
        </w:tc>
      </w:tr>
      <w:tr w14:paraId="26F27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6E0C5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5139B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评价因子</w:t>
            </w:r>
          </w:p>
        </w:tc>
        <w:tc>
          <w:tcPr>
            <w:tcW w:w="6874" w:type="dxa"/>
            <w:gridSpan w:val="12"/>
            <w:noWrap w:val="0"/>
            <w:vAlign w:val="center"/>
          </w:tcPr>
          <w:p w14:paraId="67997A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tc>
      </w:tr>
      <w:tr w14:paraId="08F4F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67E24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58A8F5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w:t>
            </w:r>
          </w:p>
        </w:tc>
        <w:tc>
          <w:tcPr>
            <w:tcW w:w="6874" w:type="dxa"/>
            <w:gridSpan w:val="12"/>
            <w:noWrap w:val="0"/>
            <w:vAlign w:val="center"/>
          </w:tcPr>
          <w:p w14:paraId="5BBAB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河流、湖库、河口：Ⅰ类 </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；Ⅱ类 </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；Ⅲ类 </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；Ⅳ类 </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；Ⅴ类 </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7CBFF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近岸海域：第一类 </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；第二类 </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；第三类 </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；第四类 </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378FE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规划年评价标准（/）</w:t>
            </w:r>
          </w:p>
        </w:tc>
      </w:tr>
      <w:tr w14:paraId="0DD32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4F6DE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15701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评价时期</w:t>
            </w:r>
          </w:p>
        </w:tc>
        <w:tc>
          <w:tcPr>
            <w:tcW w:w="6874" w:type="dxa"/>
            <w:gridSpan w:val="12"/>
            <w:noWrap w:val="0"/>
            <w:vAlign w:val="center"/>
          </w:tcPr>
          <w:p w14:paraId="73CDE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丰水期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；平水期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；枯水期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；冰封期</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2CE77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春季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；夏季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；秋季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；冬季</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09FC8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35B94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56B474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评价结论</w:t>
            </w:r>
          </w:p>
        </w:tc>
        <w:tc>
          <w:tcPr>
            <w:tcW w:w="5575" w:type="dxa"/>
            <w:gridSpan w:val="10"/>
            <w:noWrap w:val="0"/>
            <w:vAlign w:val="center"/>
          </w:tcPr>
          <w:p w14:paraId="409C7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水环境功能区或水功能区、近岸海域环境功能区水质达标状况：达标</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；不达标</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640C4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水环境控制单元或断面水质达标状况</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：达标</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；不达标</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0697C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水环境保护目标质量状况</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：达标</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；不达标</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36734D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对照断面、控制断面等代表性断面的水质状况：达标</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；不达标</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711F3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底泥污染评价</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4CFD8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水资源与开发利用程度及其水文情势评价</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72F928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水环境质量回顾评价</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7FA6A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流域（区域）水资源（包括水能资源）与开发利用总体状况、生态流量管理要求与现状满足程度、建设项目占用水域空间的水流状况与河湖演变状况</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1299" w:type="dxa"/>
            <w:gridSpan w:val="2"/>
            <w:noWrap w:val="0"/>
            <w:vAlign w:val="center"/>
          </w:tcPr>
          <w:p w14:paraId="02ACD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达标区</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3B9C3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不达标区</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43C81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14:paraId="4BAEF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影响预测</w:t>
            </w:r>
          </w:p>
        </w:tc>
        <w:tc>
          <w:tcPr>
            <w:tcW w:w="1184" w:type="dxa"/>
            <w:noWrap w:val="0"/>
            <w:vAlign w:val="center"/>
          </w:tcPr>
          <w:p w14:paraId="6A266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预测范围</w:t>
            </w:r>
          </w:p>
        </w:tc>
        <w:tc>
          <w:tcPr>
            <w:tcW w:w="6874" w:type="dxa"/>
            <w:gridSpan w:val="12"/>
            <w:noWrap w:val="0"/>
            <w:vAlign w:val="center"/>
          </w:tcPr>
          <w:p w14:paraId="295E0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河流：长度（/）km；湖库、河口及近岸海域：面积（/）km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r>
      <w:tr w14:paraId="67DB9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0FAE1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1C2C5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预测因子</w:t>
            </w:r>
          </w:p>
        </w:tc>
        <w:tc>
          <w:tcPr>
            <w:tcW w:w="6874" w:type="dxa"/>
            <w:gridSpan w:val="12"/>
            <w:noWrap w:val="0"/>
            <w:vAlign w:val="center"/>
          </w:tcPr>
          <w:p w14:paraId="12061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4157B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00631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65549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预测时期</w:t>
            </w:r>
          </w:p>
        </w:tc>
        <w:tc>
          <w:tcPr>
            <w:tcW w:w="6874" w:type="dxa"/>
            <w:gridSpan w:val="12"/>
            <w:noWrap w:val="0"/>
            <w:vAlign w:val="center"/>
          </w:tcPr>
          <w:p w14:paraId="7E090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丰水期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；平水期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；枯水期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；冰封期</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5A834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春季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；夏季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；秋季</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；冬季</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5F805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设计水文条件</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6CB93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2B032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6C750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预测情景</w:t>
            </w:r>
          </w:p>
        </w:tc>
        <w:tc>
          <w:tcPr>
            <w:tcW w:w="6874" w:type="dxa"/>
            <w:gridSpan w:val="12"/>
            <w:noWrap w:val="0"/>
            <w:vAlign w:val="center"/>
          </w:tcPr>
          <w:p w14:paraId="5FC3C2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；生产运行期</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；服务期满后</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5586E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正常工况</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；非正常工况</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6AF25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污染控制和减缓措施方案</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794F6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区（流）域环境质量改善目标要求情景</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47C06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5AC8E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3B782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预测方法</w:t>
            </w:r>
          </w:p>
        </w:tc>
        <w:tc>
          <w:tcPr>
            <w:tcW w:w="6874" w:type="dxa"/>
            <w:gridSpan w:val="12"/>
            <w:noWrap w:val="0"/>
            <w:vAlign w:val="center"/>
          </w:tcPr>
          <w:p w14:paraId="5D15F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数值</w:t>
            </w:r>
            <w:r>
              <w:rPr>
                <w:rFonts w:hint="eastAsia" w:ascii="Times New Roman" w:hAnsi="Times New Roman" w:cs="Times New Roman"/>
                <w:color w:val="000000" w:themeColor="text1"/>
                <w:sz w:val="21"/>
                <w:szCs w:val="21"/>
                <w:lang w:val="en-US" w:eastAsia="zh-CN"/>
                <w14:textFill>
                  <w14:solidFill>
                    <w14:schemeClr w14:val="tx1"/>
                  </w14:solidFill>
                </w14:textFill>
              </w:rPr>
              <w:t>法</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val="en-US" w:eastAsia="zh-CN"/>
                <w14:textFill>
                  <w14:solidFill>
                    <w14:schemeClr w14:val="tx1"/>
                  </w14:solidFill>
                </w14:textFill>
              </w:rPr>
              <w:t>法</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2E1F0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导则推荐模式</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61B26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14:paraId="7B89C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影</w:t>
            </w:r>
          </w:p>
          <w:p w14:paraId="70B55D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响</w:t>
            </w:r>
          </w:p>
          <w:p w14:paraId="042B9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w:t>
            </w:r>
          </w:p>
          <w:p w14:paraId="04E2D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价</w:t>
            </w:r>
          </w:p>
        </w:tc>
        <w:tc>
          <w:tcPr>
            <w:tcW w:w="1184" w:type="dxa"/>
            <w:noWrap w:val="0"/>
            <w:vAlign w:val="center"/>
          </w:tcPr>
          <w:p w14:paraId="51C3E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水污染控制和水环境影响减缓措施有效性评价</w:t>
            </w:r>
          </w:p>
        </w:tc>
        <w:tc>
          <w:tcPr>
            <w:tcW w:w="6874" w:type="dxa"/>
            <w:gridSpan w:val="12"/>
            <w:noWrap w:val="0"/>
            <w:vAlign w:val="center"/>
          </w:tcPr>
          <w:p w14:paraId="100C0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区（流）域水环境质量改善目标</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；替代削减源</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568FD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349E1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6848A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水环境影响评价</w:t>
            </w:r>
          </w:p>
        </w:tc>
        <w:tc>
          <w:tcPr>
            <w:tcW w:w="6874" w:type="dxa"/>
            <w:gridSpan w:val="12"/>
            <w:noWrap w:val="0"/>
            <w:vAlign w:val="center"/>
          </w:tcPr>
          <w:p w14:paraId="2050B2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排放口混合区外满足水环境管理要求</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5E68EE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水环境功能区或水功能区、近岸海域环境功能区水质达标</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33048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满足水环境保护目标水域水环境质量要求</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477F9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水环境控制单元或断面水质达标</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2635B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满足重点水污染物排放总量控制指标要求，重点行业建设项目，主要污染物排放满足等量或减量替代要求</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3524F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满足区（流）域水环境质量改善目标要求</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25837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水文要素影响型建设项目同时应包括水文情势变化评价、主要水文特征值影响评价、生态流量符合性评价</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1B93A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对于新设或调整入河（湖库、近岸海域）排放口的建设项目，应包括排放口设置的环境合理性评价</w:t>
            </w:r>
            <w:r>
              <w:rPr>
                <w:rFonts w:hint="default" w:ascii="Times New Roman" w:hAnsi="Times New Roman" w:cs="Times New Roman"/>
                <w:color w:val="000000" w:themeColor="text1"/>
                <w:sz w:val="21"/>
                <w:szCs w:val="21"/>
                <w14:textFill>
                  <w14:solidFill>
                    <w14:schemeClr w14:val="tx1"/>
                  </w14:solidFill>
                </w14:textFill>
              </w:rPr>
              <w:sym w:font="Wingdings 2" w:char="00A3"/>
            </w:r>
          </w:p>
          <w:p w14:paraId="5A5B7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满足生态保护红线、水环境质量底线、资源利用上线和环境准入清单管理要求</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64F23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1D591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restart"/>
            <w:noWrap w:val="0"/>
            <w:vAlign w:val="center"/>
          </w:tcPr>
          <w:p w14:paraId="1B687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污染源排放量核算</w:t>
            </w:r>
          </w:p>
        </w:tc>
        <w:tc>
          <w:tcPr>
            <w:tcW w:w="2709" w:type="dxa"/>
            <w:gridSpan w:val="4"/>
            <w:noWrap w:val="0"/>
            <w:vAlign w:val="center"/>
          </w:tcPr>
          <w:p w14:paraId="17A164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污染物名称</w:t>
            </w:r>
          </w:p>
        </w:tc>
        <w:tc>
          <w:tcPr>
            <w:tcW w:w="2078" w:type="dxa"/>
            <w:gridSpan w:val="5"/>
            <w:noWrap w:val="0"/>
            <w:vAlign w:val="center"/>
          </w:tcPr>
          <w:p w14:paraId="4753C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排放量/（t/a）</w:t>
            </w:r>
          </w:p>
        </w:tc>
        <w:tc>
          <w:tcPr>
            <w:tcW w:w="2087" w:type="dxa"/>
            <w:gridSpan w:val="3"/>
            <w:noWrap w:val="0"/>
            <w:vAlign w:val="center"/>
          </w:tcPr>
          <w:p w14:paraId="58C73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排放浓度/（mg/L）</w:t>
            </w:r>
          </w:p>
        </w:tc>
      </w:tr>
      <w:tr w14:paraId="08DBB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5C9F7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0860F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709" w:type="dxa"/>
            <w:gridSpan w:val="4"/>
            <w:noWrap w:val="0"/>
            <w:vAlign w:val="center"/>
          </w:tcPr>
          <w:p w14:paraId="58C56F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078" w:type="dxa"/>
            <w:gridSpan w:val="5"/>
            <w:noWrap w:val="0"/>
            <w:vAlign w:val="center"/>
          </w:tcPr>
          <w:p w14:paraId="3116A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087" w:type="dxa"/>
            <w:gridSpan w:val="3"/>
            <w:noWrap w:val="0"/>
            <w:vAlign w:val="center"/>
          </w:tcPr>
          <w:p w14:paraId="741D4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2C0BE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1888E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restart"/>
            <w:noWrap w:val="0"/>
            <w:vAlign w:val="center"/>
          </w:tcPr>
          <w:p w14:paraId="2FD88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替代源排放情况</w:t>
            </w:r>
          </w:p>
        </w:tc>
        <w:tc>
          <w:tcPr>
            <w:tcW w:w="1876" w:type="dxa"/>
            <w:gridSpan w:val="2"/>
            <w:noWrap w:val="0"/>
            <w:vAlign w:val="center"/>
          </w:tcPr>
          <w:p w14:paraId="32A10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污染源名称</w:t>
            </w:r>
          </w:p>
        </w:tc>
        <w:tc>
          <w:tcPr>
            <w:tcW w:w="1247" w:type="dxa"/>
            <w:gridSpan w:val="3"/>
            <w:noWrap w:val="0"/>
            <w:vAlign w:val="center"/>
          </w:tcPr>
          <w:p w14:paraId="4BE13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pacing w:val="-10"/>
                <w:sz w:val="21"/>
                <w:szCs w:val="21"/>
                <w14:textFill>
                  <w14:solidFill>
                    <w14:schemeClr w14:val="tx1"/>
                  </w14:solidFill>
                </w14:textFill>
              </w:rPr>
            </w:pPr>
            <w:r>
              <w:rPr>
                <w:rFonts w:hint="default" w:ascii="Times New Roman" w:hAnsi="Times New Roman" w:cs="Times New Roman"/>
                <w:color w:val="000000" w:themeColor="text1"/>
                <w:spacing w:val="-10"/>
                <w:sz w:val="21"/>
                <w:szCs w:val="21"/>
                <w14:textFill>
                  <w14:solidFill>
                    <w14:schemeClr w14:val="tx1"/>
                  </w14:solidFill>
                </w14:textFill>
              </w:rPr>
              <w:t>排污许可证编号</w:t>
            </w:r>
          </w:p>
        </w:tc>
        <w:tc>
          <w:tcPr>
            <w:tcW w:w="1247" w:type="dxa"/>
            <w:gridSpan w:val="3"/>
            <w:noWrap w:val="0"/>
            <w:vAlign w:val="center"/>
          </w:tcPr>
          <w:p w14:paraId="7A43A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污染物名称</w:t>
            </w:r>
          </w:p>
        </w:tc>
        <w:tc>
          <w:tcPr>
            <w:tcW w:w="1246" w:type="dxa"/>
            <w:gridSpan w:val="3"/>
            <w:noWrap w:val="0"/>
            <w:vAlign w:val="center"/>
          </w:tcPr>
          <w:p w14:paraId="4DD2D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排放量/（t/a）</w:t>
            </w:r>
          </w:p>
        </w:tc>
        <w:tc>
          <w:tcPr>
            <w:tcW w:w="1258" w:type="dxa"/>
            <w:noWrap w:val="0"/>
            <w:vAlign w:val="center"/>
          </w:tcPr>
          <w:p w14:paraId="00B84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排放浓度/（mg/L）</w:t>
            </w:r>
          </w:p>
        </w:tc>
      </w:tr>
      <w:tr w14:paraId="0A460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78A8C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48533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876" w:type="dxa"/>
            <w:gridSpan w:val="2"/>
            <w:noWrap w:val="0"/>
            <w:vAlign w:val="top"/>
          </w:tcPr>
          <w:p w14:paraId="42DA5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47" w:type="dxa"/>
            <w:gridSpan w:val="3"/>
            <w:noWrap w:val="0"/>
            <w:vAlign w:val="top"/>
          </w:tcPr>
          <w:p w14:paraId="2391C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47" w:type="dxa"/>
            <w:gridSpan w:val="3"/>
            <w:noWrap w:val="0"/>
            <w:vAlign w:val="top"/>
          </w:tcPr>
          <w:p w14:paraId="47970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46" w:type="dxa"/>
            <w:gridSpan w:val="3"/>
            <w:noWrap w:val="0"/>
            <w:vAlign w:val="top"/>
          </w:tcPr>
          <w:p w14:paraId="776E5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58" w:type="dxa"/>
            <w:noWrap w:val="0"/>
            <w:vAlign w:val="top"/>
          </w:tcPr>
          <w:p w14:paraId="10434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734E2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44E99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6AF81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生态流量确定</w:t>
            </w:r>
          </w:p>
        </w:tc>
        <w:tc>
          <w:tcPr>
            <w:tcW w:w="6874" w:type="dxa"/>
            <w:gridSpan w:val="12"/>
            <w:noWrap w:val="0"/>
            <w:vAlign w:val="center"/>
          </w:tcPr>
          <w:p w14:paraId="2C7DA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生态流量：一般水期（ ）m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/s；鱼类繁殖期（ ）m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/s；其他（ ）m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 xml:space="preserve">/s </w:t>
            </w:r>
          </w:p>
          <w:p w14:paraId="460BE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生态水位：一般水期（ ）m；鱼类繁殖期（ ）m；其他（ ）m</w:t>
            </w:r>
          </w:p>
        </w:tc>
      </w:tr>
      <w:tr w14:paraId="4E2D6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restart"/>
            <w:noWrap w:val="0"/>
            <w:vAlign w:val="center"/>
          </w:tcPr>
          <w:p w14:paraId="3696D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w:t>
            </w:r>
          </w:p>
          <w:p w14:paraId="3393B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治</w:t>
            </w:r>
          </w:p>
          <w:p w14:paraId="006D5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措</w:t>
            </w:r>
          </w:p>
          <w:p w14:paraId="4846C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w:t>
            </w:r>
          </w:p>
        </w:tc>
        <w:tc>
          <w:tcPr>
            <w:tcW w:w="1184" w:type="dxa"/>
            <w:noWrap w:val="0"/>
            <w:vAlign w:val="center"/>
          </w:tcPr>
          <w:p w14:paraId="355D7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环保措施</w:t>
            </w:r>
          </w:p>
        </w:tc>
        <w:tc>
          <w:tcPr>
            <w:tcW w:w="6874" w:type="dxa"/>
            <w:gridSpan w:val="12"/>
            <w:noWrap w:val="0"/>
            <w:vAlign w:val="center"/>
          </w:tcPr>
          <w:p w14:paraId="290D2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污水处理设施</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；水文减缓设施</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；生态流量保障设施</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；区域削减</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；依托其他工程措施</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52"/>
            </w:r>
          </w:p>
        </w:tc>
      </w:tr>
      <w:tr w14:paraId="2C17F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49CC0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restart"/>
            <w:noWrap w:val="0"/>
            <w:vAlign w:val="center"/>
          </w:tcPr>
          <w:p w14:paraId="66F6D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监测计划</w:t>
            </w:r>
          </w:p>
        </w:tc>
        <w:tc>
          <w:tcPr>
            <w:tcW w:w="1500" w:type="dxa"/>
            <w:noWrap w:val="0"/>
            <w:vAlign w:val="center"/>
          </w:tcPr>
          <w:p w14:paraId="17C36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750" w:type="dxa"/>
            <w:gridSpan w:val="6"/>
            <w:noWrap w:val="0"/>
            <w:vAlign w:val="center"/>
          </w:tcPr>
          <w:p w14:paraId="5C801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环境质量</w:t>
            </w:r>
          </w:p>
        </w:tc>
        <w:tc>
          <w:tcPr>
            <w:tcW w:w="2624" w:type="dxa"/>
            <w:gridSpan w:val="5"/>
            <w:noWrap w:val="0"/>
            <w:vAlign w:val="center"/>
          </w:tcPr>
          <w:p w14:paraId="6572E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污染源</w:t>
            </w:r>
          </w:p>
        </w:tc>
      </w:tr>
      <w:tr w14:paraId="6E48A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49D8C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1A104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00" w:type="dxa"/>
            <w:noWrap w:val="0"/>
            <w:vAlign w:val="center"/>
          </w:tcPr>
          <w:p w14:paraId="69BEF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监测方式</w:t>
            </w:r>
          </w:p>
        </w:tc>
        <w:tc>
          <w:tcPr>
            <w:tcW w:w="2750" w:type="dxa"/>
            <w:gridSpan w:val="6"/>
            <w:noWrap w:val="0"/>
            <w:vAlign w:val="center"/>
          </w:tcPr>
          <w:p w14:paraId="18213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手动</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；自动</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；无监测</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2624" w:type="dxa"/>
            <w:gridSpan w:val="5"/>
            <w:noWrap w:val="0"/>
            <w:vAlign w:val="center"/>
          </w:tcPr>
          <w:p w14:paraId="547085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手动</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；自动</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；无监测</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403A5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7D765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7C99A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00" w:type="dxa"/>
            <w:noWrap w:val="0"/>
            <w:vAlign w:val="center"/>
          </w:tcPr>
          <w:p w14:paraId="2D4AE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监测点位</w:t>
            </w:r>
          </w:p>
        </w:tc>
        <w:tc>
          <w:tcPr>
            <w:tcW w:w="2750" w:type="dxa"/>
            <w:gridSpan w:val="6"/>
            <w:noWrap w:val="0"/>
            <w:vAlign w:val="center"/>
          </w:tcPr>
          <w:p w14:paraId="22545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624" w:type="dxa"/>
            <w:gridSpan w:val="5"/>
            <w:noWrap w:val="0"/>
            <w:vAlign w:val="center"/>
          </w:tcPr>
          <w:p w14:paraId="68C1B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3EDF6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11CFE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vMerge w:val="continue"/>
            <w:noWrap w:val="0"/>
            <w:vAlign w:val="center"/>
          </w:tcPr>
          <w:p w14:paraId="422036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00" w:type="dxa"/>
            <w:noWrap w:val="0"/>
            <w:vAlign w:val="center"/>
          </w:tcPr>
          <w:p w14:paraId="617DA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监测因子</w:t>
            </w:r>
          </w:p>
        </w:tc>
        <w:tc>
          <w:tcPr>
            <w:tcW w:w="2750" w:type="dxa"/>
            <w:gridSpan w:val="6"/>
            <w:noWrap w:val="0"/>
            <w:vAlign w:val="center"/>
          </w:tcPr>
          <w:p w14:paraId="137D3A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624" w:type="dxa"/>
            <w:gridSpan w:val="5"/>
            <w:noWrap w:val="0"/>
            <w:vAlign w:val="center"/>
          </w:tcPr>
          <w:p w14:paraId="6043C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61F32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noWrap w:val="0"/>
            <w:vAlign w:val="center"/>
          </w:tcPr>
          <w:p w14:paraId="4442A2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84" w:type="dxa"/>
            <w:noWrap w:val="0"/>
            <w:vAlign w:val="center"/>
          </w:tcPr>
          <w:p w14:paraId="0786B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污染物排放清单</w:t>
            </w:r>
          </w:p>
        </w:tc>
        <w:tc>
          <w:tcPr>
            <w:tcW w:w="6874" w:type="dxa"/>
            <w:gridSpan w:val="12"/>
            <w:noWrap w:val="0"/>
            <w:vAlign w:val="center"/>
          </w:tcPr>
          <w:p w14:paraId="04EB7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38462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noWrap w:val="0"/>
            <w:vAlign w:val="center"/>
          </w:tcPr>
          <w:p w14:paraId="2B561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评价结论</w:t>
            </w:r>
          </w:p>
        </w:tc>
        <w:tc>
          <w:tcPr>
            <w:tcW w:w="6874" w:type="dxa"/>
            <w:gridSpan w:val="12"/>
            <w:noWrap w:val="0"/>
            <w:vAlign w:val="center"/>
          </w:tcPr>
          <w:p w14:paraId="01008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可以接受 </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 xml:space="preserve">；不可以接受 </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05E64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14" w:type="dxa"/>
            <w:gridSpan w:val="14"/>
            <w:noWrap w:val="0"/>
            <w:vAlign w:val="center"/>
          </w:tcPr>
          <w:p w14:paraId="7015B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为勾选项，可√；</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 ）</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为内容填写项；</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备注</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为其他补充内容。</w:t>
            </w:r>
          </w:p>
        </w:tc>
      </w:tr>
      <w:bookmarkEnd w:id="435"/>
    </w:tbl>
    <w:p w14:paraId="385B8645">
      <w:pPr>
        <w:pStyle w:val="4"/>
        <w:spacing w:before="60" w:after="60" w:line="480" w:lineRule="exact"/>
        <w:rPr>
          <w:rFonts w:hint="eastAsia"/>
          <w:color w:val="000000" w:themeColor="text1"/>
          <w:kern w:val="2"/>
          <w14:textFill>
            <w14:solidFill>
              <w14:schemeClr w14:val="tx1"/>
            </w14:solidFill>
          </w14:textFill>
        </w:rPr>
      </w:pPr>
      <w:bookmarkStart w:id="436" w:name="_Toc13609"/>
      <w:r>
        <w:rPr>
          <w:rFonts w:hint="eastAsia"/>
          <w:color w:val="000000" w:themeColor="text1"/>
          <w:kern w:val="2"/>
          <w14:textFill>
            <w14:solidFill>
              <w14:schemeClr w14:val="tx1"/>
            </w14:solidFill>
          </w14:textFill>
        </w:rPr>
        <w:t>5.2.3地下水环境影响预测与评价</w:t>
      </w:r>
      <w:bookmarkEnd w:id="436"/>
    </w:p>
    <w:p w14:paraId="2F0C230A">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5.2.3.1</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地下水环境概况</w:t>
      </w:r>
    </w:p>
    <w:p w14:paraId="1BC0104F">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根据乌鲁木齐天瑞博源矿业有限公司前期编制的《哈密市西成矿业有限责任公司新疆哈密市M1033铁矿矿产资源开发利用与生态保护修复方案》，矿床开采方式设计采用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自上而下开采顺序的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地下开采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方式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。矿区内矿段未揭露到地下水，矿区附近最低点位于矿区西南部，标高1234m，为矿区最低排泄面标高。</w:t>
      </w:r>
    </w:p>
    <w:p w14:paraId="4ABA5B45">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矿山</w:t>
      </w:r>
      <w:r>
        <w:rPr>
          <w:rFonts w:hint="eastAsia" w:cs="Times New Roman"/>
          <w:color w:val="000000" w:themeColor="text1"/>
          <w:sz w:val="24"/>
          <w:szCs w:val="24"/>
          <w:lang w:val="en-US" w:eastAsia="zh-CN"/>
          <w14:textFill>
            <w14:solidFill>
              <w14:schemeClr w14:val="tx1"/>
            </w14:solidFill>
          </w14:textFill>
        </w:rPr>
        <w:t>此前</w:t>
      </w:r>
      <w:r>
        <w:rPr>
          <w:rFonts w:hint="eastAsia"/>
          <w:color w:val="000000" w:themeColor="text1"/>
          <w:sz w:val="24"/>
          <w:szCs w:val="24"/>
          <w:lang w:val="en-US" w:eastAsia="zh-CN"/>
          <w14:textFill>
            <w14:solidFill>
              <w14:schemeClr w14:val="tx1"/>
            </w14:solidFill>
          </w14:textFill>
        </w:rPr>
        <w:t>试生产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已开采至1030m标高（四中段），地下水出露标高1222.32m，为矿区最低侵蚀基准面标高。矿区范围内矿体最低开采标高为900m（采矿证最低限采标高），位于地下水位标高以下，故矿山在开采过程中的水文地质问题以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矿井涌水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为主，补给来源主要为地下水的侧向补给，其次为少量大气降水缓慢渗入。</w:t>
      </w:r>
    </w:p>
    <w:p w14:paraId="27A28D4F">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因此，本次环评按照矿段有矿井涌水的情况进行评价并提出相应的地下水保护措施。同时要求，建设单位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边采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边探，在出现矿井涌水的情况下，立即完善地下水保护措施，最大限度地减少对地下水环境产生的影响。</w:t>
      </w:r>
    </w:p>
    <w:p w14:paraId="182F9345">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5.2.3.2</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矿区水文地质</w:t>
      </w:r>
    </w:p>
    <w:p w14:paraId="7CFBBA23">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区附近最低点位于矿区西南部，标高1234m，为矿区最低排泄面标高。目前矿山已开采至1030m标高（四中段），地下水出露标高1222.32m，为矿区最低侵蚀基准面标高。矿体多位于最低侵蚀基准面以上，通过矿段施工的钻探情况来看，矿区上游、矿区两侧、项目场地及下游已做监测井且观测到地下水，仅在矿区东部分布有地下水，其他区域未见地下水出露，矿区内无泉眼。矿床开采方式采用地下开采，故开采过程中可能发生的主要水文地质问题是采坑充水。充水方式主要为地表径流沿裂隙的侧向渗漏。其他地段采坑充水性较弱。</w:t>
      </w:r>
    </w:p>
    <w:p w14:paraId="329E7AFD">
      <w:pPr>
        <w:keepNext w:val="0"/>
        <w:keepLines w:val="0"/>
        <w:pageBreakBefore w:val="0"/>
        <w:widowControl w:val="0"/>
        <w:kinsoku/>
        <w:wordWrap/>
        <w:overflowPunct/>
        <w:topLinePunct w:val="0"/>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矿区内大面积被第四系全新统冲洪积层（Q</w:t>
      </w:r>
      <w:r>
        <w:rPr>
          <w:rFonts w:hint="default" w:ascii="Times New Roman" w:hAnsi="Times New Roman" w:eastAsia="宋体" w:cs="Times New Roman"/>
          <w:color w:val="000000" w:themeColor="text1"/>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aal</w:t>
      </w:r>
      <w:r>
        <w:rPr>
          <w:rFonts w:hint="default" w:ascii="Times New Roman" w:hAnsi="Times New Roman" w:eastAsia="宋体" w:cs="Times New Roman"/>
          <w:color w:val="000000" w:themeColor="text1"/>
          <w:sz w:val="24"/>
          <w:szCs w:val="24"/>
          <w14:textFill>
            <w14:solidFill>
              <w14:schemeClr w14:val="tx1"/>
            </w14:solidFill>
          </w14:textFill>
        </w:rPr>
        <w:t>）覆盖，出露的地层为下寒武统双鹰山组(∈</w:t>
      </w:r>
      <w:r>
        <w:rPr>
          <w:rFonts w:hint="default" w:ascii="Times New Roman" w:hAnsi="Times New Roman" w:eastAsia="宋体" w:cs="Times New Roman"/>
          <w:color w:val="000000" w:themeColor="text1"/>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S)。根据地下水赋存条件和水力特征，将矿区内地下水划分为两个含水层组</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分别为</w:t>
      </w:r>
      <w:r>
        <w:rPr>
          <w:rFonts w:hint="default" w:ascii="Times New Roman" w:hAnsi="Times New Roman" w:eastAsia="宋体" w:cs="Times New Roman"/>
          <w:color w:val="000000" w:themeColor="text1"/>
          <w:sz w:val="24"/>
          <w:szCs w:val="24"/>
          <w14:textFill>
            <w14:solidFill>
              <w14:schemeClr w14:val="tx1"/>
            </w14:solidFill>
          </w14:textFill>
        </w:rPr>
        <w:t>第四系松散岩类透水不含水层（Ⅰ）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14:textFill>
            <w14:solidFill>
              <w14:schemeClr w14:val="tx1"/>
            </w14:solidFill>
          </w14:textFill>
        </w:rPr>
        <w:t>变质岩类裂隙弱富水弱含水层（Ⅱ）</w:t>
      </w:r>
      <w:r>
        <w:rPr>
          <w:rFonts w:hint="eastAsia" w:cs="Times New Roman"/>
          <w:color w:val="000000" w:themeColor="text1"/>
          <w:sz w:val="24"/>
          <w:szCs w:val="24"/>
          <w:lang w:eastAsia="zh-CN"/>
          <w14:textFill>
            <w14:solidFill>
              <w14:schemeClr w14:val="tx1"/>
            </w14:solidFill>
          </w14:textFill>
        </w:rPr>
        <w:t>。</w:t>
      </w:r>
    </w:p>
    <w:p w14:paraId="1889D401">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5.2.3.3</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矿山开采对地下水环境影响分析</w:t>
      </w:r>
    </w:p>
    <w:p w14:paraId="5453953B">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spacing w:val="0"/>
          <w:sz w:val="24"/>
          <w:szCs w:val="24"/>
          <w14:textFill>
            <w14:solidFill>
              <w14:schemeClr w14:val="tx1"/>
            </w14:solidFill>
          </w14:textFill>
        </w:rPr>
      </w:pPr>
      <w:r>
        <w:rPr>
          <w:rFonts w:hint="default" w:ascii="Times New Roman" w:hAnsi="Times New Roman" w:cs="Times New Roman" w:eastAsiaTheme="minorEastAsia"/>
          <w:color w:val="000000" w:themeColor="text1"/>
          <w:spacing w:val="0"/>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pacing w:val="0"/>
          <w:sz w:val="24"/>
          <w:szCs w:val="24"/>
          <w14:textFill>
            <w14:solidFill>
              <w14:schemeClr w14:val="tx1"/>
            </w14:solidFill>
          </w14:textFill>
        </w:rPr>
        <w:t>生活污水对地下水的影响</w:t>
      </w:r>
    </w:p>
    <w:p w14:paraId="0AFE71D1">
      <w:pPr>
        <w:pStyle w:val="18"/>
        <w:spacing w:line="480" w:lineRule="exact"/>
        <w:ind w:firstLine="480"/>
        <w:rPr>
          <w:color w:val="000000" w:themeColor="text1"/>
          <w:sz w:val="24"/>
          <w:szCs w:val="28"/>
          <w14:textFill>
            <w14:solidFill>
              <w14:schemeClr w14:val="tx1"/>
            </w14:solidFill>
          </w14:textFill>
        </w:rPr>
      </w:pPr>
      <w:r>
        <w:rPr>
          <w:rFonts w:hint="default" w:ascii="Times New Roman" w:hAnsi="Times New Roman" w:cs="Times New Roman" w:eastAsiaTheme="minorEastAsia"/>
          <w:color w:val="000000" w:themeColor="text1"/>
          <w:spacing w:val="0"/>
          <w:sz w:val="24"/>
          <w:szCs w:val="24"/>
          <w:lang w:eastAsia="zh-CN"/>
          <w14:textFill>
            <w14:solidFill>
              <w14:schemeClr w14:val="tx1"/>
            </w14:solidFill>
          </w14:textFill>
        </w:rPr>
        <w:t>本</w:t>
      </w:r>
      <w:r>
        <w:rPr>
          <w:rFonts w:hint="eastAsia" w:ascii="Times New Roman" w:hAnsi="Times New Roman" w:cs="Times New Roman" w:eastAsiaTheme="minorEastAsia"/>
          <w:color w:val="000000" w:themeColor="text1"/>
          <w:spacing w:val="0"/>
          <w:sz w:val="24"/>
          <w:szCs w:val="24"/>
          <w:lang w:eastAsia="zh-CN"/>
          <w14:textFill>
            <w14:solidFill>
              <w14:schemeClr w14:val="tx1"/>
            </w14:solidFill>
          </w14:textFill>
        </w:rPr>
        <w:t>项目</w:t>
      </w:r>
      <w:r>
        <w:rPr>
          <w:rFonts w:hint="default" w:ascii="Times New Roman" w:hAnsi="Times New Roman" w:cs="Times New Roman" w:eastAsiaTheme="minorEastAsia"/>
          <w:color w:val="000000" w:themeColor="text1"/>
          <w:spacing w:val="0"/>
          <w:sz w:val="24"/>
          <w:szCs w:val="24"/>
          <w14:textFill>
            <w14:solidFill>
              <w14:schemeClr w14:val="tx1"/>
            </w14:solidFill>
          </w14:textFill>
        </w:rPr>
        <w:t>生活污水</w:t>
      </w:r>
      <w:r>
        <w:rPr>
          <w:rFonts w:hint="default" w:ascii="Times New Roman" w:hAnsi="Times New Roman" w:cs="Times New Roman" w:eastAsiaTheme="minorEastAsia"/>
          <w:color w:val="000000" w:themeColor="text1"/>
          <w:spacing w:val="0"/>
          <w:sz w:val="24"/>
          <w:szCs w:val="24"/>
          <w:lang w:val="en-US" w:eastAsia="zh-CN"/>
          <w14:textFill>
            <w14:solidFill>
              <w14:schemeClr w14:val="tx1"/>
            </w14:solidFill>
          </w14:textFill>
        </w:rPr>
        <w:t>排放至地埋式一体化污水处理设施处理</w:t>
      </w:r>
      <w:r>
        <w:rPr>
          <w:rFonts w:hint="eastAsia" w:cs="Times New Roman" w:eastAsiaTheme="minorEastAsia"/>
          <w:color w:val="000000" w:themeColor="text1"/>
          <w:spacing w:val="0"/>
          <w:sz w:val="24"/>
          <w:szCs w:val="24"/>
          <w:lang w:val="en-US" w:eastAsia="zh-CN"/>
          <w14:textFill>
            <w14:solidFill>
              <w14:schemeClr w14:val="tx1"/>
            </w14:solidFill>
          </w14:textFill>
        </w:rPr>
        <w:t>达标后，灌溉期用于矿山绿化，非灌溉期将达标后的生活污水输送至选矿厂用于选矿生产</w:t>
      </w:r>
      <w:r>
        <w:rPr>
          <w:rFonts w:hint="eastAsia" w:cs="Times New Roman" w:eastAsiaTheme="minorEastAsia"/>
          <w:color w:val="000000" w:themeColor="text1"/>
          <w:spacing w:val="0"/>
          <w:sz w:val="24"/>
          <w:szCs w:val="24"/>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冬季停产期临时贮存于80m</w:t>
      </w:r>
      <w:r>
        <w:rPr>
          <w:rFonts w:hint="eastAsia"/>
          <w:color w:val="000000" w:themeColor="text1"/>
          <w:sz w:val="24"/>
          <w:szCs w:val="28"/>
          <w:vertAlign w:val="superscript"/>
          <w:lang w:val="en-US" w:eastAsia="zh-CN"/>
          <w14:textFill>
            <w14:solidFill>
              <w14:schemeClr w14:val="tx1"/>
            </w14:solidFill>
          </w14:textFill>
        </w:rPr>
        <w:t>3</w:t>
      </w:r>
      <w:r>
        <w:rPr>
          <w:rFonts w:hint="eastAsia"/>
          <w:color w:val="000000" w:themeColor="text1"/>
          <w:sz w:val="24"/>
          <w:szCs w:val="28"/>
          <w:lang w:val="en-US" w:eastAsia="zh-CN"/>
          <w14:textFill>
            <w14:solidFill>
              <w14:schemeClr w14:val="tx1"/>
            </w14:solidFill>
          </w14:textFill>
        </w:rPr>
        <w:t>的生活污水贮水池，待来年用于绿化</w:t>
      </w:r>
      <w:r>
        <w:rPr>
          <w:rFonts w:hint="eastAsia"/>
          <w:color w:val="000000" w:themeColor="text1"/>
          <w:sz w:val="24"/>
          <w:szCs w:val="28"/>
          <w14:textFill>
            <w14:solidFill>
              <w14:schemeClr w14:val="tx1"/>
            </w14:solidFill>
          </w14:textFill>
        </w:rPr>
        <w:t>。</w:t>
      </w:r>
    </w:p>
    <w:p w14:paraId="6411B4CA">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湿式凿岩废水对地下水的影响</w:t>
      </w:r>
    </w:p>
    <w:p w14:paraId="62416046">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w:t>
      </w:r>
      <w:r>
        <w:rPr>
          <w:rFonts w:hint="eastAsia" w:cs="Times New Roman" w:eastAsiaTheme="minorEastAsia"/>
          <w:color w:val="000000" w:themeColor="text1"/>
          <w:sz w:val="24"/>
          <w:szCs w:val="24"/>
          <w:lang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14:textFill>
            <w14:solidFill>
              <w14:schemeClr w14:val="tx1"/>
            </w14:solidFill>
          </w14:textFill>
        </w:rPr>
        <w:t>凿岩废水量较少，一般不形成水流，若形成水流，经矿道一侧排水沟集中排入中段水仓内，</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由水泵</w:t>
      </w:r>
      <w:r>
        <w:rPr>
          <w:rFonts w:hint="default" w:ascii="Times New Roman" w:hAnsi="Times New Roman" w:cs="Times New Roman" w:eastAsiaTheme="minorEastAsia"/>
          <w:color w:val="000000" w:themeColor="text1"/>
          <w:sz w:val="24"/>
          <w:szCs w:val="24"/>
          <w14:textFill>
            <w14:solidFill>
              <w14:schemeClr w14:val="tx1"/>
            </w14:solidFill>
          </w14:textFill>
        </w:rPr>
        <w:t>扬送至地表竖井附近的沉淀池内沉淀，沉淀出水回用于矿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井</w:t>
      </w:r>
      <w:r>
        <w:rPr>
          <w:rFonts w:hint="default" w:ascii="Times New Roman" w:hAnsi="Times New Roman" w:cs="Times New Roman" w:eastAsiaTheme="minorEastAsia"/>
          <w:color w:val="000000" w:themeColor="text1"/>
          <w:sz w:val="24"/>
          <w:szCs w:val="24"/>
          <w14:textFill>
            <w14:solidFill>
              <w14:schemeClr w14:val="tx1"/>
            </w14:solidFill>
          </w14:textFill>
        </w:rPr>
        <w:t>开采，不外排，不会下渗至地下含水层，影响地下水水质。</w:t>
      </w:r>
    </w:p>
    <w:p w14:paraId="2E42566B">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采矿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矿井</w:t>
      </w:r>
      <w:r>
        <w:rPr>
          <w:rFonts w:hint="default" w:ascii="Times New Roman" w:hAnsi="Times New Roman" w:cs="Times New Roman" w:eastAsiaTheme="minorEastAsia"/>
          <w:color w:val="000000" w:themeColor="text1"/>
          <w:sz w:val="24"/>
          <w:szCs w:val="24"/>
          <w14:textFill>
            <w14:solidFill>
              <w14:schemeClr w14:val="tx1"/>
            </w14:solidFill>
          </w14:textFill>
        </w:rPr>
        <w:t>涌水对地下水位的影响</w:t>
      </w:r>
    </w:p>
    <w:p w14:paraId="59BD4F2C">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根据矿山地质报告的预测</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及采取措施后</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，矿山开采过程</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中最大</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矿井涌水量为</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1600</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。为了安全生产的需要，必须把井下巷道内的积水抽出，即矿井涌水。涌水对地下水的影响主要反映在以下几方面：</w:t>
      </w:r>
    </w:p>
    <w:p w14:paraId="6F30513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矿井（坑）疏干后对被截流的地下含水层要产生一个降落漏斗</w:t>
      </w:r>
      <w:r>
        <w:rPr>
          <w:rFonts w:hint="eastAsia" w:cs="Times New Roman" w:eastAsiaTheme="minorEastAsia"/>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0"/>
          <w:w w:val="100"/>
          <w:position w:val="0"/>
          <w:sz w:val="24"/>
          <w:szCs w:val="24"/>
          <w:lang w:val="en-US" w:eastAsia="zh-CN"/>
          <w14:textFill>
            <w14:solidFill>
              <w14:schemeClr w14:val="tx1"/>
            </w14:solidFill>
          </w14:textFill>
        </w:rPr>
        <w:t>开采引起的影响半径预测如下：</w:t>
      </w:r>
    </w:p>
    <w:p w14:paraId="5F6AE58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矿区地下水为基岩裂隙潜水，富水性弱，项目采矿疏干局部地下水后，会导致一定范围内的地下水水位下降，水位下降影响范围采用如下公式计算：</w:t>
      </w:r>
    </w:p>
    <w:p w14:paraId="74E29D88">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m:oMathPara>
        <m:oMath>
          <m:r>
            <m:rPr/>
            <w:rPr>
              <w:rFonts w:hint="default" w:ascii="Cambria Math" w:hAnsi="Cambria Math" w:cs="Times New Roman" w:eastAsiaTheme="minorEastAsia"/>
              <w:color w:val="000000" w:themeColor="text1"/>
              <w:kern w:val="2"/>
              <w:sz w:val="24"/>
              <w:szCs w:val="24"/>
              <w:lang w:val="en-US" w:eastAsia="zh-CN" w:bidi="ar-SA"/>
              <w14:textFill>
                <w14:solidFill>
                  <w14:schemeClr w14:val="tx1"/>
                </w14:solidFill>
              </w14:textFill>
            </w:rPr>
            <m:t>R</m:t>
          </m:r>
          <m:r>
            <m:rPr>
              <m:sty m:val="p"/>
            </m:rPr>
            <w:rPr>
              <w:rFonts w:hint="default" w:ascii="Cambria Math" w:hAnsi="Cambria Math" w:cs="Times New Roman" w:eastAsiaTheme="minorEastAsia"/>
              <w:color w:val="000000" w:themeColor="text1"/>
              <w:kern w:val="2"/>
              <w:sz w:val="24"/>
              <w:szCs w:val="24"/>
              <w:lang w:val="en-US" w:eastAsia="zh-CN" w:bidi="ar-SA"/>
              <w14:textFill>
                <w14:solidFill>
                  <w14:schemeClr w14:val="tx1"/>
                </w14:solidFill>
              </w14:textFill>
            </w:rPr>
            <m:t>=</m:t>
          </m:r>
          <m:r>
            <m:rPr/>
            <w:rPr>
              <w:rFonts w:hint="default" w:ascii="Cambria Math" w:hAnsi="Cambria Math" w:cs="Times New Roman" w:eastAsiaTheme="minorEastAsia"/>
              <w:color w:val="000000" w:themeColor="text1"/>
              <w:kern w:val="2"/>
              <w:sz w:val="24"/>
              <w:szCs w:val="24"/>
              <w:lang w:val="en-US" w:eastAsia="zh-CN" w:bidi="ar-SA"/>
              <w14:textFill>
                <w14:solidFill>
                  <w14:schemeClr w14:val="tx1"/>
                </w14:solidFill>
              </w14:textFill>
            </w:rPr>
            <m:t>2S</m:t>
          </m:r>
          <m:rad>
            <m:radPr>
              <m:degHide m:val="1"/>
              <m:ctrlPr>
                <w:rPr>
                  <w:rFonts w:hint="default" w:ascii="Cambria Math" w:hAnsi="Cambria Math" w:cs="Times New Roman" w:eastAsiaTheme="minorEastAsia"/>
                  <w:i/>
                  <w:iCs/>
                  <w:color w:val="000000" w:themeColor="text1"/>
                  <w:kern w:val="2"/>
                  <w:sz w:val="24"/>
                  <w:szCs w:val="24"/>
                  <w:lang w:val="en-US" w:eastAsia="zh-CN" w:bidi="ar-SA"/>
                  <w14:textFill>
                    <w14:solidFill>
                      <w14:schemeClr w14:val="tx1"/>
                    </w14:solidFill>
                  </w14:textFill>
                </w:rPr>
              </m:ctrlPr>
            </m:radPr>
            <m:deg>
              <m:ctrlPr>
                <w:rPr>
                  <w:rFonts w:hint="default" w:ascii="Cambria Math" w:hAnsi="Cambria Math" w:cs="Times New Roman" w:eastAsiaTheme="minorEastAsia"/>
                  <w:i/>
                  <w:iCs/>
                  <w:color w:val="000000" w:themeColor="text1"/>
                  <w:kern w:val="2"/>
                  <w:sz w:val="24"/>
                  <w:szCs w:val="24"/>
                  <w:lang w:val="en-US" w:eastAsia="zh-CN" w:bidi="ar-SA"/>
                  <w14:textFill>
                    <w14:solidFill>
                      <w14:schemeClr w14:val="tx1"/>
                    </w14:solidFill>
                  </w14:textFill>
                </w:rPr>
              </m:ctrlPr>
            </m:deg>
            <m:e>
              <m:r>
                <m:rPr/>
                <w:rPr>
                  <w:rFonts w:hint="default" w:ascii="Cambria Math" w:hAnsi="Cambria Math" w:cs="Times New Roman" w:eastAsiaTheme="minorEastAsia"/>
                  <w:color w:val="000000" w:themeColor="text1"/>
                  <w:kern w:val="2"/>
                  <w:sz w:val="24"/>
                  <w:szCs w:val="24"/>
                  <w:lang w:val="en-US" w:eastAsia="zh-CN" w:bidi="ar-SA"/>
                  <w14:textFill>
                    <w14:solidFill>
                      <w14:schemeClr w14:val="tx1"/>
                    </w14:solidFill>
                  </w14:textFill>
                </w:rPr>
                <m:t>HK</m:t>
              </m:r>
              <m:ctrlPr>
                <w:rPr>
                  <w:rFonts w:hint="default" w:ascii="Cambria Math" w:hAnsi="Cambria Math" w:cs="Times New Roman" w:eastAsiaTheme="minorEastAsia"/>
                  <w:i/>
                  <w:iCs/>
                  <w:color w:val="000000" w:themeColor="text1"/>
                  <w:kern w:val="2"/>
                  <w:sz w:val="24"/>
                  <w:szCs w:val="24"/>
                  <w:lang w:val="en-US" w:eastAsia="zh-CN" w:bidi="ar-SA"/>
                  <w14:textFill>
                    <w14:solidFill>
                      <w14:schemeClr w14:val="tx1"/>
                    </w14:solidFill>
                  </w14:textFill>
                </w:rPr>
              </m:ctrlPr>
            </m:e>
          </m:rad>
        </m:oMath>
      </m:oMathPara>
    </w:p>
    <w:p w14:paraId="62187BE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该公式为</w:t>
      </w:r>
      <w:r>
        <w:rPr>
          <w:rFonts w:hint="default" w:ascii="Times New Roman" w:hAnsi="Times New Roman" w:cs="Times New Roman" w:eastAsiaTheme="minorEastAsia"/>
          <w:color w:val="000000" w:themeColor="text1"/>
          <w:sz w:val="24"/>
          <w:szCs w:val="24"/>
          <w14:textFill>
            <w14:solidFill>
              <w14:schemeClr w14:val="tx1"/>
            </w14:solidFill>
          </w14:textFill>
        </w:rPr>
        <w:t>吉哈尔特公式</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适用于潜水含水层</w:t>
      </w:r>
      <w:r>
        <w:rPr>
          <w:rFonts w:hint="eastAsia" w:cs="Times New Roman" w:eastAsiaTheme="minorEastAsia"/>
          <w:color w:val="000000" w:themeColor="text1"/>
          <w:sz w:val="24"/>
          <w:szCs w:val="24"/>
          <w:lang w:eastAsia="zh-CN"/>
          <w14:textFill>
            <w14:solidFill>
              <w14:schemeClr w14:val="tx1"/>
            </w14:solidFill>
          </w14:textFill>
        </w:rPr>
        <w:t>。</w:t>
      </w:r>
    </w:p>
    <w:p w14:paraId="6020067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式中：R—影响半径，m；</w:t>
      </w:r>
    </w:p>
    <w:p w14:paraId="37CCB189">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S—水位降深，m，为稳定静止水位标高与开采标高的差值；</w:t>
      </w:r>
    </w:p>
    <w:p w14:paraId="2C3FCD4F">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H—含水层</w:t>
      </w:r>
      <w:r>
        <w:rPr>
          <w:rFonts w:hint="eastAsia" w:cs="Times New Roman" w:eastAsiaTheme="minorEastAsia"/>
          <w:color w:val="000000" w:themeColor="text1"/>
          <w:sz w:val="24"/>
          <w:szCs w:val="24"/>
          <w:lang w:val="en-US" w:eastAsia="zh-CN"/>
          <w14:textFill>
            <w14:solidFill>
              <w14:schemeClr w14:val="tx1"/>
            </w14:solidFill>
          </w14:textFill>
        </w:rPr>
        <w:t>初始</w:t>
      </w:r>
      <w:r>
        <w:rPr>
          <w:rFonts w:hint="default" w:ascii="Times New Roman" w:hAnsi="Times New Roman" w:cs="Times New Roman" w:eastAsiaTheme="minorEastAsia"/>
          <w:color w:val="000000" w:themeColor="text1"/>
          <w:sz w:val="24"/>
          <w:szCs w:val="24"/>
          <w14:textFill>
            <w14:solidFill>
              <w14:schemeClr w14:val="tx1"/>
            </w14:solidFill>
          </w14:textFill>
        </w:rPr>
        <w:t>厚度，m；</w:t>
      </w:r>
    </w:p>
    <w:p w14:paraId="0DB7FBEE">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K—渗透系数，m/d</w:t>
      </w:r>
      <w:r>
        <w:rPr>
          <w:rFonts w:hint="eastAsia" w:cs="Times New Roman" w:eastAsiaTheme="minorEastAsia"/>
          <w:color w:val="000000" w:themeColor="text1"/>
          <w:sz w:val="24"/>
          <w:szCs w:val="24"/>
          <w:lang w:eastAsia="zh-CN"/>
          <w14:textFill>
            <w14:solidFill>
              <w14:schemeClr w14:val="tx1"/>
            </w14:solidFill>
          </w14:textFill>
        </w:rPr>
        <w:t>。</w:t>
      </w:r>
    </w:p>
    <w:p w14:paraId="3860098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开采引起的地下水</w:t>
      </w:r>
      <w:r>
        <w:rPr>
          <w:rFonts w:hint="default" w:ascii="Times New Roman" w:hAnsi="Times New Roman" w:cs="Times New Roman" w:eastAsiaTheme="minorEastAsia"/>
          <w:color w:val="000000" w:themeColor="text1"/>
          <w:sz w:val="24"/>
          <w:szCs w:val="24"/>
          <w14:textFill>
            <w14:solidFill>
              <w14:schemeClr w14:val="tx1"/>
            </w14:solidFill>
          </w14:textFill>
        </w:rPr>
        <w:t>影响半径计算</w:t>
      </w:r>
      <w:r>
        <w:rPr>
          <w:rFonts w:hint="eastAsia" w:cs="Times New Roman" w:eastAsiaTheme="minorEastAsia"/>
          <w:color w:val="000000" w:themeColor="text1"/>
          <w:sz w:val="24"/>
          <w:szCs w:val="24"/>
          <w:lang w:val="en-US" w:eastAsia="zh-CN"/>
          <w14:textFill>
            <w14:solidFill>
              <w14:schemeClr w14:val="tx1"/>
            </w14:solidFill>
          </w14:textFill>
        </w:rPr>
        <w:t>参数</w:t>
      </w:r>
      <w:r>
        <w:rPr>
          <w:rFonts w:hint="default" w:ascii="Times New Roman" w:hAnsi="Times New Roman" w:cs="Times New Roman" w:eastAsiaTheme="minorEastAsia"/>
          <w:color w:val="000000" w:themeColor="text1"/>
          <w:sz w:val="24"/>
          <w:szCs w:val="24"/>
          <w14:textFill>
            <w14:solidFill>
              <w14:schemeClr w14:val="tx1"/>
            </w14:solidFill>
          </w14:textFill>
        </w:rPr>
        <w:t>见表5.</w:t>
      </w: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5EB4545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eastAsiaTheme="minorEastAsia"/>
          <w:b/>
          <w:bCs/>
          <w:color w:val="000000" w:themeColor="text1"/>
          <w:sz w:val="24"/>
          <w:szCs w:val="24"/>
          <w:lang w:val="en-US"/>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表5.</w:t>
      </w:r>
      <w:r>
        <w:rPr>
          <w:rFonts w:hint="eastAsia"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14:textFill>
            <w14:solidFill>
              <w14:schemeClr w14:val="tx1"/>
            </w14:solidFill>
          </w14:textFill>
        </w:rPr>
        <w:t>-</w:t>
      </w:r>
      <w:r>
        <w:rPr>
          <w:rFonts w:hint="eastAsia" w:cs="Times New Roman" w:eastAsiaTheme="minorEastAsia"/>
          <w:b/>
          <w:bCs/>
          <w:color w:val="000000" w:themeColor="text1"/>
          <w:sz w:val="24"/>
          <w:szCs w:val="24"/>
          <w:lang w:val="en-US" w:eastAsia="zh-CN"/>
          <w14:textFill>
            <w14:solidFill>
              <w14:schemeClr w14:val="tx1"/>
            </w14:solidFill>
          </w14:textFill>
        </w:rPr>
        <w:t>7    影响半径计算参数一览表</w:t>
      </w:r>
    </w:p>
    <w:tbl>
      <w:tblPr>
        <w:tblStyle w:val="979"/>
        <w:tblW w:w="510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46"/>
        <w:gridCol w:w="1740"/>
        <w:gridCol w:w="1589"/>
        <w:gridCol w:w="3438"/>
      </w:tblGrid>
      <w:tr w14:paraId="710E68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026" w:type="pct"/>
            <w:tcBorders>
              <w:tl2br w:val="nil"/>
              <w:tr2bl w:val="nil"/>
            </w:tcBorders>
            <w:shd w:val="clear" w:color="auto" w:fill="auto"/>
            <w:vAlign w:val="center"/>
          </w:tcPr>
          <w:p w14:paraId="769BC5E7">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b/>
                <w:bCs/>
                <w:color w:val="000000" w:themeColor="text1"/>
                <w:spacing w:val="-3"/>
                <w:sz w:val="21"/>
                <w:szCs w:val="21"/>
                <w14:textFill>
                  <w14:solidFill>
                    <w14:schemeClr w14:val="tx1"/>
                  </w14:solidFill>
                </w14:textFill>
              </w:rPr>
              <w:t>最低开采标</w:t>
            </w:r>
            <w:r>
              <w:rPr>
                <w:rFonts w:hint="default" w:ascii="Times New Roman" w:hAnsi="Times New Roman" w:eastAsia="宋体" w:cs="Times New Roman"/>
                <w:b/>
                <w:bCs/>
                <w:color w:val="000000" w:themeColor="text1"/>
                <w:spacing w:val="-4"/>
                <w:sz w:val="21"/>
                <w:szCs w:val="21"/>
                <w14:textFill>
                  <w14:solidFill>
                    <w14:schemeClr w14:val="tx1"/>
                  </w14:solidFill>
                </w14:textFill>
              </w:rPr>
              <w:t>高（m）</w:t>
            </w:r>
          </w:p>
        </w:tc>
        <w:tc>
          <w:tcPr>
            <w:tcW w:w="1022" w:type="pct"/>
            <w:tcBorders>
              <w:tl2br w:val="nil"/>
              <w:tr2bl w:val="nil"/>
            </w:tcBorders>
            <w:shd w:val="clear" w:color="auto" w:fill="auto"/>
            <w:vAlign w:val="center"/>
          </w:tcPr>
          <w:p w14:paraId="07E36E72">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b/>
                <w:bCs/>
                <w:color w:val="000000" w:themeColor="text1"/>
                <w:spacing w:val="-2"/>
                <w:sz w:val="21"/>
                <w:szCs w:val="21"/>
                <w14:textFill>
                  <w14:solidFill>
                    <w14:schemeClr w14:val="tx1"/>
                  </w14:solidFill>
                </w14:textFill>
              </w:rPr>
              <w:t>含水层厚度</w:t>
            </w:r>
            <w:r>
              <w:rPr>
                <w:rFonts w:hint="default" w:ascii="Times New Roman" w:hAnsi="Times New Roman" w:eastAsia="宋体" w:cs="Times New Roman"/>
                <w:b/>
                <w:bCs/>
                <w:color w:val="000000" w:themeColor="text1"/>
                <w:spacing w:val="1"/>
                <w:sz w:val="21"/>
                <w:szCs w:val="21"/>
                <w14:textFill>
                  <w14:solidFill>
                    <w14:schemeClr w14:val="tx1"/>
                  </w14:solidFill>
                </w14:textFill>
              </w:rPr>
              <w:t>H（m）</w:t>
            </w:r>
          </w:p>
        </w:tc>
        <w:tc>
          <w:tcPr>
            <w:tcW w:w="933" w:type="pct"/>
            <w:tcBorders>
              <w:tl2br w:val="nil"/>
              <w:tr2bl w:val="nil"/>
            </w:tcBorders>
            <w:shd w:val="clear" w:color="auto" w:fill="auto"/>
            <w:vAlign w:val="center"/>
          </w:tcPr>
          <w:p w14:paraId="544481A7">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b/>
                <w:bCs/>
                <w:color w:val="000000" w:themeColor="text1"/>
                <w:spacing w:val="-3"/>
                <w:sz w:val="21"/>
                <w:szCs w:val="21"/>
                <w14:textFill>
                  <w14:solidFill>
                    <w14:schemeClr w14:val="tx1"/>
                  </w14:solidFill>
                </w14:textFill>
              </w:rPr>
              <w:t>水位降深S</w:t>
            </w:r>
            <w:r>
              <w:rPr>
                <w:rFonts w:hint="default" w:ascii="Times New Roman" w:hAnsi="Times New Roman" w:eastAsia="宋体" w:cs="Times New Roman"/>
                <w:b/>
                <w:bCs/>
                <w:color w:val="000000" w:themeColor="text1"/>
                <w:spacing w:val="-5"/>
                <w:sz w:val="21"/>
                <w:szCs w:val="21"/>
                <w14:textFill>
                  <w14:solidFill>
                    <w14:schemeClr w14:val="tx1"/>
                  </w14:solidFill>
                </w14:textFill>
              </w:rPr>
              <w:t>（m）</w:t>
            </w:r>
          </w:p>
        </w:tc>
        <w:tc>
          <w:tcPr>
            <w:tcW w:w="2018" w:type="pct"/>
            <w:tcBorders>
              <w:tl2br w:val="nil"/>
              <w:tr2bl w:val="nil"/>
            </w:tcBorders>
            <w:shd w:val="clear" w:color="auto" w:fill="auto"/>
            <w:vAlign w:val="center"/>
          </w:tcPr>
          <w:p w14:paraId="42F5C1B6">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渗透系数K</w:t>
            </w:r>
            <w:r>
              <w:rPr>
                <w:rFonts w:hint="default" w:ascii="Times New Roman" w:hAnsi="Times New Roman" w:eastAsia="宋体" w:cs="Times New Roman"/>
                <w:b/>
                <w:bCs/>
                <w:color w:val="000000" w:themeColor="text1"/>
                <w:spacing w:val="-4"/>
                <w:sz w:val="21"/>
                <w:szCs w:val="21"/>
                <w14:textFill>
                  <w14:solidFill>
                    <w14:schemeClr w14:val="tx1"/>
                  </w14:solidFill>
                </w14:textFill>
              </w:rPr>
              <w:t>（m/d）</w:t>
            </w:r>
          </w:p>
        </w:tc>
      </w:tr>
      <w:tr w14:paraId="02D00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026" w:type="pct"/>
            <w:tcBorders>
              <w:tl2br w:val="nil"/>
              <w:tr2bl w:val="nil"/>
            </w:tcBorders>
            <w:vAlign w:val="center"/>
          </w:tcPr>
          <w:p w14:paraId="6CBDE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w:t>
            </w:r>
          </w:p>
        </w:tc>
        <w:tc>
          <w:tcPr>
            <w:tcW w:w="1022" w:type="pct"/>
            <w:tcBorders>
              <w:tl2br w:val="nil"/>
              <w:tr2bl w:val="nil"/>
            </w:tcBorders>
            <w:vAlign w:val="center"/>
          </w:tcPr>
          <w:p w14:paraId="1899B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108.41</w:t>
            </w:r>
          </w:p>
        </w:tc>
        <w:tc>
          <w:tcPr>
            <w:tcW w:w="933" w:type="pct"/>
            <w:tcBorders>
              <w:tl2br w:val="nil"/>
              <w:tr2bl w:val="nil"/>
            </w:tcBorders>
            <w:vAlign w:val="center"/>
          </w:tcPr>
          <w:p w14:paraId="4E5C0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134.13</w:t>
            </w:r>
          </w:p>
        </w:tc>
        <w:tc>
          <w:tcPr>
            <w:tcW w:w="2018" w:type="pct"/>
            <w:tcBorders>
              <w:tl2br w:val="nil"/>
              <w:tr2bl w:val="nil"/>
            </w:tcBorders>
            <w:vAlign w:val="center"/>
          </w:tcPr>
          <w:p w14:paraId="289E3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15.28~18.23</w:t>
            </w:r>
          </w:p>
        </w:tc>
      </w:tr>
      <w:tr w14:paraId="3E4F9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000" w:type="pct"/>
            <w:gridSpan w:val="4"/>
            <w:tcBorders>
              <w:tl2br w:val="nil"/>
              <w:tr2bl w:val="nil"/>
            </w:tcBorders>
            <w:vAlign w:val="center"/>
          </w:tcPr>
          <w:p w14:paraId="2E6B6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注：计算参数来自《新疆哈密市西成矿业有限责任公司M1033铁矿采选工程改扩建项目水资源论证报告》（北京地勘水环工程设计研究院有限公司，2022年5月）</w:t>
            </w:r>
          </w:p>
        </w:tc>
      </w:tr>
    </w:tbl>
    <w:p w14:paraId="64BAFCE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经预测，</w:t>
      </w:r>
      <w:r>
        <w:rPr>
          <w:rFonts w:hint="default" w:ascii="Times New Roman" w:hAnsi="Times New Roman" w:eastAsia="宋体" w:cs="Times New Roman"/>
          <w:color w:val="000000" w:themeColor="text1"/>
          <w:spacing w:val="-4"/>
          <w:sz w:val="24"/>
          <w:szCs w:val="24"/>
          <w14:textFill>
            <w14:solidFill>
              <w14:schemeClr w14:val="tx1"/>
            </w14:solidFill>
          </w14:textFill>
        </w:rPr>
        <w:t>地下开采</w:t>
      </w:r>
      <w:r>
        <w:rPr>
          <w:rFonts w:hint="eastAsia" w:ascii="Times New Roman" w:hAnsi="Times New Roman" w:eastAsia="宋体" w:cs="Times New Roman"/>
          <w:color w:val="000000" w:themeColor="text1"/>
          <w:spacing w:val="-4"/>
          <w:sz w:val="24"/>
          <w:szCs w:val="24"/>
          <w:lang w:val="en-US" w:eastAsia="zh-CN"/>
          <w14:textFill>
            <w14:solidFill>
              <w14:schemeClr w14:val="tx1"/>
            </w14:solidFill>
          </w14:textFill>
        </w:rPr>
        <w:t>会导致</w:t>
      </w:r>
      <w:r>
        <w:rPr>
          <w:rFonts w:hint="default" w:ascii="Times New Roman" w:hAnsi="Times New Roman" w:eastAsia="宋体" w:cs="Times New Roman"/>
          <w:color w:val="000000" w:themeColor="text1"/>
          <w:spacing w:val="-3"/>
          <w:sz w:val="24"/>
          <w:szCs w:val="24"/>
          <w14:textFill>
            <w14:solidFill>
              <w14:schemeClr w14:val="tx1"/>
            </w14:solidFill>
          </w14:textFill>
        </w:rPr>
        <w:t>基岩裂隙水含水层中的地下水水位降低</w:t>
      </w:r>
      <w:r>
        <w:rPr>
          <w:rFonts w:hint="eastAsia" w:ascii="Times New Roman" w:hAnsi="Times New Roman" w:eastAsia="宋体" w:cs="Times New Roman"/>
          <w:color w:val="000000" w:themeColor="text1"/>
          <w:spacing w:val="-3"/>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影响范围半径为227m。</w:t>
      </w:r>
    </w:p>
    <w:p w14:paraId="55B0F86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矿区附近最低点位于矿区西南部，标高1234m，为矿区最低排泄面标高。目前矿山已开采至1030m标高（四中段），地下水出露标高1222.32m，为矿区最低侵蚀基准面标高</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矿</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体</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开采最低标高为</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900</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地下水出露标高</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高于开采最低标高，高差为322.32m，由于河水的补给是逐渐由大气</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降水、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春季</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冰雪融水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汇聚而成，地形坡度较小，冻结期较长，对矿区的补给一般</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p w14:paraId="5E45A168">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矿山开采过程中形成一个降落漏斗，成为基岩裂隙水的一个排泄点，从矿井（坑）中排出。由于本矿下游无人工取水井，故不存在吊泵，影响取水的情况发生，也无泉眼和湿地，不存在泉眼水位下降和湿地消失问题，因此矿井涌水对地下水的影响很小。</w:t>
      </w:r>
    </w:p>
    <w:p w14:paraId="6BF4813B">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5.2.3.4</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地下水环境影响预测</w:t>
      </w:r>
    </w:p>
    <w:p w14:paraId="0E3FE48A">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bookmarkStart w:id="437" w:name="_Toc18399"/>
      <w:bookmarkStart w:id="438" w:name="_Toc1948859859"/>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（1）预测范围</w:t>
      </w:r>
    </w:p>
    <w:p w14:paraId="5F5C4A0C">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本项目属于《环境影响评价技术导则 地下水环境》（HJ610-2016）附录A 地下水环境影响评价行业分类表中的</w:t>
      </w:r>
      <w:r>
        <w:rPr>
          <w:rFonts w:hint="eastAsia"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G 黑色金属</w:t>
      </w:r>
      <w:r>
        <w:rPr>
          <w:rFonts w:hint="eastAsia"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中</w:t>
      </w:r>
      <w:r>
        <w:rPr>
          <w:rFonts w:hint="eastAsia"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42采选</w:t>
      </w:r>
      <w:r>
        <w:rPr>
          <w:rFonts w:hint="eastAsia"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类，确定本项目所属的</w:t>
      </w:r>
      <w:r>
        <w:rPr>
          <w:rFonts w:hint="eastAsia" w:cs="Times New Roman"/>
          <w:color w:val="000000" w:themeColor="text1"/>
          <w:sz w:val="24"/>
          <w:szCs w:val="24"/>
          <w:highlight w:val="none"/>
          <w:lang w:eastAsia="zh-CN" w:bidi="ar"/>
          <w14:textFill>
            <w14:solidFill>
              <w14:schemeClr w14:val="tx1"/>
            </w14:solidFill>
          </w14:textFill>
        </w:rPr>
        <w:t>废石堆场</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地下水环境影响评价项目类别为Ⅰ类，</w:t>
      </w:r>
      <w:r>
        <w:rPr>
          <w:rFonts w:hint="eastAsia" w:cs="Times New Roman"/>
          <w:color w:val="000000" w:themeColor="text1"/>
          <w:sz w:val="24"/>
          <w:szCs w:val="24"/>
          <w:highlight w:val="none"/>
          <w:lang w:eastAsia="zh-CN" w:bidi="ar"/>
          <w14:textFill>
            <w14:solidFill>
              <w14:schemeClr w14:val="tx1"/>
            </w14:solidFill>
          </w14:textFill>
        </w:rPr>
        <w:t>废石堆场</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地下水环境影响评价级别为二级。</w:t>
      </w:r>
    </w:p>
    <w:p w14:paraId="064851BF">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本次模拟预测，根据污染风险分析的情景设计，在选定优先控制污染物的基础上，分别对地下水污染物在不同时段的运移距离、超标范围进行模拟预测，污染情景的源强数据通过工程分析类比调查予以确定。</w:t>
      </w:r>
    </w:p>
    <w:p w14:paraId="307A71F2">
      <w:pPr>
        <w:keepNext w:val="0"/>
        <w:keepLines w:val="0"/>
        <w:pageBreakBefore w:val="0"/>
        <w:widowControl w:val="0"/>
        <w:kinsoku/>
        <w:wordWrap/>
        <w:overflowPunct/>
        <w:topLinePunct w:val="0"/>
        <w:bidi w:val="0"/>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TimesNewRomanPSMT"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）预测情景及预测因子</w:t>
      </w:r>
    </w:p>
    <w:p w14:paraId="0632E3AA">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①影响途径</w:t>
      </w:r>
    </w:p>
    <w:p w14:paraId="6631EF58">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生产废水能否进入含水层取决于地质、水文地质条件和工程采取的防渗漏措施。对于承压水层由于上部有隔水顶板，只要废水不进入补给区，就不会污染地下水。对于潜水含水层，若其顶板为厚度不大的强透水层，废水则有可能通过隔水顶板进入含水层。由于潜水含水层的埋藏特点，导致其在任何部位都可接受补给，污染的危险性较大，其能否被污染取决于包气带的土壤性质和厚度，包气带中的细小颗粒可以滤去吸附某些污染物质。当废水分布于流域系统的补给区时，随着时间延续，污染物质将沿流线从补给区向排泄区逐渐扩展，最终可波及整个流动系统。当污染源位于排泄区，污染影响的范围比较局限，对地下水的影响较小。</w:t>
      </w:r>
    </w:p>
    <w:p w14:paraId="38E2C659">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本</w:t>
      </w:r>
      <w:r>
        <w:rPr>
          <w:rFonts w:hint="eastAsia" w:cs="Times New Roman"/>
          <w:color w:val="000000" w:themeColor="text1"/>
          <w:sz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highlight w:val="none"/>
          <w14:textFill>
            <w14:solidFill>
              <w14:schemeClr w14:val="tx1"/>
            </w14:solidFill>
          </w14:textFill>
        </w:rPr>
        <w:t>开采产生的废石堆存于</w:t>
      </w:r>
      <w:r>
        <w:rPr>
          <w:rFonts w:hint="eastAsia" w:cs="Times New Roman"/>
          <w:color w:val="000000" w:themeColor="text1"/>
          <w:sz w:val="24"/>
          <w:highlight w:val="none"/>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highlight w:val="none"/>
          <w14:textFill>
            <w14:solidFill>
              <w14:schemeClr w14:val="tx1"/>
            </w14:solidFill>
          </w14:textFill>
        </w:rPr>
        <w:t>，因大气降水的淋溶及空气氧化作用可能会使废石中有害物质溶出</w:t>
      </w:r>
      <w:r>
        <w:rPr>
          <w:rFonts w:hint="eastAsia" w:ascii="Times New Roman" w:hAnsi="Times New Roman" w:cs="Times New Roman"/>
          <w:color w:val="000000" w:themeColor="text1"/>
          <w:sz w:val="24"/>
          <w:highlight w:val="none"/>
          <w:lang w:val="en-US" w:eastAsia="zh-CN"/>
          <w14:textFill>
            <w14:solidFill>
              <w14:schemeClr w14:val="tx1"/>
            </w14:solidFill>
          </w14:textFill>
        </w:rPr>
        <w:t>从</w:t>
      </w:r>
      <w:r>
        <w:rPr>
          <w:rFonts w:hint="default" w:ascii="Times New Roman" w:hAnsi="Times New Roman" w:eastAsia="宋体" w:cs="Times New Roman"/>
          <w:color w:val="000000" w:themeColor="text1"/>
          <w:sz w:val="24"/>
          <w:highlight w:val="none"/>
          <w14:textFill>
            <w14:solidFill>
              <w14:schemeClr w14:val="tx1"/>
            </w14:solidFill>
          </w14:textFill>
        </w:rPr>
        <w:t>而对矿区土壤及水环境产生污染。</w:t>
      </w:r>
      <w:r>
        <w:rPr>
          <w:rFonts w:hint="eastAsia" w:cs="Times New Roman"/>
          <w:color w:val="000000" w:themeColor="text1"/>
          <w:sz w:val="24"/>
          <w:highlight w:val="none"/>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highlight w:val="none"/>
          <w14:textFill>
            <w14:solidFill>
              <w14:schemeClr w14:val="tx1"/>
            </w14:solidFill>
          </w14:textFill>
        </w:rPr>
        <w:t>在晴天和旱季时无废水外排，在雨天和雨季才有废水外排，其废水产生量与</w:t>
      </w:r>
      <w:r>
        <w:rPr>
          <w:rFonts w:hint="eastAsia" w:cs="Times New Roman"/>
          <w:color w:val="000000" w:themeColor="text1"/>
          <w:sz w:val="24"/>
          <w:highlight w:val="none"/>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highlight w:val="none"/>
          <w14:textFill>
            <w14:solidFill>
              <w14:schemeClr w14:val="tx1"/>
            </w14:solidFill>
          </w14:textFill>
        </w:rPr>
        <w:t>的汇水面积、当地降雨量和地表径流系数等因素有关。因此本次评价选择雨季大气降水对开采废石的淋融作用对地下水环境的影响进行预测</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假设</w:t>
      </w:r>
      <w:r>
        <w:rPr>
          <w:rFonts w:hint="eastAsia" w:cs="Times New Roman"/>
          <w:color w:val="000000" w:themeColor="text1"/>
          <w:sz w:val="24"/>
          <w:highlight w:val="none"/>
          <w:lang w:val="en-US" w:eastAsia="zh-CN"/>
          <w14:textFill>
            <w14:solidFill>
              <w14:schemeClr w14:val="tx1"/>
            </w14:solidFill>
          </w14:textFill>
        </w:rPr>
        <w:t>泄漏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10d发现</w:t>
      </w:r>
      <w:r>
        <w:rPr>
          <w:rFonts w:hint="eastAsia" w:cs="Times New Roman"/>
          <w:color w:val="000000" w:themeColor="text1"/>
          <w:sz w:val="24"/>
          <w:highlight w:val="none"/>
          <w:lang w:val="en-US" w:eastAsia="zh-CN"/>
          <w14:textFill>
            <w14:solidFill>
              <w14:schemeClr w14:val="tx1"/>
            </w14:solidFill>
          </w14:textFill>
        </w:rPr>
        <w:t>泄漏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，采取相关措施，</w:t>
      </w:r>
      <w:r>
        <w:rPr>
          <w:rFonts w:hint="eastAsia" w:cs="Times New Roman"/>
          <w:color w:val="000000" w:themeColor="text1"/>
          <w:sz w:val="24"/>
          <w:highlight w:val="none"/>
          <w:lang w:val="en-US" w:eastAsia="zh-CN"/>
          <w14:textFill>
            <w14:solidFill>
              <w14:schemeClr w14:val="tx1"/>
            </w14:solidFill>
          </w14:textFill>
        </w:rPr>
        <w:t>泄漏时间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按10d计算</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13378037">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②污染因子及浓度确定</w:t>
      </w:r>
    </w:p>
    <w:p w14:paraId="1ADE6B34">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0"/>
          <w:sz w:val="24"/>
          <w:highlight w:val="none"/>
          <w:lang w:val="en-US" w:eastAsia="zh-CN"/>
          <w14:textFill>
            <w14:solidFill>
              <w14:schemeClr w14:val="tx1"/>
            </w14:solidFill>
          </w14:textFill>
        </w:rPr>
        <w:t>根据</w:t>
      </w:r>
      <w:r>
        <w:rPr>
          <w:rFonts w:hint="eastAsia" w:cs="Times New Roman"/>
          <w:color w:val="000000" w:themeColor="text1"/>
          <w:spacing w:val="0"/>
          <w:kern w:val="0"/>
          <w:sz w:val="24"/>
          <w:highlight w:val="none"/>
          <w:lang w:val="en-US" w:eastAsia="zh-CN"/>
          <w14:textFill>
            <w14:solidFill>
              <w14:schemeClr w14:val="tx1"/>
            </w14:solidFill>
          </w14:textFill>
        </w:rPr>
        <w:t>新疆环疆绿源环保科技有限公司</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对</w:t>
      </w:r>
      <w:r>
        <w:rPr>
          <w:rFonts w:hint="eastAsia" w:cs="Times New Roman"/>
          <w:bCs/>
          <w:color w:val="000000" w:themeColor="text1"/>
          <w:spacing w:val="0"/>
          <w:sz w:val="24"/>
          <w:highlight w:val="none"/>
          <w:lang w:eastAsia="zh-CN"/>
          <w14:textFill>
            <w14:solidFill>
              <w14:schemeClr w14:val="tx1"/>
            </w14:solidFill>
          </w14:textFill>
        </w:rPr>
        <w:t>本项目</w:t>
      </w:r>
      <w:r>
        <w:rPr>
          <w:rFonts w:hint="eastAsia" w:ascii="Times New Roman" w:hAnsi="Times New Roman" w:cs="Times New Roman"/>
          <w:bCs/>
          <w:color w:val="000000" w:themeColor="text1"/>
          <w:spacing w:val="0"/>
          <w:sz w:val="24"/>
          <w:highlight w:val="none"/>
          <w:lang w:val="en-US" w:eastAsia="zh-CN"/>
          <w14:textFill>
            <w14:solidFill>
              <w14:schemeClr w14:val="tx1"/>
            </w14:solidFill>
          </w14:textFill>
        </w:rPr>
        <w:t>废石</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进行</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浸出试验，浸出试验表明，各项有毒有害元素浓度均未超过《危险废物鉴别标准-浸出毒性鉴别》（GB5085.3-2007）中的标准要求，因此</w:t>
      </w:r>
      <w:r>
        <w:rPr>
          <w:rFonts w:hint="eastAsia" w:cs="Times New Roman"/>
          <w:color w:val="000000" w:themeColor="text1"/>
          <w:spacing w:val="0"/>
          <w:kern w:val="0"/>
          <w:sz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废石不具有危险特性，为Ⅰ类一般固体废物。同时浸出液中所有监测项目浓度值均低于《污水综合排放标准》（GB8978-1996）中最高允许排放浓度，且pH值为</w:t>
      </w:r>
      <w:r>
        <w:rPr>
          <w:rFonts w:hint="eastAsia" w:ascii="Times New Roman" w:hAnsi="Times New Roman" w:cs="Times New Roman"/>
          <w:color w:val="000000" w:themeColor="text1"/>
          <w:spacing w:val="0"/>
          <w:kern w:val="0"/>
          <w:sz w:val="24"/>
          <w:highlight w:val="none"/>
          <w:lang w:val="en-US" w:eastAsia="zh-CN"/>
          <w14:textFill>
            <w14:solidFill>
              <w14:schemeClr w14:val="tx1"/>
            </w14:solidFill>
          </w14:textFill>
        </w:rPr>
        <w:t>8.</w:t>
      </w:r>
      <w:r>
        <w:rPr>
          <w:rFonts w:hint="eastAsia" w:cs="Times New Roman"/>
          <w:color w:val="000000" w:themeColor="text1"/>
          <w:spacing w:val="0"/>
          <w:kern w:val="0"/>
          <w:sz w:val="24"/>
          <w:highlight w:val="none"/>
          <w:lang w:val="en-US" w:eastAsia="zh-CN"/>
          <w14:textFill>
            <w14:solidFill>
              <w14:schemeClr w14:val="tx1"/>
            </w14:solidFill>
          </w14:textFill>
        </w:rPr>
        <w:t>92</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，由此确定</w:t>
      </w:r>
      <w:r>
        <w:rPr>
          <w:rFonts w:hint="eastAsia" w:cs="Times New Roman"/>
          <w:color w:val="000000" w:themeColor="text1"/>
          <w:spacing w:val="0"/>
          <w:kern w:val="0"/>
          <w:sz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产生的废石为第I类一般工业固体废物。</w:t>
      </w:r>
    </w:p>
    <w:p w14:paraId="3B073E8E">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本次环评污染物源强采取最不利情况，即浓度较大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且危害较大的</w:t>
      </w:r>
      <w:r>
        <w:rPr>
          <w:rFonts w:hint="default" w:ascii="Times New Roman" w:hAnsi="Times New Roman" w:eastAsia="宋体" w:cs="Times New Roman"/>
          <w:color w:val="000000" w:themeColor="text1"/>
          <w:sz w:val="24"/>
          <w:highlight w:val="none"/>
          <w14:textFill>
            <w14:solidFill>
              <w14:schemeClr w14:val="tx1"/>
            </w14:solidFill>
          </w14:textFill>
        </w:rPr>
        <w:t>污染因子的浓度作为预测浓度</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根据固废浸出毒性监测报告，</w:t>
      </w:r>
      <w:r>
        <w:rPr>
          <w:rFonts w:hint="eastAsia" w:cs="Times New Roman"/>
          <w:color w:val="000000" w:themeColor="text1"/>
          <w:sz w:val="24"/>
          <w:highlight w:val="none"/>
          <w:lang w:val="en-US" w:eastAsia="zh-CN"/>
          <w14:textFill>
            <w14:solidFill>
              <w14:schemeClr w14:val="tx1"/>
            </w14:solidFill>
          </w14:textFill>
        </w:rPr>
        <w:t>选取标准指数较大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且危害较大</w:t>
      </w:r>
      <w:r>
        <w:rPr>
          <w:rFonts w:hint="eastAsia" w:cs="Times New Roman"/>
          <w:color w:val="000000" w:themeColor="text1"/>
          <w:sz w:val="24"/>
          <w:highlight w:val="none"/>
          <w:lang w:val="en-US" w:eastAsia="zh-CN"/>
          <w14:textFill>
            <w14:solidFill>
              <w14:schemeClr w14:val="tx1"/>
            </w14:solidFill>
          </w14:textFill>
        </w:rPr>
        <w:t>的砷作为预测因子。</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以《地下水质量标准》（GB/T14848-2017）Ⅲ类为标准，将</w:t>
      </w:r>
      <w:r>
        <w:rPr>
          <w:rFonts w:hint="eastAsia" w:cs="Times New Roman"/>
          <w:color w:val="000000" w:themeColor="text1"/>
          <w:sz w:val="24"/>
          <w:highlight w:val="none"/>
          <w:lang w:val="en-US" w:eastAsia="zh-CN"/>
          <w14:textFill>
            <w14:solidFill>
              <w14:schemeClr w14:val="tx1"/>
            </w14:solidFill>
          </w14:textFill>
        </w:rPr>
        <w:t>砷</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的浓度超过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mg/L作为控制指标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683C3A6C">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r>
        <w:rPr>
          <w:rFonts w:hint="eastAsia" w:ascii="Times New Roman" w:hAnsi="Times New Roman" w:cs="Times New Roman"/>
          <w:color w:val="000000" w:themeColor="text1"/>
          <w:spacing w:val="0"/>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）预测模型</w:t>
      </w:r>
    </w:p>
    <w:p w14:paraId="23069832">
      <w:pPr>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用解析模型预测污染物在含水层中的扩散时，一般应满足以下条件：①污染物的排放对地下水流场没有明显的影响；②预测区内含水层的基本参数（如渗透系数、有效孔隙度等）不变或变化很小。通过对本期工程污染物排放特征及水文地质概况分析可知，本次污染预测可满足以上条件。</w:t>
      </w:r>
    </w:p>
    <w:p w14:paraId="16DF9EBF">
      <w:pPr>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为了揭示污染物进入地下水体后，地下水质的时空变化规律，将污染场地地下水污染物的溶质迁移问题概化为污染物连续注入的一端定浓度的一维水动力弥散问题。预测按最不利的情况设计情景，污染物泄漏直接进入地下水，并在含水层中沿水力梯度方向径流，污染</w:t>
      </w:r>
      <w:r>
        <w:rPr>
          <w:rFonts w:hint="eastAsia" w:cs="Times New Roman"/>
          <w:color w:val="000000" w:themeColor="text1"/>
          <w:sz w:val="24"/>
          <w:highlight w:val="none"/>
          <w:lang w:val="en-US" w:eastAsia="zh-CN"/>
          <w14:textFill>
            <w14:solidFill>
              <w14:schemeClr w14:val="tx1"/>
            </w14:solidFill>
          </w14:textFill>
        </w:rPr>
        <w:t>物</w:t>
      </w:r>
      <w:r>
        <w:rPr>
          <w:rFonts w:hint="default" w:ascii="Times New Roman" w:hAnsi="Times New Roman" w:eastAsia="宋体" w:cs="Times New Roman"/>
          <w:color w:val="000000" w:themeColor="text1"/>
          <w:sz w:val="24"/>
          <w:highlight w:val="none"/>
          <w14:textFill>
            <w14:solidFill>
              <w14:schemeClr w14:val="tx1"/>
            </w14:solidFill>
          </w14:textFill>
        </w:rPr>
        <w:t>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14:paraId="198AC6D5">
      <w:pPr>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w:t>
      </w:r>
      <w:r>
        <w:rPr>
          <w:rFonts w:hint="eastAsia" w:cs="Times New Roman"/>
          <w:color w:val="000000" w:themeColor="text1"/>
          <w:sz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污染特征分析，</w:t>
      </w:r>
      <w:r>
        <w:rPr>
          <w:rFonts w:hint="eastAsia" w:cs="Times New Roman"/>
          <w:color w:val="000000" w:themeColor="text1"/>
          <w:sz w:val="24"/>
          <w:highlight w:val="none"/>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highlight w:val="none"/>
          <w14:textFill>
            <w14:solidFill>
              <w14:schemeClr w14:val="tx1"/>
            </w14:solidFill>
          </w14:textFill>
        </w:rPr>
        <w:t>地下潜水流向基本与地形一致，呈北向南下游方向径流的线状特征；污水渗漏是一个长期的过程，在区域上可假定为定浓度的渗漏点。</w:t>
      </w:r>
    </w:p>
    <w:p w14:paraId="7AF2358D">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本次地下水环境影响预测评价采用一维地下水污染物运移数学模型的解析</w:t>
      </w:r>
      <w:r>
        <w:rPr>
          <w:rFonts w:hint="eastAsia" w:ascii="Times New Roman" w:hAnsi="Times New Roman" w:cs="Times New Roman"/>
          <w:color w:val="000000" w:themeColor="text1"/>
          <w:sz w:val="24"/>
          <w:highlight w:val="none"/>
          <w:lang w:val="en-US" w:eastAsia="zh-CN"/>
          <w14:textFill>
            <w14:solidFill>
              <w14:schemeClr w14:val="tx1"/>
            </w14:solidFill>
          </w14:textFill>
        </w:rPr>
        <w:t>法</w:t>
      </w:r>
      <w:r>
        <w:rPr>
          <w:rFonts w:hint="default" w:ascii="Times New Roman" w:hAnsi="Times New Roman" w:eastAsia="宋体" w:cs="Times New Roman"/>
          <w:color w:val="000000" w:themeColor="text1"/>
          <w:sz w:val="24"/>
          <w:highlight w:val="none"/>
          <w14:textFill>
            <w14:solidFill>
              <w14:schemeClr w14:val="tx1"/>
            </w14:solidFill>
          </w14:textFill>
        </w:rPr>
        <w:t>进行预测，解析</w:t>
      </w:r>
      <w:r>
        <w:rPr>
          <w:rFonts w:hint="eastAsia" w:ascii="Times New Roman" w:hAnsi="Times New Roman" w:cs="Times New Roman"/>
          <w:color w:val="000000" w:themeColor="text1"/>
          <w:sz w:val="24"/>
          <w:highlight w:val="none"/>
          <w:lang w:val="en-US" w:eastAsia="zh-CN"/>
          <w14:textFill>
            <w14:solidFill>
              <w14:schemeClr w14:val="tx1"/>
            </w14:solidFill>
          </w14:textFill>
        </w:rPr>
        <w:t>法</w:t>
      </w:r>
      <w:r>
        <w:rPr>
          <w:rFonts w:hint="default" w:ascii="Times New Roman" w:hAnsi="Times New Roman" w:eastAsia="宋体" w:cs="Times New Roman"/>
          <w:color w:val="000000" w:themeColor="text1"/>
          <w:sz w:val="24"/>
          <w:highlight w:val="none"/>
          <w14:textFill>
            <w14:solidFill>
              <w14:schemeClr w14:val="tx1"/>
            </w14:solidFill>
          </w14:textFill>
        </w:rPr>
        <w:t>选取《环境影响评价技术导则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14:textFill>
            <w14:solidFill>
              <w14:schemeClr w14:val="tx1"/>
            </w14:solidFill>
          </w14:textFill>
        </w:rPr>
        <w:t>地下水环境》</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HJ610-2016</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中地下水溶质运移解析法推荐模型。</w:t>
      </w:r>
    </w:p>
    <w:p w14:paraId="0114A92C">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eastAsia" w:ascii="宋体" w:hAnsi="宋体" w:eastAsia="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本项目</w:t>
      </w:r>
      <w:r>
        <w:rPr>
          <w:rFonts w:hint="eastAsia" w:ascii="宋体" w:hAnsi="宋体" w:eastAsia="宋体"/>
          <w:color w:val="000000" w:themeColor="text1"/>
          <w:sz w:val="24"/>
          <w:highlight w:val="none"/>
          <w14:textFill>
            <w14:solidFill>
              <w14:schemeClr w14:val="tx1"/>
            </w14:solidFill>
          </w14:textFill>
        </w:rPr>
        <w:t>采用地下水溶质运移解析法中的一维稳定流动</w:t>
      </w:r>
      <w:r>
        <w:rPr>
          <w:rFonts w:hint="eastAsia" w:ascii="宋体" w:hAnsi="宋体"/>
          <w:color w:val="000000" w:themeColor="text1"/>
          <w:sz w:val="24"/>
          <w:highlight w:val="none"/>
          <w:lang w:val="en-US" w:eastAsia="zh-CN"/>
          <w14:textFill>
            <w14:solidFill>
              <w14:schemeClr w14:val="tx1"/>
            </w14:solidFill>
          </w14:textFill>
        </w:rPr>
        <w:t>一</w:t>
      </w:r>
      <w:r>
        <w:rPr>
          <w:rFonts w:hint="eastAsia" w:ascii="宋体" w:hAnsi="宋体" w:eastAsia="宋体"/>
          <w:color w:val="000000" w:themeColor="text1"/>
          <w:sz w:val="24"/>
          <w:highlight w:val="none"/>
          <w14:textFill>
            <w14:solidFill>
              <w14:schemeClr w14:val="tx1"/>
            </w14:solidFill>
          </w14:textFill>
        </w:rPr>
        <w:t>维水动力弥散模式进行预测及评价，预测模型如下：</w:t>
      </w:r>
    </w:p>
    <w:p w14:paraId="6F9FD61E">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drawing>
          <wp:inline distT="0" distB="0" distL="114300" distR="114300">
            <wp:extent cx="3364865" cy="633095"/>
            <wp:effectExtent l="0" t="0" r="6985" b="14605"/>
            <wp:docPr id="1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6"/>
                    <pic:cNvPicPr>
                      <a:picLocks noChangeAspect="1"/>
                    </pic:cNvPicPr>
                  </pic:nvPicPr>
                  <pic:blipFill>
                    <a:blip r:embed="rId53"/>
                    <a:stretch>
                      <a:fillRect/>
                    </a:stretch>
                  </pic:blipFill>
                  <pic:spPr>
                    <a:xfrm>
                      <a:off x="0" y="0"/>
                      <a:ext cx="3364865" cy="633095"/>
                    </a:xfrm>
                    <a:prstGeom prst="rect">
                      <a:avLst/>
                    </a:prstGeom>
                    <a:noFill/>
                    <a:ln w="9525">
                      <a:noFill/>
                    </a:ln>
                  </pic:spPr>
                </pic:pic>
              </a:graphicData>
            </a:graphic>
          </wp:inline>
        </w:drawing>
      </w:r>
    </w:p>
    <w:p w14:paraId="358E1416">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960" w:firstLineChars="400"/>
        <w:jc w:val="both"/>
        <w:textAlignment w:val="auto"/>
        <w:outlineLvl w:val="9"/>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式中：</w:t>
      </w:r>
    </w:p>
    <w:p w14:paraId="1BD3FE65">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960" w:firstLineChars="4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x—预测点至污染源强距离（m）；</w:t>
      </w:r>
    </w:p>
    <w:p w14:paraId="53C884F4">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960" w:firstLineChars="4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C—t时刻x处的地下水浓度（g/L）；</w:t>
      </w:r>
    </w:p>
    <w:p w14:paraId="4BCB103B">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960" w:firstLineChars="4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lang w:bidi="ar"/>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—废水浓度（g/L）；</w:t>
      </w:r>
    </w:p>
    <w:p w14:paraId="6651A168">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960" w:firstLineChars="4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D</w:t>
      </w:r>
      <w:r>
        <w:rPr>
          <w:rFonts w:hint="eastAsia" w:cs="Times New Roman"/>
          <w:color w:val="000000" w:themeColor="text1"/>
          <w:sz w:val="24"/>
          <w:szCs w:val="24"/>
          <w:highlight w:val="none"/>
          <w:vertAlign w:val="subscript"/>
          <w:lang w:val="en-US" w:eastAsia="zh-CN" w:bidi="ar"/>
          <w14:textFill>
            <w14:solidFill>
              <w14:schemeClr w14:val="tx1"/>
            </w14:solidFill>
          </w14:textFill>
        </w:rPr>
        <w:t>L</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—纵向弥散系数（m</w:t>
      </w:r>
      <w:r>
        <w:rPr>
          <w:rFonts w:hint="default"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/d）；</w:t>
      </w:r>
    </w:p>
    <w:p w14:paraId="6A6F03A2">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960" w:firstLineChars="4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t—预测时段（d）；</w:t>
      </w:r>
    </w:p>
    <w:p w14:paraId="209D7A4C">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960" w:firstLineChars="4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u—地下水流速（m/d）；</w:t>
      </w:r>
    </w:p>
    <w:p w14:paraId="39C71482">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960" w:firstLineChars="4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erfc（）—余误差函数。</w:t>
      </w:r>
    </w:p>
    <w:p w14:paraId="13EB8130">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预测范围及时间</w:t>
      </w:r>
    </w:p>
    <w:p w14:paraId="1D2D3D75">
      <w:pPr>
        <w:keepNext w:val="0"/>
        <w:keepLines w:val="0"/>
        <w:pageBreakBefore w:val="0"/>
        <w:widowControl w:val="0"/>
        <w:kinsoku/>
        <w:wordWrap/>
        <w:overflowPunct/>
        <w:topLinePunct w:val="0"/>
        <w:bidi w:val="0"/>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预测范围与评价范围一致</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highlight w:val="none"/>
          <w14:textFill>
            <w14:solidFill>
              <w14:schemeClr w14:val="tx1"/>
            </w14:solidFill>
          </w14:textFill>
        </w:rPr>
        <w:t>在暴雨条件下淋溶水可能对地下水影响分析。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预测层位以潜水含水层为主。</w:t>
      </w:r>
    </w:p>
    <w:p w14:paraId="618072A3">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预测时间为100d、</w:t>
      </w:r>
      <w:r>
        <w:rPr>
          <w:rFonts w:hint="eastAsia" w:cs="Times New Roman"/>
          <w:color w:val="000000" w:themeColor="text1"/>
          <w:sz w:val="24"/>
          <w:highlight w:val="none"/>
          <w:lang w:val="en-US" w:eastAsia="zh-CN"/>
          <w14:textFill>
            <w14:solidFill>
              <w14:schemeClr w14:val="tx1"/>
            </w14:solidFill>
          </w14:textFill>
        </w:rPr>
        <w:t>1000d、3650d、50</w:t>
      </w:r>
      <w:r>
        <w:rPr>
          <w:rFonts w:hint="eastAsia" w:ascii="Times New Roman" w:hAnsi="Times New Roman" w:cs="Times New Roman"/>
          <w:color w:val="000000" w:themeColor="text1"/>
          <w:sz w:val="24"/>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sz w:val="24"/>
          <w:highlight w:val="none"/>
          <w14:textFill>
            <w14:solidFill>
              <w14:schemeClr w14:val="tx1"/>
            </w14:solidFill>
          </w14:textFill>
        </w:rPr>
        <w:t>d。</w:t>
      </w:r>
    </w:p>
    <w:p w14:paraId="048C6C94">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预测参数设定</w:t>
      </w:r>
    </w:p>
    <w:p w14:paraId="3686F71C">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利用所选取的污染物迁移模型，能否达到对污染物迁移过程的合理预测，关键就在于模型参数的选取和确定是否正确合理。</w:t>
      </w:r>
    </w:p>
    <w:p w14:paraId="3F3D803A">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由上述模型可知，模型需要的参数有：有效孔隙度n；水流的实际平均速度u；污染物在含水层中的纵向弥散系数D</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L</w:t>
      </w:r>
      <w:r>
        <w:rPr>
          <w:rFonts w:hint="default" w:ascii="Times New Roman" w:hAnsi="Times New Roman" w:eastAsia="宋体" w:cs="Times New Roman"/>
          <w:color w:val="000000" w:themeColor="text1"/>
          <w:sz w:val="24"/>
          <w:szCs w:val="24"/>
          <w:highlight w:val="none"/>
          <w14:textFill>
            <w14:solidFill>
              <w14:schemeClr w14:val="tx1"/>
            </w14:solidFill>
          </w14:textFill>
        </w:rPr>
        <w:t>；这些参数主要由勘察成果资料来确定：</w:t>
      </w:r>
    </w:p>
    <w:p w14:paraId="76324EB8">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含水层的厚度M：根据本次搜集的地勘资料和以往水文地质资料，可知项目区地下水类型为第四系松散岩类透水不含水层，含水层厚度以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108.41</w:t>
      </w:r>
      <w:r>
        <w:rPr>
          <w:rFonts w:hint="default" w:ascii="Times New Roman" w:hAnsi="Times New Roman" w:eastAsia="宋体" w:cs="Times New Roman"/>
          <w:color w:val="000000" w:themeColor="text1"/>
          <w:sz w:val="24"/>
          <w:szCs w:val="24"/>
          <w:highlight w:val="none"/>
          <w14:textFill>
            <w14:solidFill>
              <w14:schemeClr w14:val="tx1"/>
            </w14:solidFill>
          </w14:textFill>
        </w:rPr>
        <w:t>m计；长度为M的线源瞬时注入的示踪剂质量mM。</w:t>
      </w:r>
    </w:p>
    <w:p w14:paraId="6213F535">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含水层的平均有效孔隙度n：含水层密实程度为中密，根据《水文地质手册》，可取孔隙度为0.4，而根据以往生产经验，有效孔隙度一般比孔隙度小10%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20%，因此本次取有效孔隙度n=0.4×0.8=0.32。</w:t>
      </w:r>
    </w:p>
    <w:p w14:paraId="1A55346E">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eastAsia" w:ascii="Times New Roman" w:hAnsi="Times New Roman"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水流实际平均流速u：根据含水层岩性等相关资料，确定含水层渗透系数为</w:t>
      </w:r>
      <w:r>
        <w:rPr>
          <w:rFonts w:hint="eastAsia" w:cs="Times New Roman"/>
          <w:bCs/>
          <w:color w:val="000000" w:themeColor="text1"/>
          <w:sz w:val="24"/>
          <w:szCs w:val="24"/>
          <w:highlight w:val="none"/>
          <w:lang w:val="en-US" w:eastAsia="zh-CN"/>
          <w14:textFill>
            <w14:solidFill>
              <w14:schemeClr w14:val="tx1"/>
            </w14:solidFill>
          </w14:textFill>
        </w:rPr>
        <w:t>15.28~18.23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14:textFill>
            <w14:solidFill>
              <w14:schemeClr w14:val="tx1"/>
            </w14:solidFill>
          </w14:textFill>
        </w:rPr>
        <w:t>/d</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w:t>
      </w:r>
    </w:p>
    <w:p w14:paraId="77DD783E">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水力坡度</w:t>
      </w:r>
      <w:r>
        <w:rPr>
          <w:rFonts w:hint="default" w:ascii="Times New Roman" w:hAnsi="Times New Roman" w:eastAsia="宋体" w:cs="Times New Roman"/>
          <w:color w:val="000000" w:themeColor="text1"/>
          <w:position w:val="-24"/>
          <w:sz w:val="24"/>
          <w:szCs w:val="24"/>
          <w:highlight w:val="none"/>
          <w14:textFill>
            <w14:solidFill>
              <w14:schemeClr w14:val="tx1"/>
            </w14:solidFill>
          </w14:textFill>
        </w:rPr>
        <w:object>
          <v:shape id="_x0000_i1031" o:spt="75" type="#_x0000_t75" style="height:31pt;width:34pt;" o:ole="t" filled="f" o:preferrelative="t" stroked="f" coordsize="21600,21600">
            <v:path/>
            <v:fill on="f" focussize="0,0"/>
            <v:stroke on="f"/>
            <v:imagedata r:id="rId55" o:title=""/>
            <o:lock v:ext="edit" aspectratio="t"/>
            <w10:wrap type="none"/>
            <w10:anchorlock/>
          </v:shape>
          <o:OLEObject Type="Embed" ProgID="Equation.KSEE3" ShapeID="_x0000_i1031" DrawAspect="Content" ObjectID="_1468075732" r:id="rId54">
            <o:LockedField>false</o:LockedField>
          </o:OLEObject>
        </w:objec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=0.005；</w:t>
      </w:r>
    </w:p>
    <w:p w14:paraId="738372CA">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因此地下水的渗透流速：</w:t>
      </w:r>
    </w:p>
    <w:p w14:paraId="6CB40994">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V=KI=</w:t>
      </w:r>
      <w:r>
        <w:rPr>
          <w:rFonts w:hint="eastAsia" w:cs="Times New Roman"/>
          <w:color w:val="000000" w:themeColor="text1"/>
          <w:sz w:val="24"/>
          <w:szCs w:val="24"/>
          <w:highlight w:val="none"/>
          <w:lang w:val="en-US" w:eastAsia="zh-CN"/>
          <w14:textFill>
            <w14:solidFill>
              <w14:schemeClr w14:val="tx1"/>
            </w14:solidFill>
          </w14:textFill>
        </w:rPr>
        <w:t>18.23</w:t>
      </w:r>
      <w:r>
        <w:rPr>
          <w:rFonts w:hint="default" w:ascii="Times New Roman" w:hAnsi="Times New Roman" w:eastAsia="宋体" w:cs="Times New Roman"/>
          <w:color w:val="000000" w:themeColor="text1"/>
          <w:sz w:val="24"/>
          <w:szCs w:val="24"/>
          <w:highlight w:val="none"/>
          <w14:textFill>
            <w14:solidFill>
              <w14:schemeClr w14:val="tx1"/>
            </w14:solidFill>
          </w14:textFill>
        </w:rPr>
        <w:t>m/d×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0.09115</w:t>
      </w:r>
      <w:r>
        <w:rPr>
          <w:rFonts w:hint="default" w:ascii="Times New Roman" w:hAnsi="Times New Roman" w:eastAsia="宋体" w:cs="Times New Roman"/>
          <w:color w:val="000000" w:themeColor="text1"/>
          <w:sz w:val="24"/>
          <w:szCs w:val="24"/>
          <w:highlight w:val="none"/>
          <w14:textFill>
            <w14:solidFill>
              <w14:schemeClr w14:val="tx1"/>
            </w14:solidFill>
          </w14:textFill>
        </w:rPr>
        <w:t>m/d</w:t>
      </w:r>
    </w:p>
    <w:p w14:paraId="0863FA03">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平均实际流速u=V/n=</w:t>
      </w:r>
      <w:r>
        <w:rPr>
          <w:rFonts w:hint="eastAsia" w:cs="Times New Roman"/>
          <w:color w:val="000000" w:themeColor="text1"/>
          <w:sz w:val="24"/>
          <w:szCs w:val="24"/>
          <w:highlight w:val="none"/>
          <w:lang w:val="en-US" w:eastAsia="zh-CN"/>
          <w14:textFill>
            <w14:solidFill>
              <w14:schemeClr w14:val="tx1"/>
            </w14:solidFill>
          </w14:textFill>
        </w:rPr>
        <w:t>0.09115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/0.32=0.285</w:t>
      </w:r>
      <w:r>
        <w:rPr>
          <w:rFonts w:hint="default" w:ascii="Times New Roman" w:hAnsi="Times New Roman" w:eastAsia="宋体" w:cs="Times New Roman"/>
          <w:color w:val="000000" w:themeColor="text1"/>
          <w:sz w:val="24"/>
          <w:szCs w:val="24"/>
          <w:highlight w:val="none"/>
          <w14:textFill>
            <w14:solidFill>
              <w14:schemeClr w14:val="tx1"/>
            </w14:solidFill>
          </w14:textFill>
        </w:rPr>
        <w:t>m/d。</w:t>
      </w:r>
    </w:p>
    <w:p w14:paraId="1E344B13">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纵向x方向的弥散系数D</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L</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381C058">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rFonts w:hint="default" w:ascii="Times New Roman" w:hAnsi="Times New Roman" w:eastAsia="宋体" w:cs="Times New Roman"/>
          <w:i/>
          <w:color w:val="000000" w:themeColor="text1"/>
          <w:sz w:val="24"/>
          <w:szCs w:val="24"/>
          <w:highlight w:val="none"/>
          <w14:textFill>
            <w14:solidFill>
              <w14:schemeClr w14:val="tx1"/>
            </w14:solidFill>
          </w14:textFill>
        </w:rPr>
        <w:t>α</w:t>
      </w:r>
      <w:r>
        <w:rPr>
          <w:rFonts w:hint="default" w:ascii="Times New Roman" w:hAnsi="Times New Roman" w:eastAsia="宋体" w:cs="Times New Roman"/>
          <w:color w:val="000000" w:themeColor="text1"/>
          <w:sz w:val="24"/>
          <w:szCs w:val="24"/>
          <w:highlight w:val="none"/>
          <w14:textFill>
            <w14:solidFill>
              <w14:schemeClr w14:val="tx1"/>
            </w14:solidFill>
          </w14:textFill>
        </w:rPr>
        <w:t>L绘在双对数坐标纸上，从图上可以看出纵向弥散度</w:t>
      </w:r>
      <w:r>
        <w:rPr>
          <w:rFonts w:hint="default" w:ascii="Times New Roman" w:hAnsi="Times New Roman" w:eastAsia="宋体" w:cs="Times New Roman"/>
          <w:i/>
          <w:color w:val="000000" w:themeColor="text1"/>
          <w:sz w:val="24"/>
          <w:szCs w:val="24"/>
          <w:highlight w:val="none"/>
          <w14:textFill>
            <w14:solidFill>
              <w14:schemeClr w14:val="tx1"/>
            </w14:solidFill>
          </w14:textFill>
        </w:rPr>
        <w:t>α</w:t>
      </w:r>
      <w:r>
        <w:rPr>
          <w:rFonts w:hint="default" w:ascii="Times New Roman" w:hAnsi="Times New Roman" w:eastAsia="宋体" w:cs="Times New Roman"/>
          <w:color w:val="000000" w:themeColor="text1"/>
          <w:sz w:val="24"/>
          <w:szCs w:val="24"/>
          <w:highlight w:val="none"/>
          <w14:textFill>
            <w14:solidFill>
              <w14:schemeClr w14:val="tx1"/>
            </w14:solidFill>
          </w14:textFill>
        </w:rPr>
        <w:t>L从整体上随着尺度的增加而增大（图5.2-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）。基准尺度Ls是指研究区大小的度量，一般用溶质运移到观测孔的最大距离表示，或用计算区的近似最大内径长度代替。故本次参考以往研究成果，考虑距污染源下游约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14:textFill>
            <w14:solidFill>
              <w14:schemeClr w14:val="tx1"/>
            </w14:solidFill>
          </w14:textFill>
        </w:rPr>
        <w:t>00m的研究区范围，因此，本次模拟取弥散度参数值取14.83m。</w:t>
      </w:r>
    </w:p>
    <w:p w14:paraId="20ABAE9D">
      <w:pPr>
        <w:keepNext w:val="0"/>
        <w:keepLines w:val="0"/>
        <w:pageBreakBefore w:val="0"/>
        <w:widowControl w:val="0"/>
        <w:kinsoku/>
        <w:wordWrap/>
        <w:overflowPunct/>
        <w:topLinePunct w:val="0"/>
        <w:bidi w:val="0"/>
        <w:snapToGrid/>
        <w:spacing w:line="36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384675" cy="3414395"/>
            <wp:effectExtent l="15875" t="15875" r="19050" b="17780"/>
            <wp:docPr id="1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
                    <pic:cNvPicPr>
                      <a:picLocks noChangeAspect="1"/>
                    </pic:cNvPicPr>
                  </pic:nvPicPr>
                  <pic:blipFill>
                    <a:blip r:embed="rId56"/>
                    <a:stretch>
                      <a:fillRect/>
                    </a:stretch>
                  </pic:blipFill>
                  <pic:spPr>
                    <a:xfrm>
                      <a:off x="0" y="0"/>
                      <a:ext cx="4384675" cy="3414395"/>
                    </a:xfrm>
                    <a:prstGeom prst="rect">
                      <a:avLst/>
                    </a:prstGeom>
                    <a:noFill/>
                    <a:ln w="15875" cap="flat" cmpd="sng">
                      <a:solidFill>
                        <a:srgbClr val="000000"/>
                      </a:solidFill>
                      <a:prstDash val="solid"/>
                      <a:round/>
                      <a:headEnd type="none" w="med" len="med"/>
                      <a:tailEnd type="none" w="med" len="med"/>
                    </a:ln>
                  </pic:spPr>
                </pic:pic>
              </a:graphicData>
            </a:graphic>
          </wp:inline>
        </w:drawing>
      </w:r>
    </w:p>
    <w:p w14:paraId="3C7715FB">
      <w:pPr>
        <w:keepNext w:val="0"/>
        <w:keepLines w:val="0"/>
        <w:pageBreakBefore w:val="0"/>
        <w:widowControl w:val="0"/>
        <w:kinsoku/>
        <w:wordWrap/>
        <w:overflowPunct/>
        <w:topLinePunct w:val="0"/>
        <w:bidi w:val="0"/>
        <w:snapToGrid/>
        <w:spacing w:line="480" w:lineRule="exact"/>
        <w:ind w:right="0" w:rightChars="0"/>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图5.2-</w:t>
      </w:r>
      <w:r>
        <w:rPr>
          <w:rFonts w:hint="eastAsia"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lg</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α</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L---</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lg</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α</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s</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关系图</w:t>
      </w:r>
    </w:p>
    <w:p w14:paraId="1FA7B498">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模型计算中纵向弥散度选用14.83m。由此计算项目区含水层中的纵向弥散系数</w:t>
      </w:r>
      <w:r>
        <w:rPr>
          <w:rFonts w:hint="default" w:ascii="Times New Roman" w:hAnsi="Times New Roman" w:cs="Times New Roman"/>
          <w:color w:val="auto"/>
          <w:kern w:val="2"/>
          <w:sz w:val="24"/>
          <w:szCs w:val="24"/>
          <w:highlight w:val="none"/>
        </w:rPr>
        <w:t>D</w:t>
      </w:r>
      <w:r>
        <w:rPr>
          <w:rFonts w:hint="default" w:ascii="Times New Roman" w:hAnsi="Times New Roman" w:cs="Times New Roman"/>
          <w:color w:val="auto"/>
          <w:kern w:val="2"/>
          <w:sz w:val="24"/>
          <w:szCs w:val="24"/>
          <w:highlight w:val="none"/>
          <w:vertAlign w:val="subscript"/>
        </w:rPr>
        <w:t>L</w:t>
      </w:r>
      <w:r>
        <w:rPr>
          <w:rFonts w:hint="default" w:ascii="Times New Roman" w:hAnsi="Times New Roman"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α</w:t>
      </w:r>
      <w:r>
        <w:rPr>
          <w:rFonts w:hint="eastAsia" w:ascii="Times New Roman" w:hAnsi="Times New Roman" w:cs="Times New Roman"/>
          <w:color w:val="auto"/>
          <w:kern w:val="2"/>
          <w:sz w:val="24"/>
          <w:szCs w:val="24"/>
          <w:highlight w:val="none"/>
          <w:vertAlign w:val="subscript"/>
          <w:lang w:val="en-US" w:eastAsia="zh-CN"/>
        </w:rPr>
        <w:t>L</w:t>
      </w:r>
      <w:r>
        <w:rPr>
          <w:rFonts w:hint="eastAsia" w:ascii="Times New Roman" w:hAnsi="Times New Roman" w:cs="Times New Roman"/>
          <w:color w:val="auto"/>
          <w:kern w:val="2"/>
          <w:sz w:val="24"/>
          <w:szCs w:val="24"/>
          <w:highlight w:val="none"/>
          <w:lang w:val="en-US" w:eastAsia="zh-CN"/>
        </w:rPr>
        <w:t>×u</w:t>
      </w:r>
      <w:r>
        <w:rPr>
          <w:rFonts w:hint="default" w:ascii="Times New Roman" w:hAnsi="Times New Roman" w:cs="Times New Roman"/>
          <w:color w:val="auto"/>
          <w:kern w:val="2"/>
          <w:sz w:val="24"/>
          <w:szCs w:val="24"/>
          <w:highlight w:val="none"/>
        </w:rPr>
        <w:t>=</w:t>
      </w:r>
      <w:r>
        <w:rPr>
          <w:rFonts w:hint="default" w:ascii="Times New Roman" w:hAnsi="Times New Roman" w:cs="Times New Roman"/>
          <w:color w:val="auto"/>
          <w:sz w:val="24"/>
          <w:szCs w:val="24"/>
          <w:highlight w:val="none"/>
          <w:lang w:val="en-US" w:eastAsia="zh-CN"/>
        </w:rPr>
        <w:t>14.83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285</w:t>
      </w:r>
      <w:r>
        <w:rPr>
          <w:rFonts w:hint="default" w:ascii="Times New Roman" w:hAnsi="Times New Roman" w:eastAsia="宋体" w:cs="Times New Roman"/>
          <w:color w:val="auto"/>
          <w:sz w:val="24"/>
          <w:szCs w:val="24"/>
          <w:highlight w:val="none"/>
          <w:lang w:val="en-US" w:eastAsia="zh-CN"/>
        </w:rPr>
        <w:t>m/d=</w:t>
      </w:r>
      <w:r>
        <w:rPr>
          <w:rFonts w:hint="eastAsia" w:cs="Times New Roman"/>
          <w:color w:val="auto"/>
          <w:sz w:val="24"/>
          <w:szCs w:val="24"/>
          <w:highlight w:val="none"/>
          <w:lang w:val="en-US" w:eastAsia="zh-CN"/>
        </w:rPr>
        <w:t>4.23</w:t>
      </w:r>
      <w:r>
        <w:rPr>
          <w:rFonts w:hint="default" w:ascii="Times New Roman" w:hAnsi="Times New Roman" w:cs="Times New Roman"/>
          <w:color w:val="auto"/>
          <w:kern w:val="2"/>
          <w:sz w:val="24"/>
          <w:szCs w:val="24"/>
          <w:highlight w:val="none"/>
        </w:rPr>
        <w:t>（m</w:t>
      </w:r>
      <w:r>
        <w:rPr>
          <w:rFonts w:hint="default" w:ascii="Times New Roman" w:hAnsi="Times New Roman" w:cs="Times New Roman"/>
          <w:color w:val="auto"/>
          <w:kern w:val="2"/>
          <w:sz w:val="24"/>
          <w:szCs w:val="24"/>
          <w:highlight w:val="none"/>
          <w:vertAlign w:val="superscript"/>
        </w:rPr>
        <w:t>2</w:t>
      </w:r>
      <w:r>
        <w:rPr>
          <w:rFonts w:hint="default" w:ascii="Times New Roman" w:hAnsi="Times New Roman" w:cs="Times New Roman"/>
          <w:color w:val="auto"/>
          <w:kern w:val="2"/>
          <w:sz w:val="24"/>
          <w:szCs w:val="24"/>
          <w:highlight w:val="none"/>
        </w:rPr>
        <w:t>/d）</w:t>
      </w:r>
      <w:r>
        <w:rPr>
          <w:rFonts w:hint="eastAsia" w:ascii="Times New Roman" w:hAnsi="Times New Roman" w:cs="Times New Roman"/>
          <w:color w:val="auto"/>
          <w:kern w:val="2"/>
          <w:sz w:val="24"/>
          <w:szCs w:val="24"/>
          <w:highlight w:val="none"/>
          <w:lang w:eastAsia="zh-CN"/>
        </w:rPr>
        <w:t>。</w:t>
      </w:r>
    </w:p>
    <w:p w14:paraId="5ADF519E">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预测结果</w:t>
      </w:r>
    </w:p>
    <w:p w14:paraId="00FB3654">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预测结果见表</w:t>
      </w:r>
      <w:r>
        <w:rPr>
          <w:rFonts w:hint="default" w:ascii="Times New Roman" w:hAnsi="Times New Roman" w:cs="Times New Roman"/>
          <w:color w:val="000000" w:themeColor="text1"/>
          <w:sz w:val="24"/>
          <w:highlight w:val="none"/>
          <w:lang w:val="en-US" w:eastAsia="zh-CN"/>
          <w14:textFill>
            <w14:solidFill>
              <w14:schemeClr w14:val="tx1"/>
            </w14:solidFill>
          </w14:textFill>
        </w:rPr>
        <w:t>5.2-</w:t>
      </w:r>
      <w:r>
        <w:rPr>
          <w:rFonts w:hint="eastAsia" w:cs="Times New Roman"/>
          <w:color w:val="000000" w:themeColor="text1"/>
          <w:sz w:val="24"/>
          <w:highlight w:val="none"/>
          <w:lang w:val="en-US" w:eastAsia="zh-CN"/>
          <w14:textFill>
            <w14:solidFill>
              <w14:schemeClr w14:val="tx1"/>
            </w14:solidFill>
          </w14:textFill>
        </w:rPr>
        <w:t>8、图5.2-3~5.2-6</w:t>
      </w:r>
      <w:r>
        <w:rPr>
          <w:rFonts w:hint="default" w:ascii="Times New Roman" w:hAnsi="Times New Roman" w:cs="Times New Roman"/>
          <w:color w:val="000000" w:themeColor="text1"/>
          <w:sz w:val="24"/>
          <w:highlight w:val="none"/>
          <w14:textFill>
            <w14:solidFill>
              <w14:schemeClr w14:val="tx1"/>
            </w14:solidFill>
          </w14:textFill>
        </w:rPr>
        <w:t>。</w:t>
      </w:r>
    </w:p>
    <w:p w14:paraId="5053DC86">
      <w:pPr>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表5.2-</w:t>
      </w:r>
      <w:r>
        <w:rPr>
          <w:rFonts w:hint="eastAsia" w:cs="Times New Roman"/>
          <w:b/>
          <w:bCs/>
          <w:color w:val="000000" w:themeColor="text1"/>
          <w:sz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w:t>
      </w:r>
      <w:r>
        <w:rPr>
          <w:rFonts w:hint="eastAsia" w:cs="Times New Roman"/>
          <w:b/>
          <w:bCs/>
          <w:color w:val="000000" w:themeColor="text1"/>
          <w:sz w:val="24"/>
          <w:highlight w:val="none"/>
          <w:lang w:val="en-US" w:eastAsia="zh-CN"/>
          <w14:textFill>
            <w14:solidFill>
              <w14:schemeClr w14:val="tx1"/>
            </w14:solidFill>
          </w14:textFill>
        </w:rPr>
        <w:t>废石堆场</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淋溶水渗入地下</w:t>
      </w:r>
      <w:r>
        <w:rPr>
          <w:rFonts w:hint="eastAsia" w:cs="Times New Roman"/>
          <w:b/>
          <w:bCs/>
          <w:color w:val="000000" w:themeColor="text1"/>
          <w:sz w:val="24"/>
          <w:highlight w:val="none"/>
          <w:lang w:val="en-US" w:eastAsia="zh-CN"/>
          <w14:textFill>
            <w14:solidFill>
              <w14:schemeClr w14:val="tx1"/>
            </w14:solidFill>
          </w14:textFill>
        </w:rPr>
        <w:t>砷</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浓度预测结果（mg/l）</w:t>
      </w:r>
    </w:p>
    <w:tbl>
      <w:tblPr>
        <w:tblStyle w:val="79"/>
        <w:tblW w:w="851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51"/>
        <w:gridCol w:w="2217"/>
        <w:gridCol w:w="1937"/>
        <w:gridCol w:w="2127"/>
        <w:gridCol w:w="1478"/>
      </w:tblGrid>
      <w:tr w14:paraId="7D3F9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751" w:type="dxa"/>
            <w:vAlign w:val="center"/>
          </w:tcPr>
          <w:p w14:paraId="6AF79B8F">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b/>
                <w:bCs/>
                <w:color w:val="000000" w:themeColor="text1"/>
                <w:kern w:val="18"/>
                <w:sz w:val="21"/>
                <w:szCs w:val="21"/>
                <w14:textFill>
                  <w14:solidFill>
                    <w14:schemeClr w14:val="tx1"/>
                  </w14:solidFill>
                </w14:textFill>
              </w:rPr>
            </w:pPr>
            <w:r>
              <w:rPr>
                <w:rFonts w:hint="default" w:ascii="Times New Roman" w:hAnsi="Times New Roman" w:cs="Times New Roman"/>
                <w:b/>
                <w:bCs/>
                <w:color w:val="000000" w:themeColor="text1"/>
                <w:kern w:val="18"/>
                <w:sz w:val="21"/>
                <w:szCs w:val="21"/>
                <w14:textFill>
                  <w14:solidFill>
                    <w14:schemeClr w14:val="tx1"/>
                  </w14:solidFill>
                </w14:textFill>
              </w:rPr>
              <w:t>时间</w:t>
            </w:r>
          </w:p>
        </w:tc>
        <w:tc>
          <w:tcPr>
            <w:tcW w:w="2217" w:type="dxa"/>
            <w:vAlign w:val="center"/>
          </w:tcPr>
          <w:p w14:paraId="52843431">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b/>
                <w:bCs/>
                <w:color w:val="000000" w:themeColor="text1"/>
                <w:kern w:val="18"/>
                <w:sz w:val="21"/>
                <w:szCs w:val="21"/>
                <w14:textFill>
                  <w14:solidFill>
                    <w14:schemeClr w14:val="tx1"/>
                  </w14:solidFill>
                </w14:textFill>
              </w:rPr>
            </w:pPr>
            <w:r>
              <w:rPr>
                <w:rFonts w:hint="eastAsia" w:ascii="Times New Roman" w:hAnsi="Times New Roman" w:cs="Times New Roman"/>
                <w:b/>
                <w:bCs/>
                <w:color w:val="000000" w:themeColor="text1"/>
                <w:kern w:val="18"/>
                <w:sz w:val="21"/>
                <w:szCs w:val="21"/>
                <w14:textFill>
                  <w14:solidFill>
                    <w14:schemeClr w14:val="tx1"/>
                  </w14:solidFill>
                </w14:textFill>
              </w:rPr>
              <w:t>预测浓度最大值（</w:t>
            </w:r>
            <w:r>
              <w:rPr>
                <w:rFonts w:hint="default" w:ascii="Times New Roman" w:hAnsi="Times New Roman" w:cs="Times New Roman"/>
                <w:color w:val="000000" w:themeColor="text1"/>
                <w:kern w:val="18"/>
                <w:sz w:val="21"/>
                <w:szCs w:val="21"/>
                <w14:textFill>
                  <w14:solidFill>
                    <w14:schemeClr w14:val="tx1"/>
                  </w14:solidFill>
                </w14:textFill>
              </w:rPr>
              <w:t>m</w:t>
            </w:r>
            <w:r>
              <w:rPr>
                <w:rFonts w:hint="eastAsia" w:ascii="Times New Roman" w:hAnsi="Times New Roman" w:cs="Times New Roman"/>
                <w:color w:val="000000" w:themeColor="text1"/>
                <w:kern w:val="18"/>
                <w:sz w:val="21"/>
                <w:szCs w:val="21"/>
                <w14:textFill>
                  <w14:solidFill>
                    <w14:schemeClr w14:val="tx1"/>
                  </w14:solidFill>
                </w14:textFill>
              </w:rPr>
              <w:t>g/L</w:t>
            </w:r>
            <w:r>
              <w:rPr>
                <w:rFonts w:hint="eastAsia" w:ascii="Times New Roman" w:hAnsi="Times New Roman" w:cs="Times New Roman"/>
                <w:b/>
                <w:bCs/>
                <w:color w:val="000000" w:themeColor="text1"/>
                <w:kern w:val="18"/>
                <w:sz w:val="21"/>
                <w:szCs w:val="21"/>
                <w14:textFill>
                  <w14:solidFill>
                    <w14:schemeClr w14:val="tx1"/>
                  </w14:solidFill>
                </w14:textFill>
              </w:rPr>
              <w:t>）</w:t>
            </w:r>
          </w:p>
        </w:tc>
        <w:tc>
          <w:tcPr>
            <w:tcW w:w="1937" w:type="dxa"/>
            <w:vAlign w:val="center"/>
          </w:tcPr>
          <w:p w14:paraId="4F062A5D">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eastAsia" w:ascii="Times New Roman" w:hAnsi="Times New Roman" w:cs="Times New Roman"/>
                <w:b/>
                <w:bCs/>
                <w:color w:val="000000" w:themeColor="text1"/>
                <w:kern w:val="18"/>
                <w:sz w:val="21"/>
                <w:szCs w:val="21"/>
                <w14:textFill>
                  <w14:solidFill>
                    <w14:schemeClr w14:val="tx1"/>
                  </w14:solidFill>
                </w14:textFill>
              </w:rPr>
            </w:pPr>
            <w:r>
              <w:rPr>
                <w:rFonts w:hint="eastAsia" w:ascii="Times New Roman" w:hAnsi="Times New Roman" w:cs="Times New Roman"/>
                <w:b/>
                <w:bCs/>
                <w:color w:val="000000" w:themeColor="text1"/>
                <w:kern w:val="18"/>
                <w:sz w:val="21"/>
                <w:szCs w:val="21"/>
                <w14:textFill>
                  <w14:solidFill>
                    <w14:schemeClr w14:val="tx1"/>
                  </w14:solidFill>
                </w14:textFill>
              </w:rPr>
              <w:t>最大值对应距离（m）</w:t>
            </w:r>
          </w:p>
        </w:tc>
        <w:tc>
          <w:tcPr>
            <w:tcW w:w="2127" w:type="dxa"/>
            <w:vAlign w:val="center"/>
          </w:tcPr>
          <w:p w14:paraId="1979A815">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b/>
                <w:bCs/>
                <w:color w:val="000000" w:themeColor="text1"/>
                <w:kern w:val="18"/>
                <w:sz w:val="21"/>
                <w:szCs w:val="21"/>
                <w14:textFill>
                  <w14:solidFill>
                    <w14:schemeClr w14:val="tx1"/>
                  </w14:solidFill>
                </w14:textFill>
              </w:rPr>
            </w:pPr>
            <w:r>
              <w:rPr>
                <w:rFonts w:hint="eastAsia" w:ascii="Times New Roman" w:hAnsi="Times New Roman" w:cs="Times New Roman"/>
                <w:b/>
                <w:bCs/>
                <w:color w:val="000000" w:themeColor="text1"/>
                <w:kern w:val="18"/>
                <w:sz w:val="21"/>
                <w:szCs w:val="21"/>
                <w14:textFill>
                  <w14:solidFill>
                    <w14:schemeClr w14:val="tx1"/>
                  </w14:solidFill>
                </w14:textFill>
              </w:rPr>
              <w:t>预测影响最远距离（m）</w:t>
            </w:r>
          </w:p>
        </w:tc>
        <w:tc>
          <w:tcPr>
            <w:tcW w:w="1478" w:type="dxa"/>
            <w:vAlign w:val="center"/>
          </w:tcPr>
          <w:p w14:paraId="75BA262B">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b/>
                <w:bCs/>
                <w:color w:val="000000" w:themeColor="text1"/>
                <w:kern w:val="18"/>
                <w:sz w:val="21"/>
                <w:szCs w:val="21"/>
                <w14:textFill>
                  <w14:solidFill>
                    <w14:schemeClr w14:val="tx1"/>
                  </w14:solidFill>
                </w14:textFill>
              </w:rPr>
            </w:pPr>
            <w:r>
              <w:rPr>
                <w:rFonts w:hint="eastAsia" w:ascii="Times New Roman" w:hAnsi="Times New Roman" w:cs="Times New Roman"/>
                <w:b/>
                <w:bCs/>
                <w:color w:val="000000" w:themeColor="text1"/>
                <w:kern w:val="18"/>
                <w:sz w:val="21"/>
                <w:szCs w:val="21"/>
                <w14:textFill>
                  <w14:solidFill>
                    <w14:schemeClr w14:val="tx1"/>
                  </w14:solidFill>
                </w14:textFill>
              </w:rPr>
              <w:t>超标距离（m）</w:t>
            </w:r>
          </w:p>
        </w:tc>
      </w:tr>
      <w:tr w14:paraId="267FA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751" w:type="dxa"/>
            <w:vAlign w:val="center"/>
          </w:tcPr>
          <w:p w14:paraId="7BEC8809">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color w:val="000000" w:themeColor="text1"/>
                <w:kern w:val="18"/>
                <w:sz w:val="21"/>
                <w:szCs w:val="21"/>
                <w14:textFill>
                  <w14:solidFill>
                    <w14:schemeClr w14:val="tx1"/>
                  </w14:solidFill>
                </w14:textFill>
              </w:rPr>
            </w:pPr>
            <w:r>
              <w:rPr>
                <w:rFonts w:hint="default" w:ascii="Times New Roman" w:hAnsi="Times New Roman" w:cs="Times New Roman"/>
                <w:color w:val="000000" w:themeColor="text1"/>
                <w:kern w:val="18"/>
                <w:sz w:val="21"/>
                <w:szCs w:val="21"/>
                <w14:textFill>
                  <w14:solidFill>
                    <w14:schemeClr w14:val="tx1"/>
                  </w14:solidFill>
                </w14:textFill>
              </w:rPr>
              <w:t>10</w:t>
            </w:r>
            <w:r>
              <w:rPr>
                <w:rFonts w:hint="eastAsia" w:ascii="Times New Roman" w:hAnsi="Times New Roman" w:cs="Times New Roman"/>
                <w:color w:val="000000" w:themeColor="text1"/>
                <w:kern w:val="18"/>
                <w:sz w:val="21"/>
                <w:szCs w:val="21"/>
                <w14:textFill>
                  <w14:solidFill>
                    <w14:schemeClr w14:val="tx1"/>
                  </w14:solidFill>
                </w14:textFill>
              </w:rPr>
              <w:t>0</w:t>
            </w:r>
            <w:r>
              <w:rPr>
                <w:rFonts w:hint="default" w:ascii="Times New Roman" w:hAnsi="Times New Roman" w:cs="Times New Roman"/>
                <w:color w:val="000000" w:themeColor="text1"/>
                <w:kern w:val="18"/>
                <w:sz w:val="21"/>
                <w:szCs w:val="21"/>
                <w14:textFill>
                  <w14:solidFill>
                    <w14:schemeClr w14:val="tx1"/>
                  </w14:solidFill>
                </w14:textFill>
              </w:rPr>
              <w:t>天</w:t>
            </w:r>
          </w:p>
        </w:tc>
        <w:tc>
          <w:tcPr>
            <w:tcW w:w="2217" w:type="dxa"/>
            <w:vAlign w:val="center"/>
          </w:tcPr>
          <w:p w14:paraId="6890AC40">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0.0002</w:t>
            </w:r>
          </w:p>
        </w:tc>
        <w:tc>
          <w:tcPr>
            <w:tcW w:w="1937" w:type="dxa"/>
            <w:vAlign w:val="center"/>
          </w:tcPr>
          <w:p w14:paraId="1368199F">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t>0</w:t>
            </w:r>
          </w:p>
        </w:tc>
        <w:tc>
          <w:tcPr>
            <w:tcW w:w="2127" w:type="dxa"/>
            <w:vAlign w:val="center"/>
          </w:tcPr>
          <w:p w14:paraId="1AE214E0">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52</w:t>
            </w:r>
          </w:p>
        </w:tc>
        <w:tc>
          <w:tcPr>
            <w:tcW w:w="1478" w:type="dxa"/>
            <w:vAlign w:val="center"/>
          </w:tcPr>
          <w:p w14:paraId="797433B1">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w:t>
            </w:r>
          </w:p>
        </w:tc>
      </w:tr>
      <w:tr w14:paraId="18B64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751" w:type="dxa"/>
            <w:vAlign w:val="center"/>
          </w:tcPr>
          <w:p w14:paraId="306255B0">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color w:val="000000" w:themeColor="text1"/>
                <w:kern w:val="18"/>
                <w:sz w:val="21"/>
                <w:szCs w:val="21"/>
                <w14:textFill>
                  <w14:solidFill>
                    <w14:schemeClr w14:val="tx1"/>
                  </w14:solidFill>
                </w14:textFill>
              </w:rPr>
            </w:pPr>
            <w:r>
              <w:rPr>
                <w:rFonts w:hint="eastAsia" w:ascii="Times New Roman" w:hAnsi="Times New Roman" w:cs="Times New Roman"/>
                <w:color w:val="000000" w:themeColor="text1"/>
                <w:kern w:val="18"/>
                <w:sz w:val="21"/>
                <w:szCs w:val="21"/>
                <w14:textFill>
                  <w14:solidFill>
                    <w14:schemeClr w14:val="tx1"/>
                  </w14:solidFill>
                </w14:textFill>
              </w:rPr>
              <w:t>10</w:t>
            </w:r>
            <w:r>
              <w:rPr>
                <w:rFonts w:hint="default" w:ascii="Times New Roman" w:hAnsi="Times New Roman" w:cs="Times New Roman"/>
                <w:color w:val="000000" w:themeColor="text1"/>
                <w:kern w:val="18"/>
                <w:sz w:val="21"/>
                <w:szCs w:val="21"/>
                <w14:textFill>
                  <w14:solidFill>
                    <w14:schemeClr w14:val="tx1"/>
                  </w14:solidFill>
                </w14:textFill>
              </w:rPr>
              <w:t>00天</w:t>
            </w:r>
          </w:p>
        </w:tc>
        <w:tc>
          <w:tcPr>
            <w:tcW w:w="2217" w:type="dxa"/>
            <w:vAlign w:val="center"/>
          </w:tcPr>
          <w:p w14:paraId="4D08F6AE">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0.0002</w:t>
            </w:r>
          </w:p>
        </w:tc>
        <w:tc>
          <w:tcPr>
            <w:tcW w:w="1937" w:type="dxa"/>
            <w:vAlign w:val="center"/>
          </w:tcPr>
          <w:p w14:paraId="78817F43">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t>0</w:t>
            </w:r>
          </w:p>
        </w:tc>
        <w:tc>
          <w:tcPr>
            <w:tcW w:w="2127" w:type="dxa"/>
            <w:vAlign w:val="center"/>
          </w:tcPr>
          <w:p w14:paraId="68DC997E">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345</w:t>
            </w:r>
          </w:p>
        </w:tc>
        <w:tc>
          <w:tcPr>
            <w:tcW w:w="1478" w:type="dxa"/>
            <w:vAlign w:val="center"/>
          </w:tcPr>
          <w:p w14:paraId="55891194">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w:t>
            </w:r>
          </w:p>
        </w:tc>
      </w:tr>
      <w:tr w14:paraId="43872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751" w:type="dxa"/>
            <w:vAlign w:val="center"/>
          </w:tcPr>
          <w:p w14:paraId="37A4BE01">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3650天</w:t>
            </w:r>
          </w:p>
        </w:tc>
        <w:tc>
          <w:tcPr>
            <w:tcW w:w="2217" w:type="dxa"/>
            <w:vAlign w:val="center"/>
          </w:tcPr>
          <w:p w14:paraId="66032589">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color w:val="000000" w:themeColor="text1"/>
                <w:kern w:val="18"/>
                <w:sz w:val="21"/>
                <w:szCs w:val="21"/>
                <w:lang w:val="en-US"/>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0.0002</w:t>
            </w:r>
          </w:p>
        </w:tc>
        <w:tc>
          <w:tcPr>
            <w:tcW w:w="1937" w:type="dxa"/>
            <w:vAlign w:val="center"/>
          </w:tcPr>
          <w:p w14:paraId="3A26FE2C">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t>0</w:t>
            </w:r>
          </w:p>
        </w:tc>
        <w:tc>
          <w:tcPr>
            <w:tcW w:w="2127" w:type="dxa"/>
            <w:vAlign w:val="center"/>
          </w:tcPr>
          <w:p w14:paraId="7E95DA86">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1132</w:t>
            </w:r>
          </w:p>
        </w:tc>
        <w:tc>
          <w:tcPr>
            <w:tcW w:w="1478" w:type="dxa"/>
            <w:vAlign w:val="center"/>
          </w:tcPr>
          <w:p w14:paraId="6F36F9F5">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w:t>
            </w:r>
          </w:p>
        </w:tc>
      </w:tr>
      <w:tr w14:paraId="14D36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751" w:type="dxa"/>
            <w:vAlign w:val="center"/>
          </w:tcPr>
          <w:p w14:paraId="15FDD8EC">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5000天</w:t>
            </w:r>
          </w:p>
        </w:tc>
        <w:tc>
          <w:tcPr>
            <w:tcW w:w="2217" w:type="dxa"/>
            <w:vAlign w:val="center"/>
          </w:tcPr>
          <w:p w14:paraId="23F856E7">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0.0002</w:t>
            </w:r>
          </w:p>
        </w:tc>
        <w:tc>
          <w:tcPr>
            <w:tcW w:w="1937" w:type="dxa"/>
            <w:vAlign w:val="center"/>
          </w:tcPr>
          <w:p w14:paraId="1BC9F2AB">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t>0</w:t>
            </w:r>
          </w:p>
        </w:tc>
        <w:tc>
          <w:tcPr>
            <w:tcW w:w="2127" w:type="dxa"/>
            <w:vAlign w:val="center"/>
          </w:tcPr>
          <w:p w14:paraId="272A1E92">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1532</w:t>
            </w:r>
          </w:p>
        </w:tc>
        <w:tc>
          <w:tcPr>
            <w:tcW w:w="1478" w:type="dxa"/>
            <w:vAlign w:val="center"/>
          </w:tcPr>
          <w:p w14:paraId="0E1A9E2D">
            <w:pPr>
              <w:pStyle w:val="257"/>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w:t>
            </w:r>
          </w:p>
        </w:tc>
      </w:tr>
    </w:tbl>
    <w:p w14:paraId="7B149886">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4FF71CAE">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53E995F2">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6A69A131">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049826AE">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2B51CE60">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E53DE6F">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66505DCD">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111D9C2B">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3831E0CF">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20F413F4">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3276E08B">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2E44E8A3">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8E23877">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19EB102A">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6F4ABD2C">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0BFC624">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02ADFF73">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214D5D8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图5.2-</w:t>
      </w:r>
      <w:r>
        <w:rPr>
          <w:rFonts w:hint="eastAsia" w:cs="Times New Roman"/>
          <w:b/>
          <w:bCs/>
          <w:color w:val="000000" w:themeColor="text1"/>
          <w:sz w:val="24"/>
          <w:highlight w:val="none"/>
          <w:lang w:val="en-US" w:eastAsia="zh-CN"/>
          <w14:textFill>
            <w14:solidFill>
              <w14:schemeClr w14:val="tx1"/>
            </w14:solidFill>
          </w14:textFill>
        </w:rPr>
        <w:t>3</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     100天</w:t>
      </w:r>
      <w:r>
        <w:rPr>
          <w:rFonts w:hint="eastAsia" w:cs="Times New Roman"/>
          <w:b/>
          <w:bCs/>
          <w:color w:val="000000" w:themeColor="text1"/>
          <w:sz w:val="24"/>
          <w:highlight w:val="none"/>
          <w:lang w:val="en-US" w:eastAsia="zh-CN"/>
          <w14:textFill>
            <w14:solidFill>
              <w14:schemeClr w14:val="tx1"/>
            </w14:solidFill>
          </w14:textFill>
        </w:rPr>
        <w:t>砷</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浓度</w:t>
      </w:r>
      <w:r>
        <w:rPr>
          <w:rFonts w:hint="eastAsia" w:cs="Times New Roman"/>
          <w:b/>
          <w:bCs/>
          <w:color w:val="000000" w:themeColor="text1"/>
          <w:sz w:val="24"/>
          <w:highlight w:val="none"/>
          <w:lang w:val="en-US" w:eastAsia="zh-CN"/>
          <w14:textFill>
            <w14:solidFill>
              <w14:schemeClr w14:val="tx1"/>
            </w14:solidFill>
          </w14:textFill>
        </w:rPr>
        <w:t>随距离变化</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曲线图</w:t>
      </w:r>
    </w:p>
    <w:p w14:paraId="67FE379C">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038CC2DE">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004DA767">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030790FF">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6B724501">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5E05AAFB">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558FC6BF">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79D07F4">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D26AA6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4467E7BC">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50246EE">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171083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4A2F005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33884C1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图5.2-</w:t>
      </w:r>
      <w:r>
        <w:rPr>
          <w:rFonts w:hint="eastAsia"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     </w:t>
      </w:r>
      <w:r>
        <w:rPr>
          <w:rFonts w:hint="eastAsia" w:cs="Times New Roman"/>
          <w:b/>
          <w:bCs/>
          <w:color w:val="000000" w:themeColor="text1"/>
          <w:sz w:val="24"/>
          <w:highlight w:val="none"/>
          <w:lang w:val="en-US" w:eastAsia="zh-CN"/>
          <w14:textFill>
            <w14:solidFill>
              <w14:schemeClr w14:val="tx1"/>
            </w14:solidFill>
          </w14:textFill>
        </w:rPr>
        <w:t>10</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00天</w:t>
      </w:r>
      <w:r>
        <w:rPr>
          <w:rFonts w:hint="eastAsia" w:cs="Times New Roman"/>
          <w:b/>
          <w:bCs/>
          <w:color w:val="000000" w:themeColor="text1"/>
          <w:sz w:val="24"/>
          <w:highlight w:val="none"/>
          <w:lang w:val="en-US" w:eastAsia="zh-CN"/>
          <w14:textFill>
            <w14:solidFill>
              <w14:schemeClr w14:val="tx1"/>
            </w14:solidFill>
          </w14:textFill>
        </w:rPr>
        <w:t>砷</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浓度</w:t>
      </w:r>
      <w:r>
        <w:rPr>
          <w:rFonts w:hint="eastAsia" w:cs="Times New Roman"/>
          <w:b/>
          <w:bCs/>
          <w:color w:val="000000" w:themeColor="text1"/>
          <w:sz w:val="24"/>
          <w:highlight w:val="none"/>
          <w:lang w:val="en-US" w:eastAsia="zh-CN"/>
          <w14:textFill>
            <w14:solidFill>
              <w14:schemeClr w14:val="tx1"/>
            </w14:solidFill>
          </w14:textFill>
        </w:rPr>
        <w:t>随距离变化</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曲线图</w:t>
      </w:r>
    </w:p>
    <w:p w14:paraId="1D8E23B0">
      <w:pPr>
        <w:pStyle w:val="78"/>
        <w:ind w:left="0" w:leftChars="0" w:firstLine="0" w:firstLineChars="0"/>
        <w:jc w:val="center"/>
        <w:rPr>
          <w:rFonts w:hint="eastAsia" w:hAnsi="Times New Roman" w:cs="Times New Roman"/>
          <w:b/>
          <w:bCs/>
          <w:color w:val="000000" w:themeColor="text1"/>
          <w:sz w:val="24"/>
          <w:highlight w:val="none"/>
          <w:lang w:val="en-US" w:eastAsia="zh-CN"/>
          <w14:textFill>
            <w14:solidFill>
              <w14:schemeClr w14:val="tx1"/>
            </w14:solidFill>
          </w14:textFill>
        </w:rPr>
      </w:pPr>
    </w:p>
    <w:p w14:paraId="49A0842A">
      <w:pPr>
        <w:pStyle w:val="54"/>
        <w:rPr>
          <w:rFonts w:hint="eastAsia" w:hAnsi="Times New Roman" w:cs="Times New Roman"/>
          <w:b/>
          <w:bCs/>
          <w:color w:val="000000" w:themeColor="text1"/>
          <w:sz w:val="24"/>
          <w:highlight w:val="none"/>
          <w:lang w:val="en-US" w:eastAsia="zh-CN"/>
          <w14:textFill>
            <w14:solidFill>
              <w14:schemeClr w14:val="tx1"/>
            </w14:solidFill>
          </w14:textFill>
        </w:rPr>
      </w:pPr>
    </w:p>
    <w:p w14:paraId="6E65F05C">
      <w:pPr>
        <w:rPr>
          <w:rFonts w:hint="eastAsia" w:hAnsi="Times New Roman" w:cs="Times New Roman"/>
          <w:b/>
          <w:bCs/>
          <w:color w:val="000000" w:themeColor="text1"/>
          <w:sz w:val="24"/>
          <w:highlight w:val="none"/>
          <w:lang w:val="en-US" w:eastAsia="zh-CN"/>
          <w14:textFill>
            <w14:solidFill>
              <w14:schemeClr w14:val="tx1"/>
            </w14:solidFill>
          </w14:textFill>
        </w:rPr>
      </w:pPr>
    </w:p>
    <w:p w14:paraId="55B1FA04">
      <w:pPr>
        <w:rPr>
          <w:rFonts w:hint="eastAsia" w:hAnsi="Times New Roman" w:cs="Times New Roman"/>
          <w:b/>
          <w:bCs/>
          <w:color w:val="000000" w:themeColor="text1"/>
          <w:sz w:val="24"/>
          <w:highlight w:val="none"/>
          <w:lang w:val="en-US" w:eastAsia="zh-CN"/>
          <w14:textFill>
            <w14:solidFill>
              <w14:schemeClr w14:val="tx1"/>
            </w14:solidFill>
          </w14:textFill>
        </w:rPr>
      </w:pPr>
    </w:p>
    <w:p w14:paraId="03DA54EF">
      <w:pPr>
        <w:rPr>
          <w:rFonts w:hint="eastAsia" w:hAnsi="Times New Roman" w:cs="Times New Roman"/>
          <w:b/>
          <w:bCs/>
          <w:color w:val="000000" w:themeColor="text1"/>
          <w:sz w:val="24"/>
          <w:highlight w:val="none"/>
          <w:lang w:val="en-US" w:eastAsia="zh-CN"/>
          <w14:textFill>
            <w14:solidFill>
              <w14:schemeClr w14:val="tx1"/>
            </w14:solidFill>
          </w14:textFill>
        </w:rPr>
      </w:pPr>
    </w:p>
    <w:p w14:paraId="0D9DB158">
      <w:pPr>
        <w:rPr>
          <w:rFonts w:hint="eastAsia" w:hAnsi="Times New Roman" w:cs="Times New Roman"/>
          <w:b/>
          <w:bCs/>
          <w:color w:val="000000" w:themeColor="text1"/>
          <w:sz w:val="24"/>
          <w:highlight w:val="none"/>
          <w:lang w:val="en-US" w:eastAsia="zh-CN"/>
          <w14:textFill>
            <w14:solidFill>
              <w14:schemeClr w14:val="tx1"/>
            </w14:solidFill>
          </w14:textFill>
        </w:rPr>
      </w:pPr>
    </w:p>
    <w:p w14:paraId="2B67282D">
      <w:pPr>
        <w:rPr>
          <w:rFonts w:hint="eastAsia" w:hAnsi="Times New Roman" w:cs="Times New Roman"/>
          <w:b/>
          <w:bCs/>
          <w:color w:val="000000" w:themeColor="text1"/>
          <w:sz w:val="24"/>
          <w:highlight w:val="none"/>
          <w:lang w:val="en-US" w:eastAsia="zh-CN"/>
          <w14:textFill>
            <w14:solidFill>
              <w14:schemeClr w14:val="tx1"/>
            </w14:solidFill>
          </w14:textFill>
        </w:rPr>
      </w:pPr>
    </w:p>
    <w:p w14:paraId="524139EC">
      <w:pPr>
        <w:rPr>
          <w:rFonts w:hint="eastAsia" w:hAnsi="Times New Roman" w:cs="Times New Roman"/>
          <w:b/>
          <w:bCs/>
          <w:color w:val="000000" w:themeColor="text1"/>
          <w:sz w:val="24"/>
          <w:highlight w:val="none"/>
          <w:lang w:val="en-US" w:eastAsia="zh-CN"/>
          <w14:textFill>
            <w14:solidFill>
              <w14:schemeClr w14:val="tx1"/>
            </w14:solidFill>
          </w14:textFill>
        </w:rPr>
      </w:pPr>
    </w:p>
    <w:p w14:paraId="19475EAF">
      <w:pPr>
        <w:rPr>
          <w:rFonts w:hint="eastAsia" w:hAnsi="Times New Roman" w:cs="Times New Roman"/>
          <w:b/>
          <w:bCs/>
          <w:color w:val="000000" w:themeColor="text1"/>
          <w:sz w:val="24"/>
          <w:highlight w:val="none"/>
          <w:lang w:val="en-US" w:eastAsia="zh-CN"/>
          <w14:textFill>
            <w14:solidFill>
              <w14:schemeClr w14:val="tx1"/>
            </w14:solidFill>
          </w14:textFill>
        </w:rPr>
      </w:pPr>
    </w:p>
    <w:p w14:paraId="40D35642">
      <w:pPr>
        <w:rPr>
          <w:rFonts w:hint="eastAsia" w:hAnsi="Times New Roman" w:cs="Times New Roman"/>
          <w:b/>
          <w:bCs/>
          <w:color w:val="000000" w:themeColor="text1"/>
          <w:sz w:val="24"/>
          <w:highlight w:val="none"/>
          <w:lang w:val="en-US" w:eastAsia="zh-CN"/>
          <w14:textFill>
            <w14:solidFill>
              <w14:schemeClr w14:val="tx1"/>
            </w14:solidFill>
          </w14:textFill>
        </w:rPr>
      </w:pPr>
    </w:p>
    <w:p w14:paraId="0D62A3AB">
      <w:pPr>
        <w:rPr>
          <w:rFonts w:hint="eastAsia" w:hAnsi="Times New Roman" w:cs="Times New Roman"/>
          <w:b/>
          <w:bCs/>
          <w:color w:val="000000" w:themeColor="text1"/>
          <w:sz w:val="24"/>
          <w:highlight w:val="none"/>
          <w:lang w:val="en-US" w:eastAsia="zh-CN"/>
          <w14:textFill>
            <w14:solidFill>
              <w14:schemeClr w14:val="tx1"/>
            </w14:solidFill>
          </w14:textFill>
        </w:rPr>
      </w:pPr>
    </w:p>
    <w:p w14:paraId="182A1417">
      <w:pPr>
        <w:rPr>
          <w:rFonts w:hint="eastAsia" w:hAnsi="Times New Roman" w:cs="Times New Roman"/>
          <w:b/>
          <w:bCs/>
          <w:color w:val="000000" w:themeColor="text1"/>
          <w:sz w:val="24"/>
          <w:highlight w:val="none"/>
          <w:lang w:val="en-US" w:eastAsia="zh-CN"/>
          <w14:textFill>
            <w14:solidFill>
              <w14:schemeClr w14:val="tx1"/>
            </w14:solidFill>
          </w14:textFill>
        </w:rPr>
      </w:pPr>
    </w:p>
    <w:p w14:paraId="08E89339">
      <w:pPr>
        <w:rPr>
          <w:rFonts w:hint="eastAsia" w:hAnsi="Times New Roman" w:cs="Times New Roman"/>
          <w:b/>
          <w:bCs/>
          <w:color w:val="000000" w:themeColor="text1"/>
          <w:sz w:val="24"/>
          <w:highlight w:val="none"/>
          <w:lang w:val="en-US" w:eastAsia="zh-CN"/>
          <w14:textFill>
            <w14:solidFill>
              <w14:schemeClr w14:val="tx1"/>
            </w14:solidFill>
          </w14:textFill>
        </w:rPr>
      </w:pPr>
    </w:p>
    <w:p w14:paraId="7D38969C">
      <w:pPr>
        <w:rPr>
          <w:rFonts w:hint="eastAsia" w:hAnsi="Times New Roman" w:cs="Times New Roman"/>
          <w:b/>
          <w:bCs/>
          <w:color w:val="000000" w:themeColor="text1"/>
          <w:sz w:val="24"/>
          <w:highlight w:val="none"/>
          <w:lang w:val="en-US" w:eastAsia="zh-CN"/>
          <w14:textFill>
            <w14:solidFill>
              <w14:schemeClr w14:val="tx1"/>
            </w14:solidFill>
          </w14:textFill>
        </w:rPr>
      </w:pPr>
    </w:p>
    <w:p w14:paraId="60894617">
      <w:pPr>
        <w:rPr>
          <w:rFonts w:hint="eastAsia" w:hAnsi="Times New Roman" w:cs="Times New Roman"/>
          <w:b/>
          <w:bCs/>
          <w:color w:val="000000" w:themeColor="text1"/>
          <w:sz w:val="24"/>
          <w:highlight w:val="none"/>
          <w:lang w:val="en-US" w:eastAsia="zh-CN"/>
          <w14:textFill>
            <w14:solidFill>
              <w14:schemeClr w14:val="tx1"/>
            </w14:solidFill>
          </w14:textFill>
        </w:rPr>
      </w:pPr>
    </w:p>
    <w:p w14:paraId="404CA8EF">
      <w:pPr>
        <w:rPr>
          <w:rFonts w:hint="eastAsia" w:hAnsi="Times New Roman" w:cs="Times New Roman"/>
          <w:b/>
          <w:bCs/>
          <w:color w:val="000000" w:themeColor="text1"/>
          <w:sz w:val="24"/>
          <w:highlight w:val="none"/>
          <w:lang w:val="en-US" w:eastAsia="zh-CN"/>
          <w14:textFill>
            <w14:solidFill>
              <w14:schemeClr w14:val="tx1"/>
            </w14:solidFill>
          </w14:textFill>
        </w:rPr>
      </w:pPr>
    </w:p>
    <w:p w14:paraId="00E62405">
      <w:pPr>
        <w:rPr>
          <w:rFonts w:hint="eastAsia" w:hAnsi="Times New Roman" w:cs="Times New Roman"/>
          <w:b/>
          <w:bCs/>
          <w:color w:val="000000" w:themeColor="text1"/>
          <w:sz w:val="24"/>
          <w:highlight w:val="none"/>
          <w:lang w:val="en-US" w:eastAsia="zh-CN"/>
          <w14:textFill>
            <w14:solidFill>
              <w14:schemeClr w14:val="tx1"/>
            </w14:solidFill>
          </w14:textFill>
        </w:rPr>
      </w:pPr>
    </w:p>
    <w:p w14:paraId="62B1D9AB">
      <w:pPr>
        <w:rPr>
          <w:rFonts w:hint="eastAsia" w:hAnsi="Times New Roman" w:cs="Times New Roman"/>
          <w:b/>
          <w:bCs/>
          <w:color w:val="000000" w:themeColor="text1"/>
          <w:sz w:val="24"/>
          <w:highlight w:val="none"/>
          <w:lang w:val="en-US" w:eastAsia="zh-CN"/>
          <w14:textFill>
            <w14:solidFill>
              <w14:schemeClr w14:val="tx1"/>
            </w14:solidFill>
          </w14:textFill>
        </w:rPr>
      </w:pPr>
    </w:p>
    <w:p w14:paraId="600A0B3C">
      <w:pPr>
        <w:rPr>
          <w:rFonts w:hint="eastAsia" w:hAnsi="Times New Roman" w:cs="Times New Roman"/>
          <w:b/>
          <w:bCs/>
          <w:color w:val="000000" w:themeColor="text1"/>
          <w:sz w:val="24"/>
          <w:highlight w:val="none"/>
          <w:lang w:val="en-US" w:eastAsia="zh-CN"/>
          <w14:textFill>
            <w14:solidFill>
              <w14:schemeClr w14:val="tx1"/>
            </w14:solidFill>
          </w14:textFill>
        </w:rPr>
      </w:pPr>
    </w:p>
    <w:p w14:paraId="778F9D39">
      <w:pPr>
        <w:rPr>
          <w:rFonts w:hint="eastAsia" w:hAnsi="Times New Roman" w:cs="Times New Roman"/>
          <w:b/>
          <w:bCs/>
          <w:color w:val="000000" w:themeColor="text1"/>
          <w:sz w:val="24"/>
          <w:highlight w:val="none"/>
          <w:lang w:val="en-US" w:eastAsia="zh-CN"/>
          <w14:textFill>
            <w14:solidFill>
              <w14:schemeClr w14:val="tx1"/>
            </w14:solidFill>
          </w14:textFill>
        </w:rPr>
      </w:pPr>
    </w:p>
    <w:p w14:paraId="2F81DE59">
      <w:pPr>
        <w:pStyle w:val="78"/>
        <w:ind w:left="0" w:leftChars="0" w:firstLine="0" w:firstLineChars="0"/>
        <w:jc w:val="center"/>
        <w:rPr>
          <w:rFonts w:hint="eastAsia" w:hAnsi="Times New Roman" w:cs="Times New Roman"/>
          <w:b/>
          <w:bCs/>
          <w:color w:val="000000" w:themeColor="text1"/>
          <w:sz w:val="24"/>
          <w:highlight w:val="none"/>
          <w:lang w:val="en-US" w:eastAsia="zh-CN"/>
          <w14:textFill>
            <w14:solidFill>
              <w14:schemeClr w14:val="tx1"/>
            </w14:solidFill>
          </w14:textFill>
        </w:rPr>
      </w:pPr>
      <w:r>
        <w:rPr>
          <w:rFonts w:hint="eastAsia" w:hAnsi="Times New Roman" w:cs="Times New Roman"/>
          <w:b/>
          <w:bCs/>
          <w:color w:val="000000" w:themeColor="text1"/>
          <w:sz w:val="24"/>
          <w:highlight w:val="none"/>
          <w:lang w:val="en-US" w:eastAsia="zh-CN"/>
          <w14:textFill>
            <w14:solidFill>
              <w14:schemeClr w14:val="tx1"/>
            </w14:solidFill>
          </w14:textFill>
        </w:rPr>
        <w:t xml:space="preserve">图5.2-5    </w:t>
      </w:r>
      <w:r>
        <w:rPr>
          <w:rFonts w:hint="eastAsia" w:cs="Times New Roman"/>
          <w:b/>
          <w:bCs/>
          <w:color w:val="000000" w:themeColor="text1"/>
          <w:sz w:val="24"/>
          <w:highlight w:val="none"/>
          <w:lang w:val="en-US" w:eastAsia="zh-CN"/>
          <w14:textFill>
            <w14:solidFill>
              <w14:schemeClr w14:val="tx1"/>
            </w14:solidFill>
          </w14:textFill>
        </w:rPr>
        <w:t>3650</w:t>
      </w:r>
      <w:r>
        <w:rPr>
          <w:rFonts w:hint="eastAsia" w:hAnsi="Times New Roman" w:cs="Times New Roman"/>
          <w:b/>
          <w:bCs/>
          <w:color w:val="000000" w:themeColor="text1"/>
          <w:sz w:val="24"/>
          <w:highlight w:val="none"/>
          <w:lang w:val="en-US" w:eastAsia="zh-CN"/>
          <w14:textFill>
            <w14:solidFill>
              <w14:schemeClr w14:val="tx1"/>
            </w14:solidFill>
          </w14:textFill>
        </w:rPr>
        <w:t>天</w:t>
      </w:r>
      <w:r>
        <w:rPr>
          <w:rFonts w:hint="eastAsia" w:cs="Times New Roman"/>
          <w:b/>
          <w:bCs/>
          <w:color w:val="000000" w:themeColor="text1"/>
          <w:sz w:val="24"/>
          <w:highlight w:val="none"/>
          <w:lang w:val="en-US" w:eastAsia="zh-CN"/>
          <w14:textFill>
            <w14:solidFill>
              <w14:schemeClr w14:val="tx1"/>
            </w14:solidFill>
          </w14:textFill>
        </w:rPr>
        <w:t>砷</w:t>
      </w:r>
      <w:r>
        <w:rPr>
          <w:rFonts w:hint="eastAsia" w:hAnsi="Times New Roman" w:cs="Times New Roman"/>
          <w:b/>
          <w:bCs/>
          <w:color w:val="000000" w:themeColor="text1"/>
          <w:sz w:val="24"/>
          <w:highlight w:val="none"/>
          <w:lang w:val="en-US" w:eastAsia="zh-CN"/>
          <w14:textFill>
            <w14:solidFill>
              <w14:schemeClr w14:val="tx1"/>
            </w14:solidFill>
          </w14:textFill>
        </w:rPr>
        <w:t>浓度</w:t>
      </w:r>
      <w:r>
        <w:rPr>
          <w:rFonts w:hint="eastAsia" w:cs="Times New Roman"/>
          <w:b/>
          <w:bCs/>
          <w:color w:val="000000" w:themeColor="text1"/>
          <w:sz w:val="24"/>
          <w:highlight w:val="none"/>
          <w:lang w:val="en-US" w:eastAsia="zh-CN"/>
          <w14:textFill>
            <w14:solidFill>
              <w14:schemeClr w14:val="tx1"/>
            </w14:solidFill>
          </w14:textFill>
        </w:rPr>
        <w:t>变化</w:t>
      </w:r>
      <w:r>
        <w:rPr>
          <w:rFonts w:hint="eastAsia" w:hAnsi="Times New Roman" w:cs="Times New Roman"/>
          <w:b/>
          <w:bCs/>
          <w:color w:val="000000" w:themeColor="text1"/>
          <w:sz w:val="24"/>
          <w:highlight w:val="none"/>
          <w:lang w:val="en-US" w:eastAsia="zh-CN"/>
          <w14:textFill>
            <w14:solidFill>
              <w14:schemeClr w14:val="tx1"/>
            </w14:solidFill>
          </w14:textFill>
        </w:rPr>
        <w:t>曲线图</w:t>
      </w:r>
    </w:p>
    <w:p w14:paraId="15991054">
      <w:pPr>
        <w:pStyle w:val="54"/>
        <w:ind w:left="0" w:leftChars="0" w:firstLine="0" w:firstLineChars="0"/>
        <w:jc w:val="cente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4F294CE4">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7862FA4C">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3B2C552E">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31C359DA">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576F65FD">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35BBB4DE">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137F3F19">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6B40F3CC">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71CB0A06">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67753251">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0FA6F2A7">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53D3BF86">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2D59E91F">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0B44069A">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5A201306">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404C895A">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6A477B1F">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627D9D02">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图5.2-6    </w:t>
      </w:r>
      <w:r>
        <w:rPr>
          <w:rFonts w:hint="eastAsia" w:cs="Times New Roman"/>
          <w:b/>
          <w:bCs/>
          <w:color w:val="000000" w:themeColor="text1"/>
          <w:sz w:val="24"/>
          <w:highlight w:val="none"/>
          <w:lang w:val="en-US" w:eastAsia="zh-CN"/>
          <w14:textFill>
            <w14:solidFill>
              <w14:schemeClr w14:val="tx1"/>
            </w14:solidFill>
          </w14:textFill>
        </w:rPr>
        <w:t>5000</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天</w:t>
      </w:r>
      <w:r>
        <w:rPr>
          <w:rFonts w:hint="eastAsia" w:cs="Times New Roman"/>
          <w:b/>
          <w:bCs/>
          <w:color w:val="000000" w:themeColor="text1"/>
          <w:sz w:val="24"/>
          <w:highlight w:val="none"/>
          <w:lang w:val="en-US" w:eastAsia="zh-CN"/>
          <w14:textFill>
            <w14:solidFill>
              <w14:schemeClr w14:val="tx1"/>
            </w14:solidFill>
          </w14:textFill>
        </w:rPr>
        <w:t>砷</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浓度</w:t>
      </w:r>
      <w:r>
        <w:rPr>
          <w:rFonts w:hint="eastAsia" w:cs="Times New Roman"/>
          <w:b/>
          <w:bCs/>
          <w:color w:val="000000" w:themeColor="text1"/>
          <w:sz w:val="24"/>
          <w:highlight w:val="none"/>
          <w:lang w:val="en-US" w:eastAsia="zh-CN"/>
          <w14:textFill>
            <w14:solidFill>
              <w14:schemeClr w14:val="tx1"/>
            </w14:solidFill>
          </w14:textFill>
        </w:rPr>
        <w:t>变化</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曲线图</w:t>
      </w:r>
    </w:p>
    <w:p w14:paraId="72876B92">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从表</w:t>
      </w:r>
      <w:r>
        <w:rPr>
          <w:rFonts w:hint="eastAsia" w:ascii="Times New Roman" w:hAnsi="Times New Roman" w:cs="Times New Roman"/>
          <w:color w:val="000000" w:themeColor="text1"/>
          <w:sz w:val="24"/>
          <w:highlight w:val="none"/>
          <w:lang w:val="en-US" w:eastAsia="zh-CN"/>
          <w14:textFill>
            <w14:solidFill>
              <w14:schemeClr w14:val="tx1"/>
            </w14:solidFill>
          </w14:textFill>
        </w:rPr>
        <w:t>5.2-</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预测结果可以看出，废石淋溶水的预测结果超标</w:t>
      </w:r>
      <w:r>
        <w:rPr>
          <w:rFonts w:hint="eastAsia" w:ascii="Times New Roman" w:hAnsi="Times New Roman" w:cs="Times New Roman"/>
          <w:color w:val="000000" w:themeColor="text1"/>
          <w:sz w:val="24"/>
          <w:highlight w:val="none"/>
          <w:lang w:val="en-US" w:eastAsia="zh-CN"/>
          <w14:textFill>
            <w14:solidFill>
              <w14:schemeClr w14:val="tx1"/>
            </w14:solidFill>
          </w14:textFill>
        </w:rPr>
        <w:t>距离</w:t>
      </w:r>
      <w:r>
        <w:rPr>
          <w:rFonts w:hint="default" w:ascii="Times New Roman" w:hAnsi="Times New Roman" w:cs="Times New Roman"/>
          <w:color w:val="000000" w:themeColor="text1"/>
          <w:sz w:val="24"/>
          <w:highlight w:val="none"/>
          <w14:textFill>
            <w14:solidFill>
              <w14:schemeClr w14:val="tx1"/>
            </w14:solidFill>
          </w14:textFill>
        </w:rPr>
        <w:t>为0，超标范围离开</w:t>
      </w:r>
      <w:r>
        <w:rPr>
          <w:rFonts w:hint="eastAsia" w:cs="Times New Roman"/>
          <w:color w:val="000000" w:themeColor="text1"/>
          <w:sz w:val="24"/>
          <w:highlight w:val="none"/>
          <w:lang w:val="en-US" w:eastAsia="zh-CN"/>
          <w14:textFill>
            <w14:solidFill>
              <w14:schemeClr w14:val="tx1"/>
            </w14:solidFill>
          </w14:textFill>
        </w:rPr>
        <w:t>废石堆场</w:t>
      </w:r>
      <w:r>
        <w:rPr>
          <w:rFonts w:hint="default" w:ascii="Times New Roman" w:hAnsi="Times New Roman" w:cs="Times New Roman"/>
          <w:color w:val="000000" w:themeColor="text1"/>
          <w:sz w:val="24"/>
          <w:highlight w:val="none"/>
          <w14:textFill>
            <w14:solidFill>
              <w14:schemeClr w14:val="tx1"/>
            </w14:solidFill>
          </w14:textFill>
        </w:rPr>
        <w:t>距离为0。</w:t>
      </w:r>
      <w:r>
        <w:rPr>
          <w:rFonts w:hint="eastAsia" w:ascii="Times New Roman" w:hAnsi="Times New Roman" w:cs="Times New Roman"/>
          <w:color w:val="000000" w:themeColor="text1"/>
          <w:sz w:val="24"/>
          <w:highlight w:val="none"/>
          <w:lang w:val="en-US" w:eastAsia="zh-CN"/>
          <w14:textFill>
            <w14:solidFill>
              <w14:schemeClr w14:val="tx1"/>
            </w14:solidFill>
          </w14:textFill>
        </w:rPr>
        <w:t>100d时，预测最大浓度值为</w:t>
      </w:r>
      <w:r>
        <w:rPr>
          <w:rFonts w:hint="eastAsia" w:cs="Times New Roman"/>
          <w:color w:val="000000" w:themeColor="text1"/>
          <w:sz w:val="24"/>
          <w:szCs w:val="24"/>
          <w:highlight w:val="none"/>
          <w:vertAlign w:val="baseline"/>
          <w:lang w:val="en-US" w:eastAsia="zh-CN"/>
          <w14:textFill>
            <w14:solidFill>
              <w14:schemeClr w14:val="tx1"/>
            </w14:solidFill>
          </w14:textFill>
        </w:rPr>
        <w:t>0.0002</w:t>
      </w:r>
      <w:r>
        <w:rPr>
          <w:rFonts w:hint="eastAsia" w:ascii="Times New Roman" w:hAnsi="Times New Roman" w:cs="Times New Roman"/>
          <w:color w:val="000000" w:themeColor="text1"/>
          <w:sz w:val="24"/>
          <w:highlight w:val="none"/>
          <w:lang w:val="en-US" w:eastAsia="zh-CN"/>
          <w14:textFill>
            <w14:solidFill>
              <w14:schemeClr w14:val="tx1"/>
            </w14:solidFill>
          </w14:textFill>
        </w:rPr>
        <w:t>mg/L，位于下游</w:t>
      </w:r>
      <w:r>
        <w:rPr>
          <w:rFonts w:hint="eastAsia" w:cs="Times New Roman"/>
          <w:color w:val="000000" w:themeColor="text1"/>
          <w:sz w:val="24"/>
          <w:highlight w:val="none"/>
          <w:lang w:val="en-US" w:eastAsia="zh-CN"/>
          <w14:textFill>
            <w14:solidFill>
              <w14:schemeClr w14:val="tx1"/>
            </w14:solidFill>
          </w14:textFill>
        </w:rPr>
        <w:t>0</w:t>
      </w:r>
      <w:r>
        <w:rPr>
          <w:rFonts w:hint="eastAsia" w:ascii="Times New Roman" w:hAnsi="Times New Roman" w:cs="Times New Roman"/>
          <w:color w:val="000000" w:themeColor="text1"/>
          <w:sz w:val="24"/>
          <w:highlight w:val="none"/>
          <w:lang w:val="en-US" w:eastAsia="zh-CN"/>
          <w14:textFill>
            <w14:solidFill>
              <w14:schemeClr w14:val="tx1"/>
            </w14:solidFill>
          </w14:textFill>
        </w:rPr>
        <w:t>m处；</w:t>
      </w:r>
      <w:r>
        <w:rPr>
          <w:rFonts w:hint="eastAsia" w:cs="Times New Roman"/>
          <w:color w:val="000000" w:themeColor="text1"/>
          <w:sz w:val="24"/>
          <w:highlight w:val="none"/>
          <w:lang w:val="en-US" w:eastAsia="zh-CN"/>
          <w14:textFill>
            <w14:solidFill>
              <w14:schemeClr w14:val="tx1"/>
            </w14:solidFill>
          </w14:textFill>
        </w:rPr>
        <w:t>1000</w:t>
      </w:r>
      <w:r>
        <w:rPr>
          <w:rFonts w:hint="eastAsia" w:ascii="Times New Roman" w:hAnsi="Times New Roman" w:cs="Times New Roman"/>
          <w:color w:val="000000" w:themeColor="text1"/>
          <w:sz w:val="24"/>
          <w:highlight w:val="none"/>
          <w:lang w:val="en-US" w:eastAsia="zh-CN"/>
          <w14:textFill>
            <w14:solidFill>
              <w14:schemeClr w14:val="tx1"/>
            </w14:solidFill>
          </w14:textFill>
        </w:rPr>
        <w:t>d时，预测最大浓度值为</w:t>
      </w:r>
      <w:r>
        <w:rPr>
          <w:rFonts w:hint="eastAsia" w:cs="Times New Roman"/>
          <w:color w:val="000000" w:themeColor="text1"/>
          <w:sz w:val="24"/>
          <w:szCs w:val="24"/>
          <w:highlight w:val="none"/>
          <w:vertAlign w:val="baseline"/>
          <w:lang w:val="en-US" w:eastAsia="zh-CN"/>
          <w14:textFill>
            <w14:solidFill>
              <w14:schemeClr w14:val="tx1"/>
            </w14:solidFill>
          </w14:textFill>
        </w:rPr>
        <w:t>0.0002</w:t>
      </w:r>
      <w:r>
        <w:rPr>
          <w:rFonts w:hint="eastAsia" w:ascii="Times New Roman" w:hAnsi="Times New Roman" w:cs="Times New Roman"/>
          <w:color w:val="000000" w:themeColor="text1"/>
          <w:sz w:val="24"/>
          <w:highlight w:val="none"/>
          <w:lang w:val="en-US" w:eastAsia="zh-CN"/>
          <w14:textFill>
            <w14:solidFill>
              <w14:schemeClr w14:val="tx1"/>
            </w14:solidFill>
          </w14:textFill>
        </w:rPr>
        <w:t>mg/L，位于下游</w:t>
      </w:r>
      <w:r>
        <w:rPr>
          <w:rFonts w:hint="eastAsia" w:cs="Times New Roman"/>
          <w:color w:val="000000" w:themeColor="text1"/>
          <w:sz w:val="24"/>
          <w:highlight w:val="none"/>
          <w:lang w:val="en-US" w:eastAsia="zh-CN"/>
          <w14:textFill>
            <w14:solidFill>
              <w14:schemeClr w14:val="tx1"/>
            </w14:solidFill>
          </w14:textFill>
        </w:rPr>
        <w:t>0</w:t>
      </w:r>
      <w:r>
        <w:rPr>
          <w:rFonts w:hint="eastAsia" w:ascii="Times New Roman" w:hAnsi="Times New Roman" w:cs="Times New Roman"/>
          <w:color w:val="000000" w:themeColor="text1"/>
          <w:sz w:val="24"/>
          <w:highlight w:val="none"/>
          <w:lang w:val="en-US" w:eastAsia="zh-CN"/>
          <w14:textFill>
            <w14:solidFill>
              <w14:schemeClr w14:val="tx1"/>
            </w14:solidFill>
          </w14:textFill>
        </w:rPr>
        <w:t>m处；</w:t>
      </w:r>
      <w:r>
        <w:rPr>
          <w:rFonts w:hint="eastAsia" w:cs="Times New Roman"/>
          <w:color w:val="000000" w:themeColor="text1"/>
          <w:sz w:val="24"/>
          <w:highlight w:val="none"/>
          <w:lang w:val="en-US" w:eastAsia="zh-CN"/>
          <w14:textFill>
            <w14:solidFill>
              <w14:schemeClr w14:val="tx1"/>
            </w14:solidFill>
          </w14:textFill>
        </w:rPr>
        <w:t>3650</w:t>
      </w:r>
      <w:r>
        <w:rPr>
          <w:rFonts w:hint="eastAsia" w:ascii="Times New Roman" w:hAnsi="Times New Roman" w:cs="Times New Roman"/>
          <w:color w:val="000000" w:themeColor="text1"/>
          <w:sz w:val="24"/>
          <w:highlight w:val="none"/>
          <w:lang w:val="en-US" w:eastAsia="zh-CN"/>
          <w14:textFill>
            <w14:solidFill>
              <w14:schemeClr w14:val="tx1"/>
            </w14:solidFill>
          </w14:textFill>
        </w:rPr>
        <w:t>d时，预测最大浓度值为</w:t>
      </w:r>
      <w:r>
        <w:rPr>
          <w:rFonts w:hint="eastAsia" w:cs="Times New Roman"/>
          <w:color w:val="000000" w:themeColor="text1"/>
          <w:sz w:val="24"/>
          <w:szCs w:val="24"/>
          <w:highlight w:val="none"/>
          <w:vertAlign w:val="baseline"/>
          <w:lang w:val="en-US" w:eastAsia="zh-CN"/>
          <w14:textFill>
            <w14:solidFill>
              <w14:schemeClr w14:val="tx1"/>
            </w14:solidFill>
          </w14:textFill>
        </w:rPr>
        <w:t>0.0002</w:t>
      </w:r>
      <w:r>
        <w:rPr>
          <w:rFonts w:hint="eastAsia" w:ascii="Times New Roman" w:hAnsi="Times New Roman" w:cs="Times New Roman"/>
          <w:color w:val="000000" w:themeColor="text1"/>
          <w:sz w:val="24"/>
          <w:highlight w:val="none"/>
          <w:lang w:val="en-US" w:eastAsia="zh-CN"/>
          <w14:textFill>
            <w14:solidFill>
              <w14:schemeClr w14:val="tx1"/>
            </w14:solidFill>
          </w14:textFill>
        </w:rPr>
        <w:t>mg/L，位于下游</w:t>
      </w:r>
      <w:r>
        <w:rPr>
          <w:rFonts w:hint="eastAsia" w:cs="Times New Roman"/>
          <w:color w:val="000000" w:themeColor="text1"/>
          <w:sz w:val="24"/>
          <w:highlight w:val="none"/>
          <w:lang w:val="en-US" w:eastAsia="zh-CN"/>
          <w14:textFill>
            <w14:solidFill>
              <w14:schemeClr w14:val="tx1"/>
            </w14:solidFill>
          </w14:textFill>
        </w:rPr>
        <w:t>0</w:t>
      </w:r>
      <w:r>
        <w:rPr>
          <w:rFonts w:hint="eastAsia" w:ascii="Times New Roman" w:hAnsi="Times New Roman" w:cs="Times New Roman"/>
          <w:color w:val="000000" w:themeColor="text1"/>
          <w:sz w:val="24"/>
          <w:highlight w:val="none"/>
          <w:lang w:val="en-US" w:eastAsia="zh-CN"/>
          <w14:textFill>
            <w14:solidFill>
              <w14:schemeClr w14:val="tx1"/>
            </w14:solidFill>
          </w14:textFill>
        </w:rPr>
        <w:t>m处；</w:t>
      </w:r>
      <w:r>
        <w:rPr>
          <w:rFonts w:hint="eastAsia" w:cs="Times New Roman"/>
          <w:color w:val="000000" w:themeColor="text1"/>
          <w:sz w:val="24"/>
          <w:highlight w:val="none"/>
          <w:lang w:val="en-US" w:eastAsia="zh-CN"/>
          <w14:textFill>
            <w14:solidFill>
              <w14:schemeClr w14:val="tx1"/>
            </w14:solidFill>
          </w14:textFill>
        </w:rPr>
        <w:t>5000</w:t>
      </w:r>
      <w:r>
        <w:rPr>
          <w:rFonts w:hint="eastAsia" w:ascii="Times New Roman" w:hAnsi="Times New Roman" w:cs="Times New Roman"/>
          <w:color w:val="000000" w:themeColor="text1"/>
          <w:sz w:val="24"/>
          <w:highlight w:val="none"/>
          <w:lang w:val="en-US" w:eastAsia="zh-CN"/>
          <w14:textFill>
            <w14:solidFill>
              <w14:schemeClr w14:val="tx1"/>
            </w14:solidFill>
          </w14:textFill>
        </w:rPr>
        <w:t>d时，预测最大浓度值为</w:t>
      </w:r>
      <w:r>
        <w:rPr>
          <w:rFonts w:hint="eastAsia" w:cs="Times New Roman"/>
          <w:color w:val="000000" w:themeColor="text1"/>
          <w:sz w:val="24"/>
          <w:szCs w:val="24"/>
          <w:highlight w:val="none"/>
          <w:vertAlign w:val="baseline"/>
          <w:lang w:val="en-US" w:eastAsia="zh-CN"/>
          <w14:textFill>
            <w14:solidFill>
              <w14:schemeClr w14:val="tx1"/>
            </w14:solidFill>
          </w14:textFill>
        </w:rPr>
        <w:t>0.0002</w:t>
      </w:r>
      <w:r>
        <w:rPr>
          <w:rFonts w:hint="eastAsia" w:ascii="Times New Roman" w:hAnsi="Times New Roman" w:cs="Times New Roman"/>
          <w:color w:val="000000" w:themeColor="text1"/>
          <w:sz w:val="24"/>
          <w:highlight w:val="none"/>
          <w:lang w:val="en-US" w:eastAsia="zh-CN"/>
          <w14:textFill>
            <w14:solidFill>
              <w14:schemeClr w14:val="tx1"/>
            </w14:solidFill>
          </w14:textFill>
        </w:rPr>
        <w:t>mg/L，位于下游</w:t>
      </w:r>
      <w:r>
        <w:rPr>
          <w:rFonts w:hint="eastAsia" w:cs="Times New Roman"/>
          <w:color w:val="000000" w:themeColor="text1"/>
          <w:sz w:val="24"/>
          <w:highlight w:val="none"/>
          <w:lang w:val="en-US" w:eastAsia="zh-CN"/>
          <w14:textFill>
            <w14:solidFill>
              <w14:schemeClr w14:val="tx1"/>
            </w14:solidFill>
          </w14:textFill>
        </w:rPr>
        <w:t>0</w:t>
      </w:r>
      <w:r>
        <w:rPr>
          <w:rFonts w:hint="eastAsia" w:ascii="Times New Roman" w:hAnsi="Times New Roman" w:cs="Times New Roman"/>
          <w:color w:val="000000" w:themeColor="text1"/>
          <w:sz w:val="24"/>
          <w:highlight w:val="none"/>
          <w:lang w:val="en-US" w:eastAsia="zh-CN"/>
          <w14:textFill>
            <w14:solidFill>
              <w14:schemeClr w14:val="tx1"/>
            </w14:solidFill>
          </w14:textFill>
        </w:rPr>
        <w:t>m处</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污染物运移到下游污染浓度满足《地下水质量标准》（GB/T14848-2017）中的Ⅲ类标准。</w:t>
      </w:r>
    </w:p>
    <w:p w14:paraId="5E8FD09F">
      <w:pPr>
        <w:keepNext w:val="0"/>
        <w:keepLines w:val="0"/>
        <w:pageBreakBefore w:val="0"/>
        <w:widowControl w:val="0"/>
        <w:kinsoku/>
        <w:wordWrap/>
        <w:overflowPunct/>
        <w:topLinePunct w:val="0"/>
        <w:autoSpaceDN/>
        <w:bidi w:val="0"/>
        <w:adjustRightInd/>
        <w:snapToGrid/>
        <w:spacing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）废石淋溶水对地下水的环境影响评价</w:t>
      </w:r>
    </w:p>
    <w:p w14:paraId="3C678FF1">
      <w:pPr>
        <w:keepNext w:val="0"/>
        <w:keepLines w:val="0"/>
        <w:pageBreakBefore w:val="0"/>
        <w:widowControl w:val="0"/>
        <w:kinsoku/>
        <w:wordWrap/>
        <w:overflowPunct/>
        <w:topLinePunct w:val="0"/>
        <w:autoSpaceDN/>
        <w:bidi w:val="0"/>
        <w:adjustRightInd/>
        <w:snapToGrid/>
        <w:spacing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项目区域周围10km范围内无集中或分散居住区，本矿区所在区域平均降水量为</w:t>
      </w: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mm，年平均蒸发量为</w:t>
      </w:r>
      <w:r>
        <w:rPr>
          <w:rFonts w:hint="eastAsia" w:ascii="Times New Roman" w:hAnsi="Times New Roman" w:cs="Times New Roman"/>
          <w:color w:val="000000" w:themeColor="text1"/>
          <w:sz w:val="24"/>
          <w:szCs w:val="24"/>
          <w:lang w:val="en-US" w:eastAsia="zh-CN"/>
          <w14:textFill>
            <w14:solidFill>
              <w14:schemeClr w14:val="tx1"/>
            </w14:solidFill>
          </w14:textFill>
        </w:rPr>
        <w:t>2754.1</w:t>
      </w:r>
      <w:r>
        <w:rPr>
          <w:rFonts w:hint="default" w:ascii="Times New Roman" w:hAnsi="Times New Roman" w:eastAsia="宋体" w:cs="Times New Roman"/>
          <w:color w:val="000000" w:themeColor="text1"/>
          <w:sz w:val="24"/>
          <w:szCs w:val="24"/>
          <w14:textFill>
            <w14:solidFill>
              <w14:schemeClr w14:val="tx1"/>
            </w14:solidFill>
          </w14:textFill>
        </w:rPr>
        <w:t>mm，降水量小于蒸发量，废石处置过程中淋溶水量极少，且废石为一般固废，对环境影响较小。</w:t>
      </w:r>
    </w:p>
    <w:p w14:paraId="61F2E532">
      <w:pPr>
        <w:keepNext w:val="0"/>
        <w:keepLines w:val="0"/>
        <w:pageBreakBefore w:val="0"/>
        <w:widowControl w:val="0"/>
        <w:kinsoku/>
        <w:wordWrap/>
        <w:overflowPunct/>
        <w:topLinePunct w:val="0"/>
        <w:autoSpaceDN/>
        <w:bidi w:val="0"/>
        <w:adjustRightInd/>
        <w:snapToGrid/>
        <w:spacing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环评要求在生产过程中废石按规划合理堆放，且在</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四周修建截排水工程，</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下游设置防渗集水池，以确保暴雨、洪水发生时，</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洪水全部排至</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下游防渗集水池中用于</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洒水降尘。蓄水池敷设土工膜防渗。</w:t>
      </w:r>
    </w:p>
    <w:p w14:paraId="31DEC741">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只要对固体废物做到合理处置，其对区域环境的影响不大，但从资源利用角度看，应对废石加以综合利用，如可用于井口场地拓展、场内道路路基修筑、维护的填料等，可减少废石堆存，减轻对环境造成的影响。</w:t>
      </w:r>
    </w:p>
    <w:bookmarkEnd w:id="437"/>
    <w:bookmarkEnd w:id="438"/>
    <w:p w14:paraId="4387257C">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5.2.3.5地表构筑物</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对含水层影响</w:t>
      </w:r>
    </w:p>
    <w:p w14:paraId="480470AD">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根据区域</w:t>
      </w:r>
      <w:r>
        <w:rPr>
          <w:rFonts w:hint="eastAsia" w:cs="Times New Roman"/>
          <w:color w:val="000000" w:themeColor="text1"/>
          <w:sz w:val="24"/>
          <w:highlight w:val="none"/>
          <w:lang w:val="en-US" w:eastAsia="zh-CN"/>
          <w14:textFill>
            <w14:solidFill>
              <w14:schemeClr w14:val="tx1"/>
            </w14:solidFill>
          </w14:textFill>
        </w:rPr>
        <w:t>水文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地质情况本项目办公生活区位于松散岩类孔隙水含水层，为弱富水性，办公生活区主要建设有</w:t>
      </w:r>
      <w:r>
        <w:rPr>
          <w:rFonts w:hint="eastAsia" w:ascii="Times New Roman" w:hAnsi="Times New Roman" w:eastAsia="宋体" w:cs="Times New Roman"/>
          <w:color w:val="000000" w:themeColor="text1"/>
          <w:sz w:val="24"/>
          <w:highlight w:val="none"/>
          <w14:textFill>
            <w14:solidFill>
              <w14:schemeClr w14:val="tx1"/>
            </w14:solidFill>
          </w14:textFill>
        </w:rPr>
        <w:t>办公楼、职工宿舍、食堂、澡堂、厕所、污水处理站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等设施。办公生活区全部进行地面硬化，生活污水处理设施处进行重点防渗。预测运营期办公生活区对地下水含水层影响甚微。</w:t>
      </w:r>
    </w:p>
    <w:p w14:paraId="17B5211D">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eastAsia"/>
          <w:color w:val="000000" w:themeColor="text1"/>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废石堆场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、工业场地均为弱富水性，</w:t>
      </w:r>
      <w:r>
        <w:rPr>
          <w:rFonts w:hint="eastAsia" w:cs="Times New Roman"/>
          <w:color w:val="000000" w:themeColor="text1"/>
          <w:sz w:val="24"/>
          <w:highlight w:val="none"/>
          <w:lang w:val="en-US" w:eastAsia="zh-CN"/>
          <w14:textFill>
            <w14:solidFill>
              <w14:schemeClr w14:val="tx1"/>
            </w14:solidFill>
          </w14:textFill>
        </w:rPr>
        <w:t>废石堆场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、工业场地全部按照《一般工业固体废物贮存和填埋污染控制标准》（GB18599-2020）</w:t>
      </w:r>
      <w:r>
        <w:rPr>
          <w:rFonts w:hint="eastAsia" w:cs="Times New Roman"/>
          <w:color w:val="000000" w:themeColor="text1"/>
          <w:sz w:val="24"/>
          <w:highlight w:val="none"/>
          <w:lang w:val="en-US" w:eastAsia="zh-CN"/>
          <w14:textFill>
            <w14:solidFill>
              <w14:schemeClr w14:val="tx1"/>
            </w14:solidFill>
          </w14:textFill>
        </w:rPr>
        <w:t>I</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类场标准相关要求进行防渗，预测对地下水质、水位的影响极小。</w:t>
      </w:r>
    </w:p>
    <w:p w14:paraId="3D36BA13">
      <w:pPr>
        <w:pStyle w:val="4"/>
        <w:spacing w:before="60" w:after="60" w:line="480" w:lineRule="exact"/>
        <w:rPr>
          <w:color w:val="000000" w:themeColor="text1"/>
          <w14:textFill>
            <w14:solidFill>
              <w14:schemeClr w14:val="tx1"/>
            </w14:solidFill>
          </w14:textFill>
        </w:rPr>
      </w:pPr>
      <w:bookmarkStart w:id="439" w:name="_Toc22833"/>
      <w:r>
        <w:rPr>
          <w:rFonts w:hint="eastAsia"/>
          <w:color w:val="000000" w:themeColor="text1"/>
          <w:kern w:val="2"/>
          <w14:textFill>
            <w14:solidFill>
              <w14:schemeClr w14:val="tx1"/>
            </w14:solidFill>
          </w14:textFill>
        </w:rPr>
        <w:t>5.2.4</w:t>
      </w:r>
      <w:r>
        <w:rPr>
          <w:color w:val="000000" w:themeColor="text1"/>
          <w14:textFill>
            <w14:solidFill>
              <w14:schemeClr w14:val="tx1"/>
            </w14:solidFill>
          </w14:textFill>
        </w:rPr>
        <w:t>声环境影响预测与评价</w:t>
      </w:r>
      <w:bookmarkEnd w:id="439"/>
    </w:p>
    <w:p w14:paraId="0FA55736">
      <w:pPr>
        <w:pStyle w:val="5"/>
        <w:numPr>
          <w:ilvl w:val="3"/>
          <w:numId w:val="0"/>
        </w:numPr>
        <w:spacing w:before="0" w:after="0" w:line="520" w:lineRule="exact"/>
        <w:ind w:firstLine="482" w:firstLineChars="200"/>
        <w:jc w:val="both"/>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5.2.4.1噪声源</w:t>
      </w:r>
    </w:p>
    <w:p w14:paraId="67747CBC">
      <w:pPr>
        <w:widowControl/>
        <w:spacing w:line="480" w:lineRule="exact"/>
        <w:ind w:firstLine="480" w:firstLineChars="200"/>
        <w:rPr>
          <w:rFonts w:ascii="Times New Roman" w:hAnsi="Times New Roman" w:cs="Times New Roman"/>
          <w:color w:val="000000" w:themeColor="text1"/>
          <w:sz w:val="28"/>
          <w:szCs w:val="28"/>
          <w:lang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矿山开采期间，凿岩、爆破、压气、铲装运输设备等生产作业时均会产生噪声。产生高噪声的设备主要有采矿场的凿岩机、通风机、提升机、空压机、爆破噪声、装岩机、水泵、运输车辆。</w:t>
      </w:r>
    </w:p>
    <w:p w14:paraId="70BAD6E4">
      <w:pPr>
        <w:pStyle w:val="5"/>
        <w:numPr>
          <w:ilvl w:val="3"/>
          <w:numId w:val="0"/>
        </w:numPr>
        <w:spacing w:before="0" w:after="0" w:line="520" w:lineRule="exact"/>
        <w:ind w:firstLine="482" w:firstLineChars="200"/>
        <w:jc w:val="both"/>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5.2.4.2环境振动影响分析</w:t>
      </w:r>
    </w:p>
    <w:p w14:paraId="02738C7F">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矿山开采过程中，炸药在岩石中爆炸时，会产生强大的冲击波，在一定范围内产生地震现象，这就是爆破地震效应。爆破振动一旦传播到爆破区之外，不仅会造成浪费，还会对附近建筑物产生破坏作用，同时对周边人员产生不良的心理影响。</w:t>
      </w:r>
    </w:p>
    <w:p w14:paraId="65122C05">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爆破产生的地震效应不仅与地质条件有关，还与炸药量、爆心距、爆破方法以及炸药的爆破能力等诸多因素有关，目前环境影响评价工作中爆破振动对周围环境的影响预测评价体系尚未完善，本项目爆破作业对周边环境影响主要根据地质、采矿行业的相关技术资料及标准进行简单分析评价。</w:t>
      </w:r>
    </w:p>
    <w:p w14:paraId="60D2DC69">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（1）爆破振动安全标准</w:t>
      </w:r>
    </w:p>
    <w:p w14:paraId="2BEF6A08">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ascii="Times New Roman" w:hAnsi="Times New Roman" w:cs="Times New Roman"/>
          <w:color w:val="000000" w:themeColor="text1"/>
          <w:sz w:val="28"/>
          <w:szCs w:val="28"/>
          <w:lang w:val="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目前，判断爆破地震强度对建筑物的影响，大都采用介质质点振动速度作为判据。我国的《爆破安全规程》中规定了各式建筑物、构筑物的安全振速判据，见表5.2-</w:t>
      </w:r>
      <w:r>
        <w:rPr>
          <w:rFonts w:hint="eastAsia" w:cs="Times New Roman"/>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。爆破地震烈度与最大振速的关系见表5.2-</w:t>
      </w:r>
      <w:r>
        <w:rPr>
          <w:rFonts w:hint="eastAsia" w:cs="Times New Roman"/>
          <w:color w:val="000000" w:themeColor="text1"/>
          <w:sz w:val="24"/>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w:t>
      </w:r>
    </w:p>
    <w:p w14:paraId="58F14AEF">
      <w:pPr>
        <w:tabs>
          <w:tab w:val="left" w:pos="6840"/>
        </w:tabs>
        <w:spacing w:line="480" w:lineRule="exact"/>
        <w:ind w:firstLine="482" w:firstLineChars="200"/>
        <w:jc w:val="center"/>
        <w:rPr>
          <w:rFonts w:ascii="Times New Roman" w:hAnsi="Times New Roman" w:cs="Times New Roman"/>
          <w:b/>
          <w:color w:val="000000" w:themeColor="text1"/>
          <w:kern w:val="0"/>
          <w:szCs w:val="21"/>
          <w:lang w:val="zh-CN" w:bidi="ar"/>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w:t>
      </w:r>
      <w:r>
        <w:rPr>
          <w:rFonts w:hint="eastAsia" w:cs="Times New Roman"/>
          <w:b/>
          <w:bCs/>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建（构）筑物地面质点的安全振动速度（cm/s）</w:t>
      </w:r>
    </w:p>
    <w:tbl>
      <w:tblPr>
        <w:tblStyle w:val="79"/>
        <w:tblW w:w="83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62"/>
        <w:gridCol w:w="2485"/>
      </w:tblGrid>
      <w:tr w14:paraId="1B74F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62" w:type="dxa"/>
            <w:tcBorders>
              <w:tl2br w:val="nil"/>
              <w:tr2bl w:val="nil"/>
            </w:tcBorders>
            <w:vAlign w:val="center"/>
          </w:tcPr>
          <w:p w14:paraId="2D2DE6C6">
            <w:pPr>
              <w:keepNext w:val="0"/>
              <w:keepLines w:val="0"/>
              <w:suppressLineNumbers w:val="0"/>
              <w:spacing w:before="0" w:beforeAutospacing="0" w:after="100" w:afterAutospacing="1" w:line="360" w:lineRule="exact"/>
              <w:ind w:left="0" w:right="0"/>
              <w:jc w:val="center"/>
              <w:rPr>
                <w:rFonts w:hint="default" w:ascii="Times New Roman" w:hAnsi="Times New Roman" w:cs="Times New Roman"/>
                <w:b/>
                <w:bCs/>
                <w:color w:val="000000" w:themeColor="text1"/>
                <w:kern w:val="0"/>
                <w:sz w:val="21"/>
                <w:szCs w:val="21"/>
                <w:lang w:val="zh-CN"/>
                <w14:textFill>
                  <w14:solidFill>
                    <w14:schemeClr w14:val="tx1"/>
                  </w14:solidFill>
                </w14:textFill>
              </w:rPr>
            </w:pPr>
            <w:r>
              <w:rPr>
                <w:rFonts w:hint="default" w:ascii="Times New Roman" w:hAnsi="Times New Roman" w:cs="Times New Roman"/>
                <w:b/>
                <w:bCs/>
                <w:color w:val="000000" w:themeColor="text1"/>
                <w:kern w:val="0"/>
                <w:sz w:val="21"/>
                <w:szCs w:val="21"/>
                <w:lang w:val="zh-CN"/>
                <w14:textFill>
                  <w14:solidFill>
                    <w14:schemeClr w14:val="tx1"/>
                  </w14:solidFill>
                </w14:textFill>
              </w:rPr>
              <w:t>建（构）筑物类型</w:t>
            </w:r>
          </w:p>
        </w:tc>
        <w:tc>
          <w:tcPr>
            <w:tcW w:w="2485" w:type="dxa"/>
            <w:tcBorders>
              <w:tl2br w:val="nil"/>
              <w:tr2bl w:val="nil"/>
            </w:tcBorders>
            <w:vAlign w:val="center"/>
          </w:tcPr>
          <w:p w14:paraId="4A7FDC04">
            <w:pPr>
              <w:keepNext w:val="0"/>
              <w:keepLines w:val="0"/>
              <w:suppressLineNumbers w:val="0"/>
              <w:spacing w:before="0" w:beforeAutospacing="0" w:after="100" w:afterAutospacing="1" w:line="360" w:lineRule="exact"/>
              <w:ind w:left="0" w:right="0"/>
              <w:jc w:val="center"/>
              <w:rPr>
                <w:rFonts w:hint="default" w:ascii="Times New Roman" w:hAnsi="Times New Roman" w:cs="Times New Roman"/>
                <w:b/>
                <w:bCs/>
                <w:color w:val="000000" w:themeColor="text1"/>
                <w:kern w:val="0"/>
                <w:sz w:val="21"/>
                <w:szCs w:val="21"/>
                <w:lang w:val="zh-CN"/>
                <w14:textFill>
                  <w14:solidFill>
                    <w14:schemeClr w14:val="tx1"/>
                  </w14:solidFill>
                </w14:textFill>
              </w:rPr>
            </w:pPr>
            <w:r>
              <w:rPr>
                <w:rFonts w:hint="default" w:ascii="Times New Roman" w:hAnsi="Times New Roman" w:cs="Times New Roman"/>
                <w:b/>
                <w:bCs/>
                <w:color w:val="000000" w:themeColor="text1"/>
                <w:kern w:val="0"/>
                <w:sz w:val="21"/>
                <w:szCs w:val="21"/>
                <w:lang w:val="zh-CN"/>
                <w14:textFill>
                  <w14:solidFill>
                    <w14:schemeClr w14:val="tx1"/>
                  </w14:solidFill>
                </w14:textFill>
              </w:rPr>
              <w:t>安全振动速度</w:t>
            </w:r>
          </w:p>
        </w:tc>
      </w:tr>
      <w:tr w14:paraId="30227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62" w:type="dxa"/>
            <w:tcBorders>
              <w:tl2br w:val="nil"/>
              <w:tr2bl w:val="nil"/>
            </w:tcBorders>
            <w:vAlign w:val="center"/>
          </w:tcPr>
          <w:p w14:paraId="40E71F44">
            <w:pPr>
              <w:keepNext w:val="0"/>
              <w:keepLines w:val="0"/>
              <w:suppressLineNumbers w:val="0"/>
              <w:spacing w:before="0" w:beforeAutospacing="0" w:after="100" w:afterAutospacing="1" w:line="360" w:lineRule="exact"/>
              <w:ind w:left="0" w:right="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土窑洞、土坯房、毛石房屋</w:t>
            </w:r>
          </w:p>
        </w:tc>
        <w:tc>
          <w:tcPr>
            <w:tcW w:w="2485" w:type="dxa"/>
            <w:tcBorders>
              <w:tl2br w:val="nil"/>
              <w:tr2bl w:val="nil"/>
            </w:tcBorders>
            <w:vAlign w:val="center"/>
          </w:tcPr>
          <w:p w14:paraId="75099BB5">
            <w:pPr>
              <w:keepNext w:val="0"/>
              <w:keepLines w:val="0"/>
              <w:suppressLineNumbers w:val="0"/>
              <w:spacing w:before="0" w:beforeAutospacing="0" w:after="100" w:afterAutospacing="1" w:line="360" w:lineRule="exact"/>
              <w:ind w:left="0" w:right="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1.0</w:t>
            </w:r>
          </w:p>
        </w:tc>
      </w:tr>
      <w:tr w14:paraId="13DEB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62" w:type="dxa"/>
            <w:tcBorders>
              <w:tl2br w:val="nil"/>
              <w:tr2bl w:val="nil"/>
            </w:tcBorders>
            <w:vAlign w:val="center"/>
          </w:tcPr>
          <w:p w14:paraId="69991BBC">
            <w:pPr>
              <w:keepNext w:val="0"/>
              <w:keepLines w:val="0"/>
              <w:suppressLineNumbers w:val="0"/>
              <w:spacing w:before="0" w:beforeAutospacing="0" w:after="100" w:afterAutospacing="1" w:line="360" w:lineRule="exact"/>
              <w:ind w:left="0" w:right="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一般砖房、非抗震的大型砌块建筑物</w:t>
            </w:r>
          </w:p>
        </w:tc>
        <w:tc>
          <w:tcPr>
            <w:tcW w:w="2485" w:type="dxa"/>
            <w:tcBorders>
              <w:tl2br w:val="nil"/>
              <w:tr2bl w:val="nil"/>
            </w:tcBorders>
            <w:vAlign w:val="center"/>
          </w:tcPr>
          <w:p w14:paraId="52DC6705">
            <w:pPr>
              <w:keepNext w:val="0"/>
              <w:keepLines w:val="0"/>
              <w:suppressLineNumbers w:val="0"/>
              <w:spacing w:before="0" w:beforeAutospacing="0" w:after="100" w:afterAutospacing="1" w:line="360" w:lineRule="exact"/>
              <w:ind w:left="0" w:right="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2〜3</w:t>
            </w:r>
          </w:p>
        </w:tc>
      </w:tr>
      <w:tr w14:paraId="5FFB4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62" w:type="dxa"/>
            <w:tcBorders>
              <w:tl2br w:val="nil"/>
              <w:tr2bl w:val="nil"/>
            </w:tcBorders>
            <w:vAlign w:val="center"/>
          </w:tcPr>
          <w:p w14:paraId="40E5BBEB">
            <w:pPr>
              <w:keepNext w:val="0"/>
              <w:keepLines w:val="0"/>
              <w:suppressLineNumbers w:val="0"/>
              <w:spacing w:before="0" w:beforeAutospacing="0" w:after="100" w:afterAutospacing="1" w:line="360" w:lineRule="exact"/>
              <w:ind w:left="0" w:right="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钢筋混凝土框架房屋</w:t>
            </w:r>
          </w:p>
        </w:tc>
        <w:tc>
          <w:tcPr>
            <w:tcW w:w="2485" w:type="dxa"/>
            <w:tcBorders>
              <w:tl2br w:val="nil"/>
              <w:tr2bl w:val="nil"/>
            </w:tcBorders>
            <w:vAlign w:val="center"/>
          </w:tcPr>
          <w:p w14:paraId="46E98205">
            <w:pPr>
              <w:keepNext w:val="0"/>
              <w:keepLines w:val="0"/>
              <w:suppressLineNumbers w:val="0"/>
              <w:spacing w:before="0" w:beforeAutospacing="0" w:after="100" w:afterAutospacing="1" w:line="360" w:lineRule="exact"/>
              <w:ind w:left="0" w:right="0"/>
              <w:jc w:val="center"/>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5</w:t>
            </w:r>
          </w:p>
        </w:tc>
      </w:tr>
    </w:tbl>
    <w:p w14:paraId="6B039E5B">
      <w:pPr>
        <w:tabs>
          <w:tab w:val="left" w:pos="6840"/>
        </w:tabs>
        <w:spacing w:line="480" w:lineRule="exact"/>
        <w:ind w:firstLine="482" w:firstLineChars="200"/>
        <w:jc w:val="cente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w:t>
      </w:r>
      <w:r>
        <w:rPr>
          <w:rFonts w:hint="eastAsia" w:cs="Times New Roman"/>
          <w:b/>
          <w:bCs/>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爆破振动烈度</w:t>
      </w:r>
    </w:p>
    <w:tbl>
      <w:tblPr>
        <w:tblStyle w:val="79"/>
        <w:tblW w:w="83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213"/>
        <w:gridCol w:w="3073"/>
        <w:gridCol w:w="4043"/>
      </w:tblGrid>
      <w:tr w14:paraId="1DF3E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213" w:type="dxa"/>
            <w:tcBorders>
              <w:tl2br w:val="nil"/>
              <w:tr2bl w:val="nil"/>
            </w:tcBorders>
            <w:vAlign w:val="center"/>
          </w:tcPr>
          <w:p w14:paraId="49D9FDF8">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pP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烈度</w:t>
            </w:r>
          </w:p>
        </w:tc>
        <w:tc>
          <w:tcPr>
            <w:tcW w:w="3073" w:type="dxa"/>
            <w:tcBorders>
              <w:tl2br w:val="nil"/>
              <w:tr2bl w:val="nil"/>
            </w:tcBorders>
            <w:vAlign w:val="center"/>
          </w:tcPr>
          <w:p w14:paraId="62424F4B">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pP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爆破地震最大震速</w:t>
            </w:r>
            <w:r>
              <w:rPr>
                <w:rFonts w:hint="default" w:ascii="Times New Roman" w:hAnsi="Times New Roman" w:cs="Times New Roman" w:eastAsiaTheme="minorEastAsia"/>
                <w:b/>
                <w:bCs/>
                <w:color w:val="000000" w:themeColor="text1"/>
                <w:spacing w:val="0"/>
                <w:sz w:val="21"/>
                <w:szCs w:val="21"/>
                <w:lang w:eastAsia="en-US"/>
                <w14:textFill>
                  <w14:solidFill>
                    <w14:schemeClr w14:val="tx1"/>
                  </w14:solidFill>
                </w14:textFill>
              </w:rPr>
              <w:t>（</w:t>
            </w: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cm/s）</w:t>
            </w:r>
          </w:p>
        </w:tc>
        <w:tc>
          <w:tcPr>
            <w:tcW w:w="4043" w:type="dxa"/>
            <w:tcBorders>
              <w:tl2br w:val="nil"/>
              <w:tr2bl w:val="nil"/>
            </w:tcBorders>
            <w:vAlign w:val="center"/>
          </w:tcPr>
          <w:p w14:paraId="79250599">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pPr>
            <w:r>
              <w:rPr>
                <w:rFonts w:hint="default" w:ascii="Times New Roman" w:hAnsi="Times New Roman" w:cs="Times New Roman" w:eastAsiaTheme="minorEastAsia"/>
                <w:b/>
                <w:bCs/>
                <w:color w:val="000000" w:themeColor="text1"/>
                <w:spacing w:val="0"/>
                <w:sz w:val="21"/>
                <w:szCs w:val="21"/>
                <w14:textFill>
                  <w14:solidFill>
                    <w14:schemeClr w14:val="tx1"/>
                  </w14:solidFill>
                </w14:textFill>
              </w:rPr>
              <w:t>振动标志</w:t>
            </w:r>
          </w:p>
        </w:tc>
      </w:tr>
      <w:tr w14:paraId="2A778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213" w:type="dxa"/>
            <w:tcBorders>
              <w:tl2br w:val="nil"/>
              <w:tr2bl w:val="nil"/>
            </w:tcBorders>
            <w:vAlign w:val="center"/>
          </w:tcPr>
          <w:p w14:paraId="09B871CC">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lang w:val="zh-CN"/>
                <w14:textFill>
                  <w14:solidFill>
                    <w14:schemeClr w14:val="tx1"/>
                  </w14:solidFill>
                </w14:textFill>
              </w:rPr>
              <w:t>I</w:t>
            </w:r>
          </w:p>
        </w:tc>
        <w:tc>
          <w:tcPr>
            <w:tcW w:w="3073" w:type="dxa"/>
            <w:tcBorders>
              <w:tl2br w:val="nil"/>
              <w:tr2bl w:val="nil"/>
            </w:tcBorders>
            <w:vAlign w:val="center"/>
          </w:tcPr>
          <w:p w14:paraId="55C74B8D">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&lt;0.2</w:t>
            </w:r>
          </w:p>
        </w:tc>
        <w:tc>
          <w:tcPr>
            <w:tcW w:w="4043" w:type="dxa"/>
            <w:tcBorders>
              <w:tl2br w:val="nil"/>
              <w:tr2bl w:val="nil"/>
            </w:tcBorders>
            <w:vAlign w:val="center"/>
          </w:tcPr>
          <w:p w14:paraId="180C7E05">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只有仪器才能记录到</w:t>
            </w:r>
          </w:p>
        </w:tc>
      </w:tr>
      <w:tr w14:paraId="61EBE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213" w:type="dxa"/>
            <w:tcBorders>
              <w:tl2br w:val="nil"/>
              <w:tr2bl w:val="nil"/>
            </w:tcBorders>
            <w:vAlign w:val="center"/>
          </w:tcPr>
          <w:p w14:paraId="7DA3AE34">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lang w:val="zh-CN"/>
                <w14:textFill>
                  <w14:solidFill>
                    <w14:schemeClr w14:val="tx1"/>
                  </w14:solidFill>
                </w14:textFill>
              </w:rPr>
              <w:t>II</w:t>
            </w:r>
          </w:p>
        </w:tc>
        <w:tc>
          <w:tcPr>
            <w:tcW w:w="3073" w:type="dxa"/>
            <w:tcBorders>
              <w:tl2br w:val="nil"/>
              <w:tr2bl w:val="nil"/>
            </w:tcBorders>
            <w:vAlign w:val="center"/>
          </w:tcPr>
          <w:p w14:paraId="64076712">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0.2~0.4</w:t>
            </w:r>
          </w:p>
        </w:tc>
        <w:tc>
          <w:tcPr>
            <w:tcW w:w="4043" w:type="dxa"/>
            <w:tcBorders>
              <w:tl2br w:val="nil"/>
              <w:tr2bl w:val="nil"/>
            </w:tcBorders>
            <w:vAlign w:val="center"/>
          </w:tcPr>
          <w:p w14:paraId="56E5575C">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个别人静止情况下能感觉到</w:t>
            </w:r>
          </w:p>
        </w:tc>
      </w:tr>
      <w:tr w14:paraId="27632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213" w:type="dxa"/>
            <w:tcBorders>
              <w:tl2br w:val="nil"/>
              <w:tr2bl w:val="nil"/>
            </w:tcBorders>
            <w:vAlign w:val="center"/>
          </w:tcPr>
          <w:p w14:paraId="76B563DD">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lang w:val="zh-CN"/>
                <w14:textFill>
                  <w14:solidFill>
                    <w14:schemeClr w14:val="tx1"/>
                  </w14:solidFill>
                </w14:textFill>
              </w:rPr>
              <w:t>III</w:t>
            </w:r>
          </w:p>
        </w:tc>
        <w:tc>
          <w:tcPr>
            <w:tcW w:w="3073" w:type="dxa"/>
            <w:tcBorders>
              <w:tl2br w:val="nil"/>
              <w:tr2bl w:val="nil"/>
            </w:tcBorders>
            <w:vAlign w:val="center"/>
          </w:tcPr>
          <w:p w14:paraId="22903ABF">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0.4~0.8</w:t>
            </w:r>
          </w:p>
        </w:tc>
        <w:tc>
          <w:tcPr>
            <w:tcW w:w="4043" w:type="dxa"/>
            <w:tcBorders>
              <w:tl2br w:val="nil"/>
              <w:tr2bl w:val="nil"/>
            </w:tcBorders>
            <w:vAlign w:val="center"/>
          </w:tcPr>
          <w:p w14:paraId="3A1A0E93">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某些人或知道爆破的人能感觉到</w:t>
            </w:r>
          </w:p>
        </w:tc>
      </w:tr>
      <w:tr w14:paraId="6CE96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213" w:type="dxa"/>
            <w:tcBorders>
              <w:tl2br w:val="nil"/>
              <w:tr2bl w:val="nil"/>
            </w:tcBorders>
            <w:vAlign w:val="center"/>
          </w:tcPr>
          <w:p w14:paraId="540F863B">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lang w:val="zh-CN"/>
                <w14:textFill>
                  <w14:solidFill>
                    <w14:schemeClr w14:val="tx1"/>
                  </w14:solidFill>
                </w14:textFill>
              </w:rPr>
              <w:t>IV</w:t>
            </w:r>
          </w:p>
        </w:tc>
        <w:tc>
          <w:tcPr>
            <w:tcW w:w="3073" w:type="dxa"/>
            <w:tcBorders>
              <w:tl2br w:val="nil"/>
              <w:tr2bl w:val="nil"/>
            </w:tcBorders>
            <w:vAlign w:val="center"/>
          </w:tcPr>
          <w:p w14:paraId="060C376E">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0.8~1.5</w:t>
            </w:r>
          </w:p>
        </w:tc>
        <w:tc>
          <w:tcPr>
            <w:tcW w:w="4043" w:type="dxa"/>
            <w:tcBorders>
              <w:tl2br w:val="nil"/>
              <w:tr2bl w:val="nil"/>
            </w:tcBorders>
            <w:vAlign w:val="center"/>
          </w:tcPr>
          <w:p w14:paraId="3B2C9940">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多数人感到振动，玻璃作响</w:t>
            </w:r>
          </w:p>
        </w:tc>
      </w:tr>
      <w:tr w14:paraId="36421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213" w:type="dxa"/>
            <w:tcBorders>
              <w:tl2br w:val="nil"/>
              <w:tr2bl w:val="nil"/>
            </w:tcBorders>
            <w:vAlign w:val="center"/>
          </w:tcPr>
          <w:p w14:paraId="60AC8624">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lang w:val="zh-CN"/>
                <w14:textFill>
                  <w14:solidFill>
                    <w14:schemeClr w14:val="tx1"/>
                  </w14:solidFill>
                </w14:textFill>
              </w:rPr>
              <w:t>V</w:t>
            </w:r>
          </w:p>
        </w:tc>
        <w:tc>
          <w:tcPr>
            <w:tcW w:w="3073" w:type="dxa"/>
            <w:tcBorders>
              <w:tl2br w:val="nil"/>
              <w:tr2bl w:val="nil"/>
            </w:tcBorders>
            <w:vAlign w:val="center"/>
          </w:tcPr>
          <w:p w14:paraId="33FDE40C">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1.5~3.0</w:t>
            </w:r>
          </w:p>
        </w:tc>
        <w:tc>
          <w:tcPr>
            <w:tcW w:w="4043" w:type="dxa"/>
            <w:tcBorders>
              <w:tl2br w:val="nil"/>
              <w:tr2bl w:val="nil"/>
            </w:tcBorders>
            <w:vAlign w:val="center"/>
          </w:tcPr>
          <w:p w14:paraId="6A82D5BF">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陈旧的建筑物损坏，抹灰撒落</w:t>
            </w:r>
          </w:p>
        </w:tc>
      </w:tr>
      <w:tr w14:paraId="53DF3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213" w:type="dxa"/>
            <w:tcBorders>
              <w:tl2br w:val="nil"/>
              <w:tr2bl w:val="nil"/>
            </w:tcBorders>
            <w:vAlign w:val="center"/>
          </w:tcPr>
          <w:p w14:paraId="5EDECB56">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fldChar w:fldCharType="begin"/>
            </w:r>
            <w:r>
              <w:rPr>
                <w:rFonts w:hint="default" w:ascii="Times New Roman" w:hAnsi="Times New Roman" w:cs="Times New Roman" w:eastAsiaTheme="minorEastAsia"/>
                <w:color w:val="000000" w:themeColor="text1"/>
                <w:spacing w:val="0"/>
                <w:sz w:val="21"/>
                <w:szCs w:val="21"/>
                <w14:textFill>
                  <w14:solidFill>
                    <w14:schemeClr w14:val="tx1"/>
                  </w14:solidFill>
                </w14:textFill>
              </w:rPr>
              <w:instrText xml:space="preserve"> = 6 \* ROMAN </w:instrText>
            </w:r>
            <w:r>
              <w:rPr>
                <w:rFonts w:hint="default" w:ascii="Times New Roman" w:hAnsi="Times New Roman" w:cs="Times New Roman" w:eastAsiaTheme="minorEastAsia"/>
                <w:color w:val="000000" w:themeColor="text1"/>
                <w:spacing w:val="0"/>
                <w:sz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0"/>
                <w:sz w:val="21"/>
                <w:szCs w:val="21"/>
                <w14:textFill>
                  <w14:solidFill>
                    <w14:schemeClr w14:val="tx1"/>
                  </w14:solidFill>
                </w14:textFill>
              </w:rPr>
              <w:t>VI</w:t>
            </w:r>
            <w:r>
              <w:rPr>
                <w:rFonts w:hint="default" w:ascii="Times New Roman" w:hAnsi="Times New Roman" w:cs="Times New Roman" w:eastAsiaTheme="minorEastAsia"/>
                <w:color w:val="000000" w:themeColor="text1"/>
                <w:spacing w:val="0"/>
                <w:sz w:val="21"/>
                <w:szCs w:val="21"/>
                <w14:textFill>
                  <w14:solidFill>
                    <w14:schemeClr w14:val="tx1"/>
                  </w14:solidFill>
                </w14:textFill>
              </w:rPr>
              <w:fldChar w:fldCharType="end"/>
            </w:r>
          </w:p>
        </w:tc>
        <w:tc>
          <w:tcPr>
            <w:tcW w:w="3073" w:type="dxa"/>
            <w:tcBorders>
              <w:tl2br w:val="nil"/>
              <w:tr2bl w:val="nil"/>
            </w:tcBorders>
            <w:vAlign w:val="center"/>
          </w:tcPr>
          <w:p w14:paraId="2A06583A">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3.0~6.0</w:t>
            </w:r>
          </w:p>
        </w:tc>
        <w:tc>
          <w:tcPr>
            <w:tcW w:w="4043" w:type="dxa"/>
            <w:tcBorders>
              <w:tl2br w:val="nil"/>
              <w:tr2bl w:val="nil"/>
            </w:tcBorders>
            <w:vAlign w:val="center"/>
          </w:tcPr>
          <w:p w14:paraId="2C1ADF86">
            <w:pPr>
              <w:pStyle w:val="863"/>
              <w:keepNext w:val="0"/>
              <w:keepLines w:val="0"/>
              <w:suppressLineNumbers w:val="0"/>
              <w:shd w:val="clear" w:color="auto" w:fill="auto"/>
              <w:spacing w:before="0" w:beforeAutospacing="0" w:after="100" w:afterAutospacing="1" w:line="360" w:lineRule="exact"/>
              <w:ind w:left="0" w:right="0" w:firstLine="0"/>
              <w:jc w:val="center"/>
              <w:rPr>
                <w:rFonts w:hint="default" w:ascii="Times New Roman" w:hAnsi="Times New Roman" w:cs="Times New Roman" w:eastAsiaTheme="minorEastAsia"/>
                <w:color w:val="000000" w:themeColor="text1"/>
                <w:spacing w:val="0"/>
                <w:sz w:val="21"/>
                <w:szCs w:val="21"/>
                <w14:textFill>
                  <w14:solidFill>
                    <w14:schemeClr w14:val="tx1"/>
                  </w14:solidFill>
                </w14:textFill>
              </w:rPr>
            </w:pPr>
            <w:r>
              <w:rPr>
                <w:rFonts w:hint="default" w:ascii="Times New Roman" w:hAnsi="Times New Roman" w:cs="Times New Roman" w:eastAsiaTheme="minorEastAsia"/>
                <w:color w:val="000000" w:themeColor="text1"/>
                <w:spacing w:val="0"/>
                <w:sz w:val="21"/>
                <w:szCs w:val="21"/>
                <w14:textFill>
                  <w14:solidFill>
                    <w14:schemeClr w14:val="tx1"/>
                  </w14:solidFill>
                </w14:textFill>
              </w:rPr>
              <w:t>抹灰中有细裂缝，建筑物出现变形</w:t>
            </w:r>
          </w:p>
        </w:tc>
      </w:tr>
    </w:tbl>
    <w:p w14:paraId="69FE749D">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根据表5.2-</w:t>
      </w:r>
      <w:r>
        <w:rPr>
          <w:rFonts w:hint="eastAsia" w:cs="Times New Roman"/>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和表5.2-</w:t>
      </w:r>
      <w:r>
        <w:rPr>
          <w:rFonts w:hint="eastAsia"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中的资料，本次环评对矿山邻近建（构）筑物的安全振速按以下原则计算：</w:t>
      </w:r>
    </w:p>
    <w:p w14:paraId="745F3132">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钢筋混凝土框架房屋Υ≤5cm/s；</w:t>
      </w:r>
    </w:p>
    <w:p w14:paraId="0089460F">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一般砖房、民房≤2.5cm/s。</w:t>
      </w:r>
    </w:p>
    <w:p w14:paraId="2CEC0C7D">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（2）爆破安全距离与爆破振动速度</w:t>
      </w:r>
    </w:p>
    <w:p w14:paraId="23AB61F5">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矿山爆破过程对环境的影响除了粉尘、瞬间噪声和有害气体之外，关键是地面震动、爆破飞石和爆破冲击波对环境的影响。</w:t>
      </w:r>
    </w:p>
    <w:p w14:paraId="528E7A45">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根据《爆破安全规程》，爆破地震安全距离可按下式计算：</w:t>
      </w:r>
    </w:p>
    <w:p w14:paraId="2A2D4E27">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center"/>
        <w:textAlignment w:val="auto"/>
        <w:outlineLvl w:val="9"/>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R=（K/γ）1/α•Qm</w:t>
      </w:r>
    </w:p>
    <w:p w14:paraId="2F7C6A3F">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式中：</w:t>
      </w:r>
    </w:p>
    <w:p w14:paraId="106ED2EB">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R—爆破地震安全距离，m；</w:t>
      </w:r>
    </w:p>
    <w:p w14:paraId="36BFE045">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Q—炸药量，kg，齐发爆破取总炸药量，微差爆破或秒差爆破取最大一段炸药量；本项目采矿一次使用炸药量Q取40kg；</w:t>
      </w:r>
    </w:p>
    <w:p w14:paraId="0E658196">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γ—地震安全速度，cm/s；该工程地表构筑物主要为普通房屋，为一般砖房，取2.5cm/s；</w:t>
      </w:r>
    </w:p>
    <w:p w14:paraId="24E99DAB">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m—药量指数；通常取0.5；</w:t>
      </w:r>
    </w:p>
    <w:p w14:paraId="3BB42735">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K，α—与爆破点地形、地质等条件有关的系数和衰减系数。</w:t>
      </w:r>
    </w:p>
    <w:p w14:paraId="6CBCA98A">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kern w:val="0"/>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爆区不同岩性的K、α值见表5.2-</w:t>
      </w:r>
      <w:r>
        <w:rPr>
          <w:rFonts w:hint="eastAsia"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w:t>
      </w:r>
    </w:p>
    <w:p w14:paraId="7F16EAAC">
      <w:pPr>
        <w:tabs>
          <w:tab w:val="left" w:pos="6840"/>
        </w:tabs>
        <w:spacing w:line="480" w:lineRule="exact"/>
        <w:ind w:firstLine="482" w:firstLineChars="200"/>
        <w:jc w:val="cente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w:t>
      </w:r>
      <w:r>
        <w:rPr>
          <w:rFonts w:hint="eastAsia" w:cs="Times New Roman"/>
          <w:b/>
          <w:bCs/>
          <w:color w:val="000000" w:themeColor="text1"/>
          <w:sz w:val="24"/>
          <w:highlight w:val="none"/>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爆区不同岩性的K、α值</w:t>
      </w:r>
    </w:p>
    <w:tbl>
      <w:tblPr>
        <w:tblStyle w:val="79"/>
        <w:tblW w:w="85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7"/>
        <w:gridCol w:w="2839"/>
        <w:gridCol w:w="2837"/>
      </w:tblGrid>
      <w:tr w14:paraId="6440B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7" w:type="dxa"/>
            <w:tcBorders>
              <w:tl2br w:val="nil"/>
              <w:tr2bl w:val="nil"/>
            </w:tcBorders>
            <w:vAlign w:val="center"/>
          </w:tcPr>
          <w:p w14:paraId="288BD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岩性</w:t>
            </w:r>
          </w:p>
        </w:tc>
        <w:tc>
          <w:tcPr>
            <w:tcW w:w="2839" w:type="dxa"/>
            <w:tcBorders>
              <w:tl2br w:val="nil"/>
              <w:tr2bl w:val="nil"/>
            </w:tcBorders>
            <w:vAlign w:val="center"/>
          </w:tcPr>
          <w:p w14:paraId="01E1C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K</w:t>
            </w:r>
          </w:p>
        </w:tc>
        <w:tc>
          <w:tcPr>
            <w:tcW w:w="2837" w:type="dxa"/>
            <w:tcBorders>
              <w:tl2br w:val="nil"/>
              <w:tr2bl w:val="nil"/>
            </w:tcBorders>
            <w:vAlign w:val="center"/>
          </w:tcPr>
          <w:p w14:paraId="2786F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α</w:t>
            </w:r>
          </w:p>
        </w:tc>
      </w:tr>
      <w:tr w14:paraId="4A7D4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7" w:type="dxa"/>
            <w:tcBorders>
              <w:tl2br w:val="nil"/>
              <w:tr2bl w:val="nil"/>
            </w:tcBorders>
            <w:vAlign w:val="center"/>
          </w:tcPr>
          <w:p w14:paraId="2270A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坚硬岩石</w:t>
            </w:r>
          </w:p>
        </w:tc>
        <w:tc>
          <w:tcPr>
            <w:tcW w:w="2839" w:type="dxa"/>
            <w:tcBorders>
              <w:tl2br w:val="nil"/>
              <w:tr2bl w:val="nil"/>
            </w:tcBorders>
            <w:vAlign w:val="center"/>
          </w:tcPr>
          <w:p w14:paraId="075A3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50-150</w:t>
            </w:r>
          </w:p>
        </w:tc>
        <w:tc>
          <w:tcPr>
            <w:tcW w:w="2837" w:type="dxa"/>
            <w:tcBorders>
              <w:tl2br w:val="nil"/>
              <w:tr2bl w:val="nil"/>
            </w:tcBorders>
            <w:vAlign w:val="center"/>
          </w:tcPr>
          <w:p w14:paraId="5F8E6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1.3-1.5</w:t>
            </w:r>
          </w:p>
        </w:tc>
      </w:tr>
      <w:tr w14:paraId="3C6E4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7" w:type="dxa"/>
            <w:tcBorders>
              <w:tl2br w:val="nil"/>
              <w:tr2bl w:val="nil"/>
            </w:tcBorders>
            <w:vAlign w:val="center"/>
          </w:tcPr>
          <w:p w14:paraId="67B7B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中硬岩石</w:t>
            </w:r>
          </w:p>
        </w:tc>
        <w:tc>
          <w:tcPr>
            <w:tcW w:w="2839" w:type="dxa"/>
            <w:tcBorders>
              <w:tl2br w:val="nil"/>
              <w:tr2bl w:val="nil"/>
            </w:tcBorders>
            <w:vAlign w:val="center"/>
          </w:tcPr>
          <w:p w14:paraId="63479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150-250</w:t>
            </w:r>
          </w:p>
        </w:tc>
        <w:tc>
          <w:tcPr>
            <w:tcW w:w="2837" w:type="dxa"/>
            <w:tcBorders>
              <w:tl2br w:val="nil"/>
              <w:tr2bl w:val="nil"/>
            </w:tcBorders>
            <w:vAlign w:val="center"/>
          </w:tcPr>
          <w:p w14:paraId="5455B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1.5-1.8</w:t>
            </w:r>
          </w:p>
        </w:tc>
      </w:tr>
      <w:tr w14:paraId="09473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7" w:type="dxa"/>
            <w:tcBorders>
              <w:tl2br w:val="nil"/>
              <w:tr2bl w:val="nil"/>
            </w:tcBorders>
            <w:vAlign w:val="center"/>
          </w:tcPr>
          <w:p w14:paraId="36D2B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软岩石</w:t>
            </w:r>
          </w:p>
        </w:tc>
        <w:tc>
          <w:tcPr>
            <w:tcW w:w="2839" w:type="dxa"/>
            <w:tcBorders>
              <w:tl2br w:val="nil"/>
              <w:tr2bl w:val="nil"/>
            </w:tcBorders>
            <w:vAlign w:val="center"/>
          </w:tcPr>
          <w:p w14:paraId="59E2A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250-350</w:t>
            </w:r>
          </w:p>
        </w:tc>
        <w:tc>
          <w:tcPr>
            <w:tcW w:w="2837" w:type="dxa"/>
            <w:tcBorders>
              <w:tl2br w:val="nil"/>
              <w:tr2bl w:val="nil"/>
            </w:tcBorders>
            <w:vAlign w:val="center"/>
          </w:tcPr>
          <w:p w14:paraId="38F4D6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1.8-2.0</w:t>
            </w:r>
          </w:p>
        </w:tc>
      </w:tr>
    </w:tbl>
    <w:p w14:paraId="61DCFC55">
      <w:pPr>
        <w:spacing w:line="480" w:lineRule="exact"/>
        <w:ind w:firstLine="480" w:firstLineChars="200"/>
        <w:rPr>
          <w:rFonts w:ascii="Times New Roman" w:hAnsi="Times New Roman" w:cs="Times New Roman"/>
          <w:color w:val="000000" w:themeColor="text1"/>
          <w:kern w:val="0"/>
          <w:sz w:val="28"/>
          <w:szCs w:val="28"/>
          <w:lang w:val="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本矿山属中硬岩石地质条件，取K＝250、α＝1.8；对于中硬岩石地质条件，在一次炸药使用量为40kg时，计算得爆破地震安全距离R为45m。即距离爆点45m范围内的设施将不同程度地受到爆破振动影响，其振动水平将高于标准限额2.5cm/s。根据上式可预测对于该矿不同距离处的爆破振动水平，见表5.2-1</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w:t>
      </w:r>
    </w:p>
    <w:p w14:paraId="29661CC4">
      <w:pPr>
        <w:tabs>
          <w:tab w:val="left" w:pos="6840"/>
        </w:tabs>
        <w:spacing w:line="480" w:lineRule="exact"/>
        <w:ind w:firstLine="482" w:firstLineChars="200"/>
        <w:jc w:val="cente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表5.2-1</w:t>
      </w:r>
      <w:r>
        <w:rPr>
          <w:rFonts w:hint="eastAsia"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不同距离处构筑物爆破振动速度预测</w:t>
      </w:r>
    </w:p>
    <w:tbl>
      <w:tblPr>
        <w:tblStyle w:val="7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800"/>
        <w:gridCol w:w="694"/>
        <w:gridCol w:w="517"/>
        <w:gridCol w:w="699"/>
        <w:gridCol w:w="698"/>
        <w:gridCol w:w="699"/>
        <w:gridCol w:w="699"/>
        <w:gridCol w:w="699"/>
        <w:gridCol w:w="699"/>
        <w:gridCol w:w="699"/>
      </w:tblGrid>
      <w:tr w14:paraId="50F2A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tcBorders>
              <w:tl2br w:val="nil"/>
              <w:tr2bl w:val="nil"/>
            </w:tcBorders>
            <w:vAlign w:val="center"/>
          </w:tcPr>
          <w:p w14:paraId="4C75E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b/>
                <w:bCs/>
                <w:color w:val="000000" w:themeColor="text1"/>
                <w:kern w:val="0"/>
                <w:sz w:val="22"/>
                <w:szCs w:val="22"/>
                <w:lang w:bidi="ar"/>
                <w14:textFill>
                  <w14:solidFill>
                    <w14:schemeClr w14:val="tx1"/>
                  </w14:solidFill>
                </w14:textFill>
              </w:rPr>
            </w:pPr>
            <w:r>
              <w:rPr>
                <w:rFonts w:hint="default" w:ascii="Times New Roman" w:hAnsi="Times New Roman" w:cs="Times New Roman"/>
                <w:b/>
                <w:bCs/>
                <w:color w:val="000000" w:themeColor="text1"/>
                <w:kern w:val="0"/>
                <w:sz w:val="22"/>
                <w:szCs w:val="22"/>
                <w:lang w:bidi="ar"/>
                <w14:textFill>
                  <w14:solidFill>
                    <w14:schemeClr w14:val="tx1"/>
                  </w14:solidFill>
                </w14:textFill>
              </w:rPr>
              <w:t>预测点距离m</w:t>
            </w:r>
          </w:p>
        </w:tc>
        <w:tc>
          <w:tcPr>
            <w:tcW w:w="800" w:type="dxa"/>
            <w:tcBorders>
              <w:tl2br w:val="nil"/>
              <w:tr2bl w:val="nil"/>
            </w:tcBorders>
            <w:vAlign w:val="center"/>
          </w:tcPr>
          <w:p w14:paraId="677D38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10</w:t>
            </w:r>
          </w:p>
        </w:tc>
        <w:tc>
          <w:tcPr>
            <w:tcW w:w="694" w:type="dxa"/>
            <w:tcBorders>
              <w:tl2br w:val="nil"/>
              <w:tr2bl w:val="nil"/>
            </w:tcBorders>
            <w:vAlign w:val="center"/>
          </w:tcPr>
          <w:p w14:paraId="45BAE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20</w:t>
            </w:r>
          </w:p>
        </w:tc>
        <w:tc>
          <w:tcPr>
            <w:tcW w:w="517" w:type="dxa"/>
            <w:tcBorders>
              <w:tl2br w:val="nil"/>
              <w:tr2bl w:val="nil"/>
            </w:tcBorders>
            <w:vAlign w:val="center"/>
          </w:tcPr>
          <w:p w14:paraId="3909F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30</w:t>
            </w:r>
          </w:p>
        </w:tc>
        <w:tc>
          <w:tcPr>
            <w:tcW w:w="699" w:type="dxa"/>
            <w:tcBorders>
              <w:tl2br w:val="nil"/>
              <w:tr2bl w:val="nil"/>
            </w:tcBorders>
            <w:vAlign w:val="center"/>
          </w:tcPr>
          <w:p w14:paraId="66600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40</w:t>
            </w:r>
          </w:p>
        </w:tc>
        <w:tc>
          <w:tcPr>
            <w:tcW w:w="698" w:type="dxa"/>
            <w:tcBorders>
              <w:tl2br w:val="nil"/>
              <w:tr2bl w:val="nil"/>
            </w:tcBorders>
            <w:vAlign w:val="center"/>
          </w:tcPr>
          <w:p w14:paraId="049E6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45</w:t>
            </w:r>
          </w:p>
        </w:tc>
        <w:tc>
          <w:tcPr>
            <w:tcW w:w="699" w:type="dxa"/>
            <w:tcBorders>
              <w:tl2br w:val="nil"/>
              <w:tr2bl w:val="nil"/>
            </w:tcBorders>
            <w:vAlign w:val="center"/>
          </w:tcPr>
          <w:p w14:paraId="1A85A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50</w:t>
            </w:r>
          </w:p>
        </w:tc>
        <w:tc>
          <w:tcPr>
            <w:tcW w:w="699" w:type="dxa"/>
            <w:tcBorders>
              <w:tl2br w:val="nil"/>
              <w:tr2bl w:val="nil"/>
            </w:tcBorders>
            <w:vAlign w:val="center"/>
          </w:tcPr>
          <w:p w14:paraId="2F739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100</w:t>
            </w:r>
          </w:p>
        </w:tc>
        <w:tc>
          <w:tcPr>
            <w:tcW w:w="699" w:type="dxa"/>
            <w:tcBorders>
              <w:tl2br w:val="nil"/>
              <w:tr2bl w:val="nil"/>
            </w:tcBorders>
            <w:vAlign w:val="center"/>
          </w:tcPr>
          <w:p w14:paraId="3AE1C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200</w:t>
            </w:r>
          </w:p>
        </w:tc>
        <w:tc>
          <w:tcPr>
            <w:tcW w:w="699" w:type="dxa"/>
            <w:tcBorders>
              <w:tl2br w:val="nil"/>
              <w:tr2bl w:val="nil"/>
            </w:tcBorders>
            <w:vAlign w:val="center"/>
          </w:tcPr>
          <w:p w14:paraId="4E683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250</w:t>
            </w:r>
          </w:p>
        </w:tc>
        <w:tc>
          <w:tcPr>
            <w:tcW w:w="699" w:type="dxa"/>
            <w:tcBorders>
              <w:tl2br w:val="nil"/>
              <w:tr2bl w:val="nil"/>
            </w:tcBorders>
            <w:vAlign w:val="center"/>
          </w:tcPr>
          <w:p w14:paraId="78541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300</w:t>
            </w:r>
          </w:p>
        </w:tc>
      </w:tr>
      <w:tr w14:paraId="2926D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tcBorders>
              <w:tl2br w:val="nil"/>
              <w:tr2bl w:val="nil"/>
            </w:tcBorders>
            <w:vAlign w:val="center"/>
          </w:tcPr>
          <w:p w14:paraId="1D489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b/>
                <w:bCs/>
                <w:color w:val="000000" w:themeColor="text1"/>
                <w:kern w:val="0"/>
                <w:sz w:val="22"/>
                <w:szCs w:val="22"/>
                <w:lang w:bidi="ar"/>
                <w14:textFill>
                  <w14:solidFill>
                    <w14:schemeClr w14:val="tx1"/>
                  </w14:solidFill>
                </w14:textFill>
              </w:rPr>
            </w:pPr>
            <w:r>
              <w:rPr>
                <w:rFonts w:hint="default" w:ascii="Times New Roman" w:hAnsi="Times New Roman" w:cs="Times New Roman"/>
                <w:b/>
                <w:bCs/>
                <w:color w:val="000000" w:themeColor="text1"/>
                <w:kern w:val="0"/>
                <w:sz w:val="22"/>
                <w:szCs w:val="22"/>
                <w:lang w:bidi="ar"/>
                <w14:textFill>
                  <w14:solidFill>
                    <w14:schemeClr w14:val="tx1"/>
                  </w14:solidFill>
                </w14:textFill>
              </w:rPr>
              <w:t>振动速度cm/s</w:t>
            </w:r>
          </w:p>
        </w:tc>
        <w:tc>
          <w:tcPr>
            <w:tcW w:w="800" w:type="dxa"/>
            <w:tcBorders>
              <w:tl2br w:val="nil"/>
              <w:tr2bl w:val="nil"/>
            </w:tcBorders>
            <w:vAlign w:val="center"/>
          </w:tcPr>
          <w:p w14:paraId="20097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36</w:t>
            </w:r>
            <w:r>
              <w:rPr>
                <w:rFonts w:hint="eastAsia" w:ascii="Times New Roman" w:hAnsi="Times New Roman" w:cs="Times New Roman"/>
                <w:color w:val="000000" w:themeColor="text1"/>
                <w:kern w:val="0"/>
                <w:sz w:val="22"/>
                <w:szCs w:val="22"/>
                <w:lang w:bidi="ar"/>
                <w14:textFill>
                  <w14:solidFill>
                    <w14:schemeClr w14:val="tx1"/>
                  </w14:solidFill>
                </w14:textFill>
              </w:rPr>
              <w:t>.</w:t>
            </w:r>
            <w:r>
              <w:rPr>
                <w:rFonts w:hint="default" w:ascii="Times New Roman" w:hAnsi="Times New Roman" w:cs="Times New Roman"/>
                <w:color w:val="000000" w:themeColor="text1"/>
                <w:kern w:val="0"/>
                <w:sz w:val="22"/>
                <w:szCs w:val="22"/>
                <w:lang w:bidi="ar"/>
                <w14:textFill>
                  <w14:solidFill>
                    <w14:schemeClr w14:val="tx1"/>
                  </w14:solidFill>
                </w14:textFill>
              </w:rPr>
              <w:t>24</w:t>
            </w:r>
          </w:p>
        </w:tc>
        <w:tc>
          <w:tcPr>
            <w:tcW w:w="694" w:type="dxa"/>
            <w:tcBorders>
              <w:tl2br w:val="nil"/>
              <w:tr2bl w:val="nil"/>
            </w:tcBorders>
            <w:vAlign w:val="center"/>
          </w:tcPr>
          <w:p w14:paraId="75E6B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10.41</w:t>
            </w:r>
          </w:p>
        </w:tc>
        <w:tc>
          <w:tcPr>
            <w:tcW w:w="517" w:type="dxa"/>
            <w:tcBorders>
              <w:tl2br w:val="nil"/>
              <w:tr2bl w:val="nil"/>
            </w:tcBorders>
            <w:vAlign w:val="center"/>
          </w:tcPr>
          <w:p w14:paraId="6586F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5.02</w:t>
            </w:r>
          </w:p>
        </w:tc>
        <w:tc>
          <w:tcPr>
            <w:tcW w:w="699" w:type="dxa"/>
            <w:tcBorders>
              <w:tl2br w:val="nil"/>
              <w:tr2bl w:val="nil"/>
            </w:tcBorders>
            <w:vAlign w:val="center"/>
          </w:tcPr>
          <w:p w14:paraId="62078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2.99</w:t>
            </w:r>
          </w:p>
        </w:tc>
        <w:tc>
          <w:tcPr>
            <w:tcW w:w="698" w:type="dxa"/>
            <w:tcBorders>
              <w:tl2br w:val="nil"/>
              <w:tr2bl w:val="nil"/>
            </w:tcBorders>
            <w:vAlign w:val="center"/>
          </w:tcPr>
          <w:p w14:paraId="39271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2.42</w:t>
            </w:r>
          </w:p>
        </w:tc>
        <w:tc>
          <w:tcPr>
            <w:tcW w:w="699" w:type="dxa"/>
            <w:tcBorders>
              <w:tl2br w:val="nil"/>
              <w:tr2bl w:val="nil"/>
            </w:tcBorders>
            <w:vAlign w:val="center"/>
          </w:tcPr>
          <w:p w14:paraId="091E41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2.00</w:t>
            </w:r>
          </w:p>
        </w:tc>
        <w:tc>
          <w:tcPr>
            <w:tcW w:w="699" w:type="dxa"/>
            <w:tcBorders>
              <w:tl2br w:val="nil"/>
              <w:tr2bl w:val="nil"/>
            </w:tcBorders>
            <w:vAlign w:val="center"/>
          </w:tcPr>
          <w:p w14:paraId="6F85D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0.57</w:t>
            </w:r>
          </w:p>
        </w:tc>
        <w:tc>
          <w:tcPr>
            <w:tcW w:w="699" w:type="dxa"/>
            <w:tcBorders>
              <w:tl2br w:val="nil"/>
              <w:tr2bl w:val="nil"/>
            </w:tcBorders>
            <w:vAlign w:val="center"/>
          </w:tcPr>
          <w:p w14:paraId="5A344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0.14</w:t>
            </w:r>
          </w:p>
        </w:tc>
        <w:tc>
          <w:tcPr>
            <w:tcW w:w="699" w:type="dxa"/>
            <w:tcBorders>
              <w:tl2br w:val="nil"/>
              <w:tr2bl w:val="nil"/>
            </w:tcBorders>
            <w:vAlign w:val="center"/>
          </w:tcPr>
          <w:p w14:paraId="0D915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0.11</w:t>
            </w:r>
          </w:p>
        </w:tc>
        <w:tc>
          <w:tcPr>
            <w:tcW w:w="699" w:type="dxa"/>
            <w:tcBorders>
              <w:tl2br w:val="nil"/>
              <w:tr2bl w:val="nil"/>
            </w:tcBorders>
            <w:vAlign w:val="center"/>
          </w:tcPr>
          <w:p w14:paraId="22A82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cs="Times New Roman"/>
                <w:color w:val="000000" w:themeColor="text1"/>
                <w:kern w:val="0"/>
                <w:sz w:val="22"/>
                <w:szCs w:val="22"/>
                <w:lang w:bidi="ar"/>
                <w14:textFill>
                  <w14:solidFill>
                    <w14:schemeClr w14:val="tx1"/>
                  </w14:solidFill>
                </w14:textFill>
              </w:rPr>
            </w:pPr>
            <w:r>
              <w:rPr>
                <w:rFonts w:hint="default" w:ascii="Times New Roman" w:hAnsi="Times New Roman" w:cs="Times New Roman"/>
                <w:color w:val="000000" w:themeColor="text1"/>
                <w:kern w:val="0"/>
                <w:sz w:val="22"/>
                <w:szCs w:val="22"/>
                <w:lang w:bidi="ar"/>
                <w14:textFill>
                  <w14:solidFill>
                    <w14:schemeClr w14:val="tx1"/>
                  </w14:solidFill>
                </w14:textFill>
              </w:rPr>
              <w:t>0.08</w:t>
            </w:r>
          </w:p>
        </w:tc>
      </w:tr>
    </w:tbl>
    <w:p w14:paraId="4FD81E1C">
      <w:pPr>
        <w:spacing w:line="480" w:lineRule="exact"/>
        <w:ind w:firstLine="480" w:firstLineChars="200"/>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（3）爆破振动影响评价</w:t>
      </w:r>
    </w:p>
    <w:p w14:paraId="7A019CC1">
      <w:pPr>
        <w:spacing w:line="480" w:lineRule="exact"/>
        <w:ind w:firstLine="480" w:firstLineChars="200"/>
        <w:rPr>
          <w:rFonts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由表5.2-1</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预测结果可知，在生产过程中爆破情况下，在距爆源45m以外的设施及建筑物，其质点振动速度小于安全允许标准。本矿采矿场区域45m范围内无建筑物布设。矿部生活区布置在矿区北侧界内平坦地带，周围150m范围内无工业广场设施，所以爆破作业产生的爆破地震波对办公生活区内建筑物影响较小。</w:t>
      </w:r>
    </w:p>
    <w:p w14:paraId="484BB449">
      <w:pPr>
        <w:pStyle w:val="5"/>
        <w:numPr>
          <w:ilvl w:val="3"/>
          <w:numId w:val="0"/>
        </w:numPr>
        <w:spacing w:before="0" w:after="0" w:line="520" w:lineRule="exact"/>
        <w:ind w:firstLine="482" w:firstLineChars="200"/>
        <w:jc w:val="both"/>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5.2.4.3噪声影响预测及分析</w:t>
      </w:r>
    </w:p>
    <w:p w14:paraId="0640178B">
      <w:pPr>
        <w:spacing w:line="480" w:lineRule="exact"/>
        <w:ind w:firstLine="480" w:firstLineChars="200"/>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1、噪声源强</w:t>
      </w:r>
    </w:p>
    <w:p w14:paraId="19C8D0EC">
      <w:pPr>
        <w:spacing w:line="480" w:lineRule="exact"/>
        <w:ind w:firstLine="480" w:firstLineChars="200"/>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color w:val="000000" w:themeColor="text1"/>
          <w:sz w:val="24"/>
          <w:szCs w:val="28"/>
          <w14:textFill>
            <w14:solidFill>
              <w14:schemeClr w14:val="tx1"/>
            </w14:solidFill>
          </w14:textFill>
        </w:rPr>
        <w:t>矿山开采期间</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凿岩、爆破、压气、铲装</w:t>
      </w:r>
      <w:r>
        <w:rPr>
          <w:rFonts w:hint="eastAsia"/>
          <w:color w:val="000000" w:themeColor="text1"/>
          <w:sz w:val="24"/>
          <w:szCs w:val="28"/>
          <w14:textFill>
            <w14:solidFill>
              <w14:schemeClr w14:val="tx1"/>
            </w14:solidFill>
          </w14:textFill>
        </w:rPr>
        <w:t>运输</w:t>
      </w:r>
      <w:r>
        <w:rPr>
          <w:color w:val="000000" w:themeColor="text1"/>
          <w:sz w:val="24"/>
          <w:szCs w:val="28"/>
          <w14:textFill>
            <w14:solidFill>
              <w14:schemeClr w14:val="tx1"/>
            </w14:solidFill>
          </w14:textFill>
        </w:rPr>
        <w:t>设备等生产作业时均会产生噪声。产生高噪声的设备主要有采矿场的凿岩机、通风机</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空压机</w:t>
      </w:r>
      <w:r>
        <w:rPr>
          <w:color w:val="000000" w:themeColor="text1"/>
          <w:sz w:val="24"/>
          <w:szCs w:val="28"/>
          <w14:textFill>
            <w14:solidFill>
              <w14:schemeClr w14:val="tx1"/>
            </w14:solidFill>
          </w14:textFill>
        </w:rPr>
        <w:t>。</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井下噪声如爆破、运输、凿岩等过程产生的噪声主要是对井下工作人员听力、情绪产生影响，在采取减少接触高噪声工作时间、采取佩戴隔声耳罩或耳塞、轮岗等措施，可减少噪声对工人的影响，并定期对接触高噪声的工人进行听力检查。井下产噪设施噪声因井壁对声音的阻挡、吸收作用、随距离衰减，对地面声环境无影响。</w:t>
      </w:r>
    </w:p>
    <w:p w14:paraId="5EAE4A56">
      <w:pPr>
        <w:spacing w:line="480" w:lineRule="exact"/>
        <w:ind w:firstLine="480" w:firstLineChars="200"/>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本次评价</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主要对采矿工业场地、采矿区的生产设备及其他设备噪声对矿区环境的影响进行预测评价。根据《工业企业噪声卫生标准》（GB12348-2008）规定，对新、改、扩建工矿企业噪声在85dB（A）以上的发声设备确定为主要噪声源，本项目地面主要噪声源是通风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空压机</w:t>
      </w:r>
      <w:r>
        <w:rPr>
          <w:rFonts w:hint="default" w:ascii="Times New Roman" w:hAnsi="Times New Roman" w:cs="Times New Roman"/>
          <w:color w:val="000000" w:themeColor="text1"/>
          <w:sz w:val="24"/>
          <w14:textFill>
            <w14:solidFill>
              <w14:schemeClr w14:val="tx1"/>
            </w14:solidFill>
          </w14:textFill>
        </w:rPr>
        <w:t>为主要噪声源</w:t>
      </w:r>
      <w:r>
        <w:rPr>
          <w:rFonts w:hint="eastAsia" w:ascii="Times New Roman" w:hAnsi="Times New Roman" w:cs="Times New Roman"/>
          <w:color w:val="000000" w:themeColor="text1"/>
          <w:sz w:val="24"/>
          <w:lang w:val="en-US" w:eastAsia="zh-CN"/>
          <w14:textFill>
            <w14:solidFill>
              <w14:schemeClr w14:val="tx1"/>
            </w14:solidFill>
          </w14:textFill>
        </w:rPr>
        <w:t>来</w:t>
      </w:r>
      <w:r>
        <w:rPr>
          <w:rFonts w:hint="default" w:ascii="Times New Roman" w:hAnsi="Times New Roman" w:cs="Times New Roman"/>
          <w:color w:val="000000" w:themeColor="text1"/>
          <w:sz w:val="24"/>
          <w14:textFill>
            <w14:solidFill>
              <w14:schemeClr w14:val="tx1"/>
            </w14:solidFill>
          </w14:textFill>
        </w:rPr>
        <w:t>预测</w:t>
      </w:r>
      <w:r>
        <w:rPr>
          <w:rFonts w:hint="eastAsia" w:ascii="Times New Roman" w:hAnsi="Times New Roman" w:cs="Times New Roman"/>
          <w:color w:val="000000" w:themeColor="text1"/>
          <w:sz w:val="24"/>
          <w:lang w:val="en-US" w:eastAsia="zh-CN"/>
          <w14:textFill>
            <w14:solidFill>
              <w14:schemeClr w14:val="tx1"/>
            </w14:solidFill>
          </w14:textFill>
        </w:rPr>
        <w:t>声</w:t>
      </w:r>
      <w:r>
        <w:rPr>
          <w:rFonts w:hint="default" w:ascii="Times New Roman" w:hAnsi="Times New Roman" w:cs="Times New Roman"/>
          <w:color w:val="000000" w:themeColor="text1"/>
          <w:sz w:val="24"/>
          <w14:textFill>
            <w14:solidFill>
              <w14:schemeClr w14:val="tx1"/>
            </w14:solidFill>
          </w14:textFill>
        </w:rPr>
        <w:t>环境影响。</w:t>
      </w:r>
    </w:p>
    <w:p w14:paraId="1CBDB8E3">
      <w:pPr>
        <w:spacing w:line="480" w:lineRule="exact"/>
        <w:ind w:firstLine="480" w:firstLineChars="200"/>
        <w:rPr>
          <w:rFonts w:ascii="Times New Roman" w:hAnsi="Times New Roman" w:cs="Times New Roman"/>
          <w:color w:val="000000" w:themeColor="text1"/>
          <w:kern w:val="0"/>
          <w:sz w:val="28"/>
          <w:szCs w:val="28"/>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建设项目主要</w:t>
      </w:r>
      <w:r>
        <w:rPr>
          <w:rFonts w:hint="eastAsia" w:cs="Times New Roman"/>
          <w:color w:val="000000" w:themeColor="text1"/>
          <w:sz w:val="24"/>
          <w:highlight w:val="none"/>
          <w:lang w:val="en-US" w:eastAsia="zh-CN"/>
          <w14:textFill>
            <w14:solidFill>
              <w14:schemeClr w14:val="tx1"/>
            </w14:solidFill>
          </w14:textFill>
        </w:rPr>
        <w:t>地面</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噪声源源强情况见表5.2-1</w:t>
      </w:r>
      <w:r>
        <w:rPr>
          <w:rFonts w:hint="eastAsia" w:cs="Times New Roman"/>
          <w:color w:val="000000" w:themeColor="text1"/>
          <w:sz w:val="24"/>
          <w:highlight w:val="none"/>
          <w:lang w:val="en-US" w:eastAsia="zh-CN"/>
          <w14:textFill>
            <w14:solidFill>
              <w14:schemeClr w14:val="tx1"/>
            </w14:solidFill>
          </w14:textFill>
        </w:rPr>
        <w:t>3</w:t>
      </w:r>
      <w:r>
        <w:rPr>
          <w:rFonts w:ascii="Times New Roman" w:hAnsi="Times New Roman" w:cs="Times New Roman"/>
          <w:color w:val="000000" w:themeColor="text1"/>
          <w:kern w:val="0"/>
          <w:sz w:val="28"/>
          <w:szCs w:val="28"/>
          <w14:textFill>
            <w14:solidFill>
              <w14:schemeClr w14:val="tx1"/>
            </w14:solidFill>
          </w14:textFill>
        </w:rPr>
        <w:t>。</w:t>
      </w:r>
    </w:p>
    <w:p w14:paraId="34B571FF">
      <w:pPr>
        <w:spacing w:line="480" w:lineRule="exact"/>
        <w:ind w:firstLine="480" w:firstLineChars="200"/>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预测方法</w:t>
      </w:r>
    </w:p>
    <w:p w14:paraId="32928560">
      <w:pPr>
        <w:spacing w:line="480" w:lineRule="exact"/>
        <w:ind w:firstLine="480" w:firstLineChars="200"/>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主要噪声源风机、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空压机均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置于室内。在声波传播的过程中，通过声屏蔽衰减、随距离衰减以及空气吸收衰减对环境产生影响。故声源在传播过程中的实际衰减量要低于其预测衰减量，即实际噪声值将略低于其预测值。</w:t>
      </w:r>
    </w:p>
    <w:p w14:paraId="4EF469A6">
      <w:pPr>
        <w:spacing w:line="480" w:lineRule="exact"/>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评价标准</w:t>
      </w:r>
    </w:p>
    <w:p w14:paraId="6C680127">
      <w:pPr>
        <w:spacing w:line="480" w:lineRule="exact"/>
        <w:ind w:firstLine="480" w:firstLineChars="200"/>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厂界噪声采用《工业企业厂界环境噪声排放标准》（GB12348-2008）的2类标准。</w:t>
      </w:r>
    </w:p>
    <w:p w14:paraId="4F8793C3">
      <w:pPr>
        <w:spacing w:line="480" w:lineRule="exact"/>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4、预测模式</w:t>
      </w:r>
    </w:p>
    <w:p w14:paraId="5042EA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根据《环境影响评价技术导则</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声环境》（HJ2.4-2021）中工业噪声预测模式进行预测。预测计算中考虑声源的屏蔽效应和声源至受声点的距离衰减等主要衰减因子</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因空气吸收、气候等影响因素所引起的衰减值很小</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忽略不计。</w:t>
      </w:r>
      <w:r>
        <w:rPr>
          <w:rFonts w:hint="default" w:ascii="Times New Roman" w:hAnsi="Times New Roman" w:eastAsia="宋体" w:cs="Times New Roman"/>
          <w:color w:val="000000" w:themeColor="text1"/>
          <w:sz w:val="24"/>
          <w:szCs w:val="24"/>
          <w14:textFill>
            <w14:solidFill>
              <w14:schemeClr w14:val="tx1"/>
            </w14:solidFill>
          </w14:textFill>
        </w:rPr>
        <w:t>对设备采取吸噪、消声、</w:t>
      </w:r>
      <w:r>
        <w:rPr>
          <w:rFonts w:hint="eastAsia" w:cs="Times New Roman"/>
          <w:color w:val="000000" w:themeColor="text1"/>
          <w:sz w:val="24"/>
          <w:szCs w:val="24"/>
          <w:lang w:val="en-US" w:eastAsia="zh-CN"/>
          <w14:textFill>
            <w14:solidFill>
              <w14:schemeClr w14:val="tx1"/>
            </w14:solidFill>
          </w14:textFill>
        </w:rPr>
        <w:t>隔声</w:t>
      </w:r>
      <w:r>
        <w:rPr>
          <w:rFonts w:hint="default" w:ascii="Times New Roman" w:hAnsi="Times New Roman" w:eastAsia="宋体" w:cs="Times New Roman"/>
          <w:color w:val="000000" w:themeColor="text1"/>
          <w:sz w:val="24"/>
          <w:szCs w:val="24"/>
          <w14:textFill>
            <w14:solidFill>
              <w14:schemeClr w14:val="tx1"/>
            </w14:solidFill>
          </w14:textFill>
        </w:rPr>
        <w:t>等措施</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一般可降低噪声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20dB（A）。</w:t>
      </w:r>
    </w:p>
    <w:p w14:paraId="47EC48A4">
      <w:pPr>
        <w:spacing w:line="480" w:lineRule="exact"/>
        <w:ind w:firstLine="480" w:firstLineChars="200"/>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p>
    <w:p w14:paraId="04788E97">
      <w:pPr>
        <w:spacing w:line="480" w:lineRule="exact"/>
        <w:ind w:firstLine="560" w:firstLineChars="200"/>
        <w:rPr>
          <w:rFonts w:ascii="Times New Roman" w:hAnsi="Times New Roman" w:cs="Times New Roman"/>
          <w:color w:val="000000" w:themeColor="text1"/>
          <w:kern w:val="0"/>
          <w:sz w:val="28"/>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5898874">
      <w:pPr>
        <w:tabs>
          <w:tab w:val="left" w:pos="6840"/>
        </w:tabs>
        <w:spacing w:line="480" w:lineRule="exact"/>
        <w:ind w:firstLine="482" w:firstLineChars="200"/>
        <w:jc w:val="cente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表5.2-1</w:t>
      </w:r>
      <w:r>
        <w:rPr>
          <w:rFonts w:hint="eastAsia" w:cs="Times New Roman"/>
          <w:b/>
          <w:bCs/>
          <w:color w:val="000000" w:themeColor="text1"/>
          <w:sz w:val="24"/>
          <w:highlight w:val="none"/>
          <w:lang w:val="en-US" w:eastAsia="zh-CN"/>
          <w14:textFill>
            <w14:solidFill>
              <w14:schemeClr w14:val="tx1"/>
            </w14:solidFill>
          </w14:textFill>
        </w:rPr>
        <w:t>3（a）</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本项目主要噪声源情况一览表</w:t>
      </w:r>
      <w:r>
        <w:rPr>
          <w:rFonts w:hint="eastAsia" w:cs="Times New Roman"/>
          <w:b/>
          <w:bCs/>
          <w:color w:val="000000" w:themeColor="text1"/>
          <w:sz w:val="24"/>
          <w:highlight w:val="none"/>
          <w:lang w:val="zh-CN"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室外</w:t>
      </w:r>
      <w:r>
        <w:rPr>
          <w:rFonts w:hint="eastAsia" w:cs="Times New Roman"/>
          <w:b/>
          <w:bCs/>
          <w:color w:val="000000" w:themeColor="text1"/>
          <w:sz w:val="24"/>
          <w:highlight w:val="none"/>
          <w:lang w:val="zh-CN" w:eastAsia="zh-CN"/>
          <w14:textFill>
            <w14:solidFill>
              <w14:schemeClr w14:val="tx1"/>
            </w14:solidFill>
          </w14:textFill>
        </w:rPr>
        <w:t>）</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630"/>
        <w:gridCol w:w="3098"/>
        <w:gridCol w:w="1052"/>
        <w:gridCol w:w="1185"/>
        <w:gridCol w:w="553"/>
        <w:gridCol w:w="1247"/>
        <w:gridCol w:w="3144"/>
        <w:gridCol w:w="1267"/>
      </w:tblGrid>
      <w:tr w14:paraId="3C7A3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350" w:type="pct"/>
            <w:vMerge w:val="restart"/>
            <w:tcBorders>
              <w:tl2br w:val="nil"/>
              <w:tr2bl w:val="nil"/>
            </w:tcBorders>
            <w:noWrap w:val="0"/>
            <w:vAlign w:val="center"/>
          </w:tcPr>
          <w:p w14:paraId="4BF3A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575" w:type="pct"/>
            <w:vMerge w:val="restart"/>
            <w:tcBorders>
              <w:tl2br w:val="nil"/>
              <w:tr2bl w:val="nil"/>
            </w:tcBorders>
            <w:noWrap w:val="0"/>
            <w:vAlign w:val="center"/>
          </w:tcPr>
          <w:p w14:paraId="26CB6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设备</w:t>
            </w:r>
          </w:p>
        </w:tc>
        <w:tc>
          <w:tcPr>
            <w:tcW w:w="1093" w:type="pct"/>
            <w:vMerge w:val="restart"/>
            <w:tcBorders>
              <w:tl2br w:val="nil"/>
              <w:tr2bl w:val="nil"/>
            </w:tcBorders>
            <w:noWrap w:val="0"/>
            <w:vAlign w:val="center"/>
          </w:tcPr>
          <w:p w14:paraId="69BE6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型号</w:t>
            </w:r>
          </w:p>
        </w:tc>
        <w:tc>
          <w:tcPr>
            <w:tcW w:w="984" w:type="pct"/>
            <w:gridSpan w:val="3"/>
            <w:tcBorders>
              <w:tl2br w:val="nil"/>
              <w:tr2bl w:val="nil"/>
            </w:tcBorders>
            <w:noWrap w:val="0"/>
            <w:vAlign w:val="center"/>
          </w:tcPr>
          <w:p w14:paraId="47078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空间相对位置（m）</w:t>
            </w:r>
          </w:p>
        </w:tc>
        <w:tc>
          <w:tcPr>
            <w:tcW w:w="440" w:type="pct"/>
            <w:vMerge w:val="restart"/>
            <w:tcBorders>
              <w:tl2br w:val="nil"/>
              <w:tr2bl w:val="nil"/>
            </w:tcBorders>
            <w:noWrap w:val="0"/>
            <w:vAlign w:val="center"/>
          </w:tcPr>
          <w:p w14:paraId="05782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声压级</w:t>
            </w:r>
          </w:p>
          <w:p w14:paraId="6B9AD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dB（A）</w:t>
            </w:r>
          </w:p>
        </w:tc>
        <w:tc>
          <w:tcPr>
            <w:tcW w:w="1109" w:type="pct"/>
            <w:vMerge w:val="restart"/>
            <w:tcBorders>
              <w:tl2br w:val="nil"/>
              <w:tr2bl w:val="nil"/>
            </w:tcBorders>
            <w:noWrap w:val="0"/>
            <w:vAlign w:val="center"/>
          </w:tcPr>
          <w:p w14:paraId="2634A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声源控制</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措施</w:t>
            </w:r>
          </w:p>
        </w:tc>
        <w:tc>
          <w:tcPr>
            <w:tcW w:w="447" w:type="pct"/>
            <w:vMerge w:val="restart"/>
            <w:tcBorders>
              <w:tl2br w:val="nil"/>
              <w:tr2bl w:val="nil"/>
            </w:tcBorders>
            <w:noWrap w:val="0"/>
            <w:vAlign w:val="center"/>
          </w:tcPr>
          <w:p w14:paraId="7FD91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运行时段</w:t>
            </w:r>
          </w:p>
        </w:tc>
      </w:tr>
      <w:tr w14:paraId="248BE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350" w:type="pct"/>
            <w:vMerge w:val="continue"/>
            <w:tcBorders>
              <w:tl2br w:val="nil"/>
              <w:tr2bl w:val="nil"/>
            </w:tcBorders>
            <w:noWrap w:val="0"/>
            <w:vAlign w:val="center"/>
          </w:tcPr>
          <w:p w14:paraId="7B28A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75" w:type="pct"/>
            <w:vMerge w:val="continue"/>
            <w:tcBorders>
              <w:tl2br w:val="nil"/>
              <w:tr2bl w:val="nil"/>
            </w:tcBorders>
            <w:noWrap w:val="0"/>
            <w:vAlign w:val="center"/>
          </w:tcPr>
          <w:p w14:paraId="0F098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93" w:type="pct"/>
            <w:vMerge w:val="continue"/>
            <w:tcBorders>
              <w:tl2br w:val="nil"/>
              <w:tr2bl w:val="nil"/>
            </w:tcBorders>
            <w:noWrap w:val="0"/>
            <w:vAlign w:val="center"/>
          </w:tcPr>
          <w:p w14:paraId="10E87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1" w:type="pct"/>
            <w:tcBorders>
              <w:tl2br w:val="nil"/>
              <w:tr2bl w:val="nil"/>
            </w:tcBorders>
            <w:noWrap w:val="0"/>
            <w:vAlign w:val="center"/>
          </w:tcPr>
          <w:p w14:paraId="089208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X</w:t>
            </w:r>
          </w:p>
        </w:tc>
        <w:tc>
          <w:tcPr>
            <w:tcW w:w="418" w:type="pct"/>
            <w:tcBorders>
              <w:tl2br w:val="nil"/>
              <w:tr2bl w:val="nil"/>
            </w:tcBorders>
            <w:noWrap w:val="0"/>
            <w:vAlign w:val="center"/>
          </w:tcPr>
          <w:p w14:paraId="17623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Y</w:t>
            </w:r>
          </w:p>
        </w:tc>
        <w:tc>
          <w:tcPr>
            <w:tcW w:w="194" w:type="pct"/>
            <w:tcBorders>
              <w:tl2br w:val="nil"/>
              <w:tr2bl w:val="nil"/>
            </w:tcBorders>
            <w:noWrap w:val="0"/>
            <w:vAlign w:val="center"/>
          </w:tcPr>
          <w:p w14:paraId="20E37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Z</w:t>
            </w:r>
          </w:p>
        </w:tc>
        <w:tc>
          <w:tcPr>
            <w:tcW w:w="440" w:type="pct"/>
            <w:vMerge w:val="continue"/>
            <w:tcBorders>
              <w:tl2br w:val="nil"/>
              <w:tr2bl w:val="nil"/>
            </w:tcBorders>
            <w:noWrap w:val="0"/>
            <w:vAlign w:val="center"/>
          </w:tcPr>
          <w:p w14:paraId="72FBB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9" w:type="pct"/>
            <w:vMerge w:val="continue"/>
            <w:tcBorders>
              <w:tl2br w:val="nil"/>
              <w:tr2bl w:val="nil"/>
            </w:tcBorders>
            <w:noWrap w:val="0"/>
            <w:vAlign w:val="center"/>
          </w:tcPr>
          <w:p w14:paraId="5640E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47" w:type="pct"/>
            <w:vMerge w:val="continue"/>
            <w:tcBorders>
              <w:tl2br w:val="nil"/>
              <w:tr2bl w:val="nil"/>
            </w:tcBorders>
            <w:noWrap w:val="0"/>
            <w:vAlign w:val="center"/>
          </w:tcPr>
          <w:p w14:paraId="2FEFC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0BA30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0" w:type="pct"/>
            <w:tcBorders>
              <w:tl2br w:val="nil"/>
              <w:tr2bl w:val="nil"/>
            </w:tcBorders>
            <w:noWrap w:val="0"/>
            <w:vAlign w:val="center"/>
          </w:tcPr>
          <w:p w14:paraId="053F3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575" w:type="pct"/>
            <w:tcBorders>
              <w:tl2br w:val="nil"/>
              <w:tr2bl w:val="nil"/>
            </w:tcBorders>
            <w:shd w:val="clear" w:color="auto" w:fill="auto"/>
            <w:noWrap w:val="0"/>
            <w:vAlign w:val="center"/>
          </w:tcPr>
          <w:p w14:paraId="4D6DEFB0">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主井</w:t>
            </w:r>
            <w:r>
              <w:rPr>
                <w:rFonts w:hint="default" w:ascii="Times New Roman" w:hAnsi="Times New Roman" w:eastAsia="宋体" w:cs="Times New Roman"/>
                <w:color w:val="000000" w:themeColor="text1"/>
                <w:sz w:val="21"/>
                <w:szCs w:val="21"/>
                <w14:textFill>
                  <w14:solidFill>
                    <w14:schemeClr w14:val="tx1"/>
                  </w14:solidFill>
                </w14:textFill>
              </w:rPr>
              <w:t>提升</w:t>
            </w:r>
            <w:r>
              <w:rPr>
                <w:rFonts w:hint="eastAsia" w:ascii="Times New Roman" w:hAnsi="Times New Roman" w:eastAsia="宋体" w:cs="Times New Roman"/>
                <w:color w:val="000000" w:themeColor="text1"/>
                <w:sz w:val="21"/>
                <w:szCs w:val="21"/>
                <w:lang w:eastAsia="zh-CN"/>
                <w14:textFill>
                  <w14:solidFill>
                    <w14:schemeClr w14:val="tx1"/>
                  </w14:solidFill>
                </w14:textFill>
              </w:rPr>
              <w:t>机</w:t>
            </w:r>
          </w:p>
        </w:tc>
        <w:tc>
          <w:tcPr>
            <w:tcW w:w="1093" w:type="pct"/>
            <w:tcBorders>
              <w:tl2br w:val="nil"/>
              <w:tr2bl w:val="nil"/>
            </w:tcBorders>
            <w:noWrap w:val="0"/>
            <w:vAlign w:val="center"/>
          </w:tcPr>
          <w:p w14:paraId="151B6C64">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2JK-3.0/11.5A型</w:t>
            </w:r>
          </w:p>
        </w:tc>
        <w:tc>
          <w:tcPr>
            <w:tcW w:w="371" w:type="pct"/>
            <w:tcBorders>
              <w:tl2br w:val="nil"/>
              <w:tr2bl w:val="nil"/>
            </w:tcBorders>
            <w:noWrap w:val="0"/>
            <w:vAlign w:val="center"/>
          </w:tcPr>
          <w:p w14:paraId="6E3AF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1545</w:t>
            </w:r>
          </w:p>
        </w:tc>
        <w:tc>
          <w:tcPr>
            <w:tcW w:w="418" w:type="pct"/>
            <w:tcBorders>
              <w:tl2br w:val="nil"/>
              <w:tr2bl w:val="nil"/>
            </w:tcBorders>
            <w:noWrap w:val="0"/>
            <w:vAlign w:val="center"/>
          </w:tcPr>
          <w:p w14:paraId="54623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451</w:t>
            </w:r>
          </w:p>
        </w:tc>
        <w:tc>
          <w:tcPr>
            <w:tcW w:w="194" w:type="pct"/>
            <w:tcBorders>
              <w:tl2br w:val="nil"/>
              <w:tr2bl w:val="nil"/>
            </w:tcBorders>
            <w:noWrap w:val="0"/>
            <w:vAlign w:val="center"/>
          </w:tcPr>
          <w:p w14:paraId="74EC8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440" w:type="pct"/>
            <w:tcBorders>
              <w:tl2br w:val="nil"/>
              <w:tr2bl w:val="nil"/>
            </w:tcBorders>
            <w:noWrap w:val="0"/>
            <w:vAlign w:val="center"/>
          </w:tcPr>
          <w:p w14:paraId="687B2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95</w:t>
            </w:r>
          </w:p>
        </w:tc>
        <w:tc>
          <w:tcPr>
            <w:tcW w:w="1109" w:type="pct"/>
            <w:tcBorders>
              <w:tl2br w:val="nil"/>
              <w:tr2bl w:val="nil"/>
            </w:tcBorders>
            <w:noWrap w:val="0"/>
            <w:vAlign w:val="center"/>
          </w:tcPr>
          <w:p w14:paraId="10E3F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选择低噪声设备、减振</w:t>
            </w:r>
          </w:p>
        </w:tc>
        <w:tc>
          <w:tcPr>
            <w:tcW w:w="447" w:type="pct"/>
            <w:tcBorders>
              <w:tl2br w:val="nil"/>
              <w:tr2bl w:val="nil"/>
            </w:tcBorders>
            <w:noWrap w:val="0"/>
            <w:vAlign w:val="center"/>
          </w:tcPr>
          <w:p w14:paraId="150827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全天</w:t>
            </w:r>
          </w:p>
        </w:tc>
      </w:tr>
      <w:tr w14:paraId="366B8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50" w:type="pct"/>
            <w:tcBorders>
              <w:tl2br w:val="nil"/>
              <w:tr2bl w:val="nil"/>
            </w:tcBorders>
            <w:shd w:val="clear" w:color="auto" w:fill="auto"/>
            <w:noWrap w:val="0"/>
            <w:vAlign w:val="center"/>
          </w:tcPr>
          <w:p w14:paraId="192A6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575" w:type="pct"/>
            <w:tcBorders>
              <w:tl2br w:val="nil"/>
              <w:tr2bl w:val="nil"/>
            </w:tcBorders>
            <w:shd w:val="clear" w:color="auto" w:fill="auto"/>
            <w:noWrap w:val="0"/>
            <w:vAlign w:val="center"/>
          </w:tcPr>
          <w:p w14:paraId="3BD7D174">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副井</w:t>
            </w:r>
            <w:r>
              <w:rPr>
                <w:rFonts w:hint="default" w:ascii="Times New Roman" w:hAnsi="Times New Roman" w:eastAsia="宋体" w:cs="Times New Roman"/>
                <w:color w:val="000000" w:themeColor="text1"/>
                <w:sz w:val="21"/>
                <w:szCs w:val="21"/>
                <w14:textFill>
                  <w14:solidFill>
                    <w14:schemeClr w14:val="tx1"/>
                  </w14:solidFill>
                </w14:textFill>
              </w:rPr>
              <w:t>提升</w:t>
            </w:r>
            <w:r>
              <w:rPr>
                <w:rFonts w:hint="eastAsia" w:ascii="Times New Roman" w:hAnsi="Times New Roman" w:eastAsia="宋体" w:cs="Times New Roman"/>
                <w:color w:val="000000" w:themeColor="text1"/>
                <w:sz w:val="21"/>
                <w:szCs w:val="21"/>
                <w:lang w:eastAsia="zh-CN"/>
                <w14:textFill>
                  <w14:solidFill>
                    <w14:schemeClr w14:val="tx1"/>
                  </w14:solidFill>
                </w14:textFill>
              </w:rPr>
              <w:t>机</w:t>
            </w:r>
          </w:p>
        </w:tc>
        <w:tc>
          <w:tcPr>
            <w:tcW w:w="1093" w:type="pct"/>
            <w:tcBorders>
              <w:tl2br w:val="nil"/>
              <w:tr2bl w:val="nil"/>
            </w:tcBorders>
            <w:noWrap w:val="0"/>
            <w:vAlign w:val="center"/>
          </w:tcPr>
          <w:p w14:paraId="230151A8">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2JK-3.0×1.5/11.5A型</w:t>
            </w:r>
          </w:p>
        </w:tc>
        <w:tc>
          <w:tcPr>
            <w:tcW w:w="371" w:type="pct"/>
            <w:tcBorders>
              <w:tl2br w:val="nil"/>
              <w:tr2bl w:val="nil"/>
            </w:tcBorders>
            <w:noWrap w:val="0"/>
            <w:vAlign w:val="center"/>
          </w:tcPr>
          <w:p w14:paraId="3FDF7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1393</w:t>
            </w:r>
          </w:p>
        </w:tc>
        <w:tc>
          <w:tcPr>
            <w:tcW w:w="418" w:type="pct"/>
            <w:tcBorders>
              <w:tl2br w:val="nil"/>
              <w:tr2bl w:val="nil"/>
            </w:tcBorders>
            <w:noWrap w:val="0"/>
            <w:vAlign w:val="center"/>
          </w:tcPr>
          <w:p w14:paraId="7ADF7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418.6</w:t>
            </w:r>
          </w:p>
        </w:tc>
        <w:tc>
          <w:tcPr>
            <w:tcW w:w="194" w:type="pct"/>
            <w:tcBorders>
              <w:tl2br w:val="nil"/>
              <w:tr2bl w:val="nil"/>
            </w:tcBorders>
            <w:noWrap w:val="0"/>
            <w:vAlign w:val="center"/>
          </w:tcPr>
          <w:p w14:paraId="27A3C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440" w:type="pct"/>
            <w:tcBorders>
              <w:tl2br w:val="nil"/>
              <w:tr2bl w:val="nil"/>
            </w:tcBorders>
            <w:noWrap w:val="0"/>
            <w:vAlign w:val="center"/>
          </w:tcPr>
          <w:p w14:paraId="7BEFB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95</w:t>
            </w:r>
          </w:p>
        </w:tc>
        <w:tc>
          <w:tcPr>
            <w:tcW w:w="1109" w:type="pct"/>
            <w:tcBorders>
              <w:tl2br w:val="nil"/>
              <w:tr2bl w:val="nil"/>
            </w:tcBorders>
            <w:noWrap w:val="0"/>
            <w:vAlign w:val="center"/>
          </w:tcPr>
          <w:p w14:paraId="59247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选择低噪声设备、减振</w:t>
            </w:r>
          </w:p>
        </w:tc>
        <w:tc>
          <w:tcPr>
            <w:tcW w:w="447" w:type="pct"/>
            <w:tcBorders>
              <w:tl2br w:val="nil"/>
              <w:tr2bl w:val="nil"/>
            </w:tcBorders>
            <w:noWrap w:val="0"/>
            <w:vAlign w:val="center"/>
          </w:tcPr>
          <w:p w14:paraId="5BB353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全天</w:t>
            </w:r>
          </w:p>
        </w:tc>
      </w:tr>
    </w:tbl>
    <w:p w14:paraId="1D4EC57E">
      <w:pPr>
        <w:tabs>
          <w:tab w:val="left" w:pos="6840"/>
        </w:tabs>
        <w:spacing w:line="480" w:lineRule="exact"/>
        <w:ind w:firstLine="482" w:firstLineChars="200"/>
        <w:jc w:val="cente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表5.2-1</w:t>
      </w:r>
      <w:r>
        <w:rPr>
          <w:rFonts w:hint="eastAsia" w:cs="Times New Roman"/>
          <w:b/>
          <w:bCs/>
          <w:color w:val="000000" w:themeColor="text1"/>
          <w:sz w:val="24"/>
          <w:highlight w:val="none"/>
          <w:lang w:val="en-US" w:eastAsia="zh-CN"/>
          <w14:textFill>
            <w14:solidFill>
              <w14:schemeClr w14:val="tx1"/>
            </w14:solidFill>
          </w14:textFill>
        </w:rPr>
        <w:t>3（b）</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本项目主要噪声源情况一览表</w:t>
      </w:r>
      <w:r>
        <w:rPr>
          <w:rFonts w:hint="eastAsia" w:cs="Times New Roman"/>
          <w:b/>
          <w:bCs/>
          <w:color w:val="000000" w:themeColor="text1"/>
          <w:sz w:val="24"/>
          <w:highlight w:val="none"/>
          <w:lang w:val="zh-CN"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室内</w:t>
      </w:r>
      <w:r>
        <w:rPr>
          <w:rFonts w:hint="eastAsia" w:cs="Times New Roman"/>
          <w:b/>
          <w:bCs/>
          <w:color w:val="000000" w:themeColor="text1"/>
          <w:sz w:val="24"/>
          <w:highlight w:val="none"/>
          <w:lang w:val="zh-CN" w:eastAsia="zh-CN"/>
          <w14:textFill>
            <w14:solidFill>
              <w14:schemeClr w14:val="tx1"/>
            </w14:solidFill>
          </w14:textFill>
        </w:rPr>
        <w:t>）</w:t>
      </w:r>
    </w:p>
    <w:tbl>
      <w:tblPr>
        <w:tblStyle w:val="7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857"/>
        <w:gridCol w:w="972"/>
        <w:gridCol w:w="900"/>
        <w:gridCol w:w="1546"/>
        <w:gridCol w:w="686"/>
        <w:gridCol w:w="720"/>
        <w:gridCol w:w="586"/>
        <w:gridCol w:w="959"/>
        <w:gridCol w:w="840"/>
        <w:gridCol w:w="1010"/>
        <w:gridCol w:w="1049"/>
        <w:gridCol w:w="630"/>
        <w:gridCol w:w="942"/>
        <w:gridCol w:w="1032"/>
      </w:tblGrid>
      <w:tr w14:paraId="02EBB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55" w:hRule="atLeast"/>
          <w:jc w:val="center"/>
        </w:trPr>
        <w:tc>
          <w:tcPr>
            <w:tcW w:w="153" w:type="pct"/>
            <w:vMerge w:val="restart"/>
            <w:tcBorders>
              <w:tl2br w:val="nil"/>
              <w:tr2bl w:val="nil"/>
            </w:tcBorders>
            <w:noWrap w:val="0"/>
            <w:vAlign w:val="center"/>
          </w:tcPr>
          <w:p w14:paraId="768E5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655" w:type="pct"/>
            <w:vMerge w:val="restart"/>
            <w:tcBorders>
              <w:tl2br w:val="nil"/>
              <w:tr2bl w:val="nil"/>
            </w:tcBorders>
            <w:noWrap w:val="0"/>
            <w:vAlign w:val="center"/>
          </w:tcPr>
          <w:p w14:paraId="23CDF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车间或工段</w:t>
            </w:r>
          </w:p>
        </w:tc>
        <w:tc>
          <w:tcPr>
            <w:tcW w:w="343" w:type="pct"/>
            <w:vMerge w:val="restart"/>
            <w:tcBorders>
              <w:tl2br w:val="nil"/>
              <w:tr2bl w:val="nil"/>
            </w:tcBorders>
            <w:noWrap w:val="0"/>
            <w:vAlign w:val="center"/>
          </w:tcPr>
          <w:p w14:paraId="12583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设备名称</w:t>
            </w:r>
          </w:p>
        </w:tc>
        <w:tc>
          <w:tcPr>
            <w:tcW w:w="317" w:type="pct"/>
            <w:vMerge w:val="restart"/>
            <w:tcBorders>
              <w:tl2br w:val="nil"/>
              <w:tr2bl w:val="nil"/>
            </w:tcBorders>
            <w:noWrap w:val="0"/>
            <w:vAlign w:val="center"/>
          </w:tcPr>
          <w:p w14:paraId="0007E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声压级</w:t>
            </w:r>
          </w:p>
          <w:p w14:paraId="47779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dB（A）</w:t>
            </w:r>
          </w:p>
        </w:tc>
        <w:tc>
          <w:tcPr>
            <w:tcW w:w="545" w:type="pct"/>
            <w:vMerge w:val="restart"/>
            <w:tcBorders>
              <w:tl2br w:val="nil"/>
              <w:tr2bl w:val="nil"/>
            </w:tcBorders>
            <w:noWrap w:val="0"/>
            <w:vAlign w:val="center"/>
          </w:tcPr>
          <w:p w14:paraId="1B4FE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声源控制</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措施</w:t>
            </w:r>
          </w:p>
        </w:tc>
        <w:tc>
          <w:tcPr>
            <w:tcW w:w="703" w:type="pct"/>
            <w:gridSpan w:val="3"/>
            <w:tcBorders>
              <w:tl2br w:val="nil"/>
              <w:tr2bl w:val="nil"/>
            </w:tcBorders>
            <w:noWrap w:val="0"/>
            <w:vAlign w:val="center"/>
          </w:tcPr>
          <w:p w14:paraId="15937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空间相对位置（m）</w:t>
            </w:r>
          </w:p>
        </w:tc>
        <w:tc>
          <w:tcPr>
            <w:tcW w:w="338" w:type="pct"/>
            <w:vMerge w:val="restart"/>
            <w:tcBorders>
              <w:tl2br w:val="nil"/>
              <w:tr2bl w:val="nil"/>
            </w:tcBorders>
            <w:noWrap w:val="0"/>
            <w:vAlign w:val="center"/>
          </w:tcPr>
          <w:p w14:paraId="51179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声压级</w:t>
            </w:r>
          </w:p>
          <w:p w14:paraId="402D4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dB（A）</w:t>
            </w:r>
          </w:p>
        </w:tc>
        <w:tc>
          <w:tcPr>
            <w:tcW w:w="296" w:type="pct"/>
            <w:vMerge w:val="restart"/>
            <w:tcBorders>
              <w:tl2br w:val="nil"/>
              <w:tr2bl w:val="nil"/>
            </w:tcBorders>
            <w:noWrap w:val="0"/>
            <w:vAlign w:val="center"/>
          </w:tcPr>
          <w:p w14:paraId="600FA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室内边界声级</w:t>
            </w:r>
          </w:p>
          <w:p w14:paraId="09D67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zh-CN"/>
                <w14:textFill>
                  <w14:solidFill>
                    <w14:schemeClr w14:val="tx1"/>
                  </w14:solidFill>
                </w14:textFill>
              </w:rPr>
              <w:t>dB(A)</w:t>
            </w:r>
          </w:p>
        </w:tc>
        <w:tc>
          <w:tcPr>
            <w:tcW w:w="356" w:type="pct"/>
            <w:vMerge w:val="restart"/>
            <w:tcBorders>
              <w:tl2br w:val="nil"/>
              <w:tr2bl w:val="nil"/>
            </w:tcBorders>
            <w:noWrap w:val="0"/>
            <w:vAlign w:val="center"/>
          </w:tcPr>
          <w:p w14:paraId="5CD40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距室内边界距离</w:t>
            </w:r>
          </w:p>
          <w:p w14:paraId="6B442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m</w:t>
            </w:r>
          </w:p>
        </w:tc>
        <w:tc>
          <w:tcPr>
            <w:tcW w:w="370" w:type="pct"/>
            <w:vMerge w:val="restart"/>
            <w:tcBorders>
              <w:tl2br w:val="nil"/>
              <w:tr2bl w:val="nil"/>
            </w:tcBorders>
            <w:noWrap w:val="0"/>
            <w:vAlign w:val="center"/>
          </w:tcPr>
          <w:p w14:paraId="249DA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建筑物插入损失</w:t>
            </w:r>
          </w:p>
          <w:p w14:paraId="3F8B0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zh-CN"/>
                <w14:textFill>
                  <w14:solidFill>
                    <w14:schemeClr w14:val="tx1"/>
                  </w14:solidFill>
                </w14:textFill>
              </w:rPr>
              <w:t>dB(A)</w:t>
            </w:r>
          </w:p>
        </w:tc>
        <w:tc>
          <w:tcPr>
            <w:tcW w:w="222" w:type="pct"/>
            <w:vMerge w:val="restart"/>
            <w:tcBorders>
              <w:tl2br w:val="nil"/>
              <w:tr2bl w:val="nil"/>
            </w:tcBorders>
            <w:noWrap w:val="0"/>
            <w:vAlign w:val="center"/>
          </w:tcPr>
          <w:p w14:paraId="73E043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排放规律</w:t>
            </w:r>
          </w:p>
        </w:tc>
        <w:tc>
          <w:tcPr>
            <w:tcW w:w="696" w:type="pct"/>
            <w:gridSpan w:val="2"/>
            <w:tcBorders>
              <w:tl2br w:val="nil"/>
              <w:tr2bl w:val="nil"/>
            </w:tcBorders>
            <w:noWrap w:val="0"/>
            <w:vAlign w:val="center"/>
          </w:tcPr>
          <w:p w14:paraId="1DF4F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建筑物外噪声</w:t>
            </w:r>
          </w:p>
        </w:tc>
      </w:tr>
      <w:tr w14:paraId="094DA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53" w:type="pct"/>
            <w:vMerge w:val="continue"/>
            <w:tcBorders>
              <w:tl2br w:val="nil"/>
              <w:tr2bl w:val="nil"/>
            </w:tcBorders>
            <w:noWrap w:val="0"/>
            <w:vAlign w:val="center"/>
          </w:tcPr>
          <w:p w14:paraId="38C75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5" w:type="pct"/>
            <w:vMerge w:val="continue"/>
            <w:tcBorders>
              <w:tl2br w:val="nil"/>
              <w:tr2bl w:val="nil"/>
            </w:tcBorders>
            <w:noWrap w:val="0"/>
            <w:vAlign w:val="center"/>
          </w:tcPr>
          <w:p w14:paraId="4CC891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3" w:type="pct"/>
            <w:vMerge w:val="continue"/>
            <w:tcBorders>
              <w:tl2br w:val="nil"/>
              <w:tr2bl w:val="nil"/>
            </w:tcBorders>
            <w:noWrap w:val="0"/>
            <w:vAlign w:val="center"/>
          </w:tcPr>
          <w:p w14:paraId="50828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7" w:type="pct"/>
            <w:vMerge w:val="continue"/>
            <w:tcBorders>
              <w:tl2br w:val="nil"/>
              <w:tr2bl w:val="nil"/>
            </w:tcBorders>
            <w:noWrap w:val="0"/>
            <w:vAlign w:val="center"/>
          </w:tcPr>
          <w:p w14:paraId="69029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5" w:type="pct"/>
            <w:vMerge w:val="continue"/>
            <w:tcBorders>
              <w:tl2br w:val="nil"/>
              <w:tr2bl w:val="nil"/>
            </w:tcBorders>
            <w:noWrap w:val="0"/>
            <w:vAlign w:val="center"/>
          </w:tcPr>
          <w:p w14:paraId="3DBD4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2" w:type="pct"/>
            <w:tcBorders>
              <w:tl2br w:val="nil"/>
              <w:tr2bl w:val="nil"/>
            </w:tcBorders>
            <w:noWrap w:val="0"/>
            <w:vAlign w:val="center"/>
          </w:tcPr>
          <w:p w14:paraId="30222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X</w:t>
            </w:r>
          </w:p>
        </w:tc>
        <w:tc>
          <w:tcPr>
            <w:tcW w:w="254" w:type="pct"/>
            <w:tcBorders>
              <w:tl2br w:val="nil"/>
              <w:tr2bl w:val="nil"/>
            </w:tcBorders>
            <w:noWrap w:val="0"/>
            <w:vAlign w:val="center"/>
          </w:tcPr>
          <w:p w14:paraId="63CF38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Y</w:t>
            </w:r>
          </w:p>
        </w:tc>
        <w:tc>
          <w:tcPr>
            <w:tcW w:w="206" w:type="pct"/>
            <w:tcBorders>
              <w:tl2br w:val="nil"/>
              <w:tr2bl w:val="nil"/>
            </w:tcBorders>
            <w:noWrap w:val="0"/>
            <w:vAlign w:val="center"/>
          </w:tcPr>
          <w:p w14:paraId="364C0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Z</w:t>
            </w:r>
          </w:p>
        </w:tc>
        <w:tc>
          <w:tcPr>
            <w:tcW w:w="338" w:type="pct"/>
            <w:vMerge w:val="continue"/>
            <w:tcBorders>
              <w:tl2br w:val="nil"/>
              <w:tr2bl w:val="nil"/>
            </w:tcBorders>
            <w:noWrap w:val="0"/>
            <w:vAlign w:val="center"/>
          </w:tcPr>
          <w:p w14:paraId="6E750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96" w:type="pct"/>
            <w:vMerge w:val="continue"/>
            <w:tcBorders>
              <w:tl2br w:val="nil"/>
              <w:tr2bl w:val="nil"/>
            </w:tcBorders>
            <w:noWrap w:val="0"/>
            <w:vAlign w:val="center"/>
          </w:tcPr>
          <w:p w14:paraId="27AAD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6" w:type="pct"/>
            <w:vMerge w:val="continue"/>
            <w:tcBorders>
              <w:tl2br w:val="nil"/>
              <w:tr2bl w:val="nil"/>
            </w:tcBorders>
            <w:noWrap w:val="0"/>
            <w:vAlign w:val="center"/>
          </w:tcPr>
          <w:p w14:paraId="560A8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70" w:type="pct"/>
            <w:vMerge w:val="continue"/>
            <w:tcBorders>
              <w:tl2br w:val="nil"/>
              <w:tr2bl w:val="nil"/>
            </w:tcBorders>
            <w:noWrap w:val="0"/>
            <w:vAlign w:val="center"/>
          </w:tcPr>
          <w:p w14:paraId="7A509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22" w:type="pct"/>
            <w:vMerge w:val="continue"/>
            <w:tcBorders>
              <w:tl2br w:val="nil"/>
              <w:tr2bl w:val="nil"/>
            </w:tcBorders>
            <w:noWrap w:val="0"/>
            <w:vAlign w:val="center"/>
          </w:tcPr>
          <w:p w14:paraId="5016C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32" w:type="pct"/>
            <w:tcBorders>
              <w:tl2br w:val="nil"/>
              <w:tr2bl w:val="nil"/>
            </w:tcBorders>
            <w:noWrap w:val="0"/>
            <w:vAlign w:val="center"/>
          </w:tcPr>
          <w:p w14:paraId="02321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声压级</w:t>
            </w:r>
          </w:p>
          <w:p w14:paraId="57020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zh-CN"/>
                <w14:textFill>
                  <w14:solidFill>
                    <w14:schemeClr w14:val="tx1"/>
                  </w14:solidFill>
                </w14:textFill>
              </w:rPr>
              <w:t>dB(A)</w:t>
            </w:r>
          </w:p>
        </w:tc>
        <w:tc>
          <w:tcPr>
            <w:tcW w:w="364" w:type="pct"/>
            <w:tcBorders>
              <w:tl2br w:val="nil"/>
              <w:tr2bl w:val="nil"/>
            </w:tcBorders>
            <w:noWrap w:val="0"/>
            <w:vAlign w:val="center"/>
          </w:tcPr>
          <w:p w14:paraId="22064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建筑物外距离</w:t>
            </w:r>
          </w:p>
        </w:tc>
      </w:tr>
      <w:tr w14:paraId="41FE1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 w:type="pct"/>
            <w:tcBorders>
              <w:tl2br w:val="nil"/>
              <w:tr2bl w:val="nil"/>
            </w:tcBorders>
            <w:noWrap w:val="0"/>
            <w:vAlign w:val="center"/>
          </w:tcPr>
          <w:p w14:paraId="092A5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655" w:type="pct"/>
            <w:tcBorders>
              <w:tl2br w:val="nil"/>
              <w:tr2bl w:val="nil"/>
            </w:tcBorders>
            <w:shd w:val="clear" w:color="auto" w:fill="auto"/>
            <w:noWrap w:val="0"/>
            <w:vAlign w:val="center"/>
          </w:tcPr>
          <w:p w14:paraId="1261CD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西一风井通风机房</w:t>
            </w:r>
          </w:p>
        </w:tc>
        <w:tc>
          <w:tcPr>
            <w:tcW w:w="343" w:type="pct"/>
            <w:tcBorders>
              <w:tl2br w:val="nil"/>
              <w:tr2bl w:val="nil"/>
            </w:tcBorders>
            <w:shd w:val="clear" w:color="auto" w:fill="auto"/>
            <w:noWrap w:val="0"/>
            <w:vAlign w:val="center"/>
          </w:tcPr>
          <w:p w14:paraId="3316E5D5">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通风机</w:t>
            </w:r>
          </w:p>
        </w:tc>
        <w:tc>
          <w:tcPr>
            <w:tcW w:w="317" w:type="pct"/>
            <w:tcBorders>
              <w:tl2br w:val="nil"/>
              <w:tr2bl w:val="nil"/>
            </w:tcBorders>
            <w:shd w:val="clear" w:color="auto" w:fill="auto"/>
            <w:noWrap w:val="0"/>
            <w:vAlign w:val="center"/>
          </w:tcPr>
          <w:p w14:paraId="3B10B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545" w:type="pct"/>
            <w:tcBorders>
              <w:tl2br w:val="nil"/>
              <w:tr2bl w:val="nil"/>
            </w:tcBorders>
            <w:shd w:val="clear" w:color="auto" w:fill="auto"/>
            <w:noWrap w:val="0"/>
            <w:vAlign w:val="center"/>
          </w:tcPr>
          <w:p w14:paraId="17192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建筑隔声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、减振</w:t>
            </w:r>
          </w:p>
        </w:tc>
        <w:tc>
          <w:tcPr>
            <w:tcW w:w="242" w:type="pct"/>
            <w:tcBorders>
              <w:tl2br w:val="nil"/>
              <w:tr2bl w:val="nil"/>
            </w:tcBorders>
            <w:shd w:val="clear" w:color="auto" w:fill="auto"/>
            <w:noWrap w:val="0"/>
            <w:vAlign w:val="center"/>
          </w:tcPr>
          <w:p w14:paraId="539FB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1007.5</w:t>
            </w:r>
          </w:p>
        </w:tc>
        <w:tc>
          <w:tcPr>
            <w:tcW w:w="254" w:type="pct"/>
            <w:tcBorders>
              <w:tl2br w:val="nil"/>
              <w:tr2bl w:val="nil"/>
            </w:tcBorders>
            <w:shd w:val="clear" w:color="auto" w:fill="auto"/>
            <w:noWrap w:val="0"/>
            <w:vAlign w:val="center"/>
          </w:tcPr>
          <w:p w14:paraId="083C7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418.4</w:t>
            </w:r>
          </w:p>
        </w:tc>
        <w:tc>
          <w:tcPr>
            <w:tcW w:w="206" w:type="pct"/>
            <w:tcBorders>
              <w:tl2br w:val="nil"/>
              <w:tr2bl w:val="nil"/>
            </w:tcBorders>
            <w:shd w:val="clear" w:color="auto" w:fill="auto"/>
            <w:noWrap w:val="0"/>
            <w:vAlign w:val="center"/>
          </w:tcPr>
          <w:p w14:paraId="4C785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38" w:type="pct"/>
            <w:tcBorders>
              <w:tl2br w:val="nil"/>
              <w:tr2bl w:val="nil"/>
            </w:tcBorders>
            <w:shd w:val="clear" w:color="auto" w:fill="auto"/>
            <w:noWrap w:val="0"/>
            <w:vAlign w:val="center"/>
          </w:tcPr>
          <w:p w14:paraId="2A043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296" w:type="pct"/>
            <w:tcBorders>
              <w:tl2br w:val="nil"/>
              <w:tr2bl w:val="nil"/>
            </w:tcBorders>
            <w:shd w:val="clear" w:color="auto" w:fill="auto"/>
            <w:noWrap w:val="0"/>
            <w:vAlign w:val="center"/>
          </w:tcPr>
          <w:p w14:paraId="301BA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95</w:t>
            </w:r>
          </w:p>
        </w:tc>
        <w:tc>
          <w:tcPr>
            <w:tcW w:w="356" w:type="pct"/>
            <w:tcBorders>
              <w:tl2br w:val="nil"/>
              <w:tr2bl w:val="nil"/>
            </w:tcBorders>
            <w:shd w:val="clear" w:color="auto" w:fill="auto"/>
            <w:noWrap w:val="0"/>
            <w:vAlign w:val="center"/>
          </w:tcPr>
          <w:p w14:paraId="4739F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370" w:type="pct"/>
            <w:tcBorders>
              <w:tl2br w:val="nil"/>
              <w:tr2bl w:val="nil"/>
            </w:tcBorders>
            <w:shd w:val="clear" w:color="auto" w:fill="auto"/>
            <w:noWrap w:val="0"/>
            <w:vAlign w:val="center"/>
          </w:tcPr>
          <w:p w14:paraId="07A1C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22" w:type="pct"/>
            <w:tcBorders>
              <w:tl2br w:val="nil"/>
              <w:tr2bl w:val="nil"/>
            </w:tcBorders>
            <w:shd w:val="clear" w:color="auto" w:fill="auto"/>
            <w:noWrap w:val="0"/>
            <w:vAlign w:val="center"/>
          </w:tcPr>
          <w:p w14:paraId="18E44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c>
          <w:tcPr>
            <w:tcW w:w="332" w:type="pct"/>
            <w:tcBorders>
              <w:tl2br w:val="nil"/>
              <w:tr2bl w:val="nil"/>
            </w:tcBorders>
            <w:noWrap w:val="0"/>
            <w:vAlign w:val="center"/>
          </w:tcPr>
          <w:p w14:paraId="4565B0B4">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75</w:t>
            </w:r>
          </w:p>
        </w:tc>
        <w:tc>
          <w:tcPr>
            <w:tcW w:w="364" w:type="pct"/>
            <w:tcBorders>
              <w:tl2br w:val="nil"/>
              <w:tr2bl w:val="nil"/>
            </w:tcBorders>
            <w:noWrap w:val="0"/>
            <w:vAlign w:val="center"/>
          </w:tcPr>
          <w:p w14:paraId="71C93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14:paraId="34381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 w:type="pct"/>
            <w:tcBorders>
              <w:tl2br w:val="nil"/>
              <w:tr2bl w:val="nil"/>
            </w:tcBorders>
            <w:shd w:val="clear" w:color="auto" w:fill="auto"/>
            <w:noWrap w:val="0"/>
            <w:vAlign w:val="center"/>
          </w:tcPr>
          <w:p w14:paraId="502AB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655" w:type="pct"/>
            <w:tcBorders>
              <w:tl2br w:val="nil"/>
              <w:tr2bl w:val="nil"/>
            </w:tcBorders>
            <w:shd w:val="clear" w:color="auto" w:fill="auto"/>
            <w:noWrap w:val="0"/>
            <w:vAlign w:val="center"/>
          </w:tcPr>
          <w:p w14:paraId="0EF6D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西二风井通风机房</w:t>
            </w:r>
          </w:p>
        </w:tc>
        <w:tc>
          <w:tcPr>
            <w:tcW w:w="343" w:type="pct"/>
            <w:tcBorders>
              <w:tl2br w:val="nil"/>
              <w:tr2bl w:val="nil"/>
            </w:tcBorders>
            <w:shd w:val="clear" w:color="auto" w:fill="auto"/>
            <w:noWrap w:val="0"/>
            <w:vAlign w:val="center"/>
          </w:tcPr>
          <w:p w14:paraId="579D7ECC">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通风机</w:t>
            </w:r>
          </w:p>
        </w:tc>
        <w:tc>
          <w:tcPr>
            <w:tcW w:w="317" w:type="pct"/>
            <w:tcBorders>
              <w:tl2br w:val="nil"/>
              <w:tr2bl w:val="nil"/>
            </w:tcBorders>
            <w:shd w:val="clear" w:color="auto" w:fill="auto"/>
            <w:noWrap w:val="0"/>
            <w:vAlign w:val="center"/>
          </w:tcPr>
          <w:p w14:paraId="3C1AE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545" w:type="pct"/>
            <w:tcBorders>
              <w:tl2br w:val="nil"/>
              <w:tr2bl w:val="nil"/>
            </w:tcBorders>
            <w:shd w:val="clear" w:color="auto" w:fill="auto"/>
            <w:noWrap w:val="0"/>
            <w:vAlign w:val="center"/>
          </w:tcPr>
          <w:p w14:paraId="31AB7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建筑隔声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、减振</w:t>
            </w:r>
          </w:p>
        </w:tc>
        <w:tc>
          <w:tcPr>
            <w:tcW w:w="242" w:type="pct"/>
            <w:tcBorders>
              <w:tl2br w:val="nil"/>
              <w:tr2bl w:val="nil"/>
            </w:tcBorders>
            <w:shd w:val="clear" w:color="auto" w:fill="auto"/>
            <w:noWrap w:val="0"/>
            <w:vAlign w:val="center"/>
          </w:tcPr>
          <w:p w14:paraId="6D11B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181</w:t>
            </w:r>
          </w:p>
        </w:tc>
        <w:tc>
          <w:tcPr>
            <w:tcW w:w="254" w:type="pct"/>
            <w:tcBorders>
              <w:tl2br w:val="nil"/>
              <w:tr2bl w:val="nil"/>
            </w:tcBorders>
            <w:shd w:val="clear" w:color="auto" w:fill="auto"/>
            <w:noWrap w:val="0"/>
            <w:vAlign w:val="center"/>
          </w:tcPr>
          <w:p w14:paraId="6DE72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p>
        </w:tc>
        <w:tc>
          <w:tcPr>
            <w:tcW w:w="206" w:type="pct"/>
            <w:tcBorders>
              <w:tl2br w:val="nil"/>
              <w:tr2bl w:val="nil"/>
            </w:tcBorders>
            <w:shd w:val="clear" w:color="auto" w:fill="auto"/>
            <w:noWrap w:val="0"/>
            <w:vAlign w:val="center"/>
          </w:tcPr>
          <w:p w14:paraId="2049D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38" w:type="pct"/>
            <w:tcBorders>
              <w:tl2br w:val="nil"/>
              <w:tr2bl w:val="nil"/>
            </w:tcBorders>
            <w:shd w:val="clear" w:color="auto" w:fill="auto"/>
            <w:noWrap w:val="0"/>
            <w:vAlign w:val="center"/>
          </w:tcPr>
          <w:p w14:paraId="11052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296" w:type="pct"/>
            <w:tcBorders>
              <w:tl2br w:val="nil"/>
              <w:tr2bl w:val="nil"/>
            </w:tcBorders>
            <w:shd w:val="clear" w:color="auto" w:fill="auto"/>
            <w:noWrap w:val="0"/>
            <w:vAlign w:val="center"/>
          </w:tcPr>
          <w:p w14:paraId="22A10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95</w:t>
            </w:r>
          </w:p>
        </w:tc>
        <w:tc>
          <w:tcPr>
            <w:tcW w:w="356" w:type="pct"/>
            <w:tcBorders>
              <w:tl2br w:val="nil"/>
              <w:tr2bl w:val="nil"/>
            </w:tcBorders>
            <w:shd w:val="clear" w:color="auto" w:fill="auto"/>
            <w:noWrap w:val="0"/>
            <w:vAlign w:val="center"/>
          </w:tcPr>
          <w:p w14:paraId="6690A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370" w:type="pct"/>
            <w:tcBorders>
              <w:tl2br w:val="nil"/>
              <w:tr2bl w:val="nil"/>
            </w:tcBorders>
            <w:shd w:val="clear" w:color="auto" w:fill="auto"/>
            <w:noWrap w:val="0"/>
            <w:vAlign w:val="center"/>
          </w:tcPr>
          <w:p w14:paraId="7E5E57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20</w:t>
            </w:r>
          </w:p>
        </w:tc>
        <w:tc>
          <w:tcPr>
            <w:tcW w:w="222" w:type="pct"/>
            <w:tcBorders>
              <w:tl2br w:val="nil"/>
              <w:tr2bl w:val="nil"/>
            </w:tcBorders>
            <w:shd w:val="clear" w:color="auto" w:fill="auto"/>
            <w:noWrap w:val="0"/>
            <w:vAlign w:val="center"/>
          </w:tcPr>
          <w:p w14:paraId="68F5F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c>
          <w:tcPr>
            <w:tcW w:w="332" w:type="pct"/>
            <w:tcBorders>
              <w:tl2br w:val="nil"/>
              <w:tr2bl w:val="nil"/>
            </w:tcBorders>
            <w:noWrap w:val="0"/>
            <w:vAlign w:val="center"/>
          </w:tcPr>
          <w:p w14:paraId="7D0377B3">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75</w:t>
            </w:r>
          </w:p>
        </w:tc>
        <w:tc>
          <w:tcPr>
            <w:tcW w:w="364" w:type="pct"/>
            <w:tcBorders>
              <w:tl2br w:val="nil"/>
              <w:tr2bl w:val="nil"/>
            </w:tcBorders>
            <w:noWrap w:val="0"/>
            <w:vAlign w:val="center"/>
          </w:tcPr>
          <w:p w14:paraId="79F3A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14:paraId="5F7C8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 w:type="pct"/>
            <w:tcBorders>
              <w:tl2br w:val="nil"/>
              <w:tr2bl w:val="nil"/>
            </w:tcBorders>
            <w:shd w:val="clear" w:color="auto" w:fill="auto"/>
            <w:noWrap w:val="0"/>
            <w:vAlign w:val="center"/>
          </w:tcPr>
          <w:p w14:paraId="000FA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655" w:type="pct"/>
            <w:tcBorders>
              <w:tl2br w:val="nil"/>
              <w:tr2bl w:val="nil"/>
            </w:tcBorders>
            <w:shd w:val="clear" w:color="auto" w:fill="auto"/>
            <w:noWrap w:val="0"/>
            <w:vAlign w:val="center"/>
          </w:tcPr>
          <w:p w14:paraId="05D6D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箕斗井卷扬机房</w:t>
            </w:r>
          </w:p>
        </w:tc>
        <w:tc>
          <w:tcPr>
            <w:tcW w:w="343" w:type="pct"/>
            <w:tcBorders>
              <w:tl2br w:val="nil"/>
              <w:tr2bl w:val="nil"/>
            </w:tcBorders>
            <w:shd w:val="clear" w:color="auto" w:fill="auto"/>
            <w:noWrap w:val="0"/>
            <w:vAlign w:val="center"/>
          </w:tcPr>
          <w:p w14:paraId="3AB9D8F5">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卷扬机</w:t>
            </w:r>
          </w:p>
        </w:tc>
        <w:tc>
          <w:tcPr>
            <w:tcW w:w="317" w:type="pct"/>
            <w:tcBorders>
              <w:tl2br w:val="nil"/>
              <w:tr2bl w:val="nil"/>
            </w:tcBorders>
            <w:shd w:val="clear" w:color="auto" w:fill="auto"/>
            <w:noWrap w:val="0"/>
            <w:vAlign w:val="center"/>
          </w:tcPr>
          <w:p w14:paraId="122F3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545" w:type="pct"/>
            <w:tcBorders>
              <w:tl2br w:val="nil"/>
              <w:tr2bl w:val="nil"/>
            </w:tcBorders>
            <w:shd w:val="clear" w:color="auto" w:fill="auto"/>
            <w:noWrap w:val="0"/>
            <w:vAlign w:val="center"/>
          </w:tcPr>
          <w:p w14:paraId="23C17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建筑隔声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、减振</w:t>
            </w:r>
          </w:p>
        </w:tc>
        <w:tc>
          <w:tcPr>
            <w:tcW w:w="242" w:type="pct"/>
            <w:tcBorders>
              <w:tl2br w:val="nil"/>
              <w:tr2bl w:val="nil"/>
            </w:tcBorders>
            <w:shd w:val="clear" w:color="auto" w:fill="auto"/>
            <w:noWrap w:val="0"/>
            <w:vAlign w:val="center"/>
          </w:tcPr>
          <w:p w14:paraId="68BB83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1533</w:t>
            </w:r>
          </w:p>
        </w:tc>
        <w:tc>
          <w:tcPr>
            <w:tcW w:w="254" w:type="pct"/>
            <w:tcBorders>
              <w:tl2br w:val="nil"/>
              <w:tr2bl w:val="nil"/>
            </w:tcBorders>
            <w:shd w:val="clear" w:color="auto" w:fill="auto"/>
            <w:noWrap w:val="0"/>
            <w:vAlign w:val="center"/>
          </w:tcPr>
          <w:p w14:paraId="6314C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495</w:t>
            </w:r>
          </w:p>
        </w:tc>
        <w:tc>
          <w:tcPr>
            <w:tcW w:w="206" w:type="pct"/>
            <w:tcBorders>
              <w:tl2br w:val="nil"/>
              <w:tr2bl w:val="nil"/>
            </w:tcBorders>
            <w:shd w:val="clear" w:color="auto" w:fill="auto"/>
            <w:noWrap w:val="0"/>
            <w:vAlign w:val="center"/>
          </w:tcPr>
          <w:p w14:paraId="5CAB9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38" w:type="pct"/>
            <w:tcBorders>
              <w:tl2br w:val="nil"/>
              <w:tr2bl w:val="nil"/>
            </w:tcBorders>
            <w:shd w:val="clear" w:color="auto" w:fill="auto"/>
            <w:noWrap w:val="0"/>
            <w:vAlign w:val="center"/>
          </w:tcPr>
          <w:p w14:paraId="74936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296" w:type="pct"/>
            <w:tcBorders>
              <w:tl2br w:val="nil"/>
              <w:tr2bl w:val="nil"/>
            </w:tcBorders>
            <w:shd w:val="clear" w:color="auto" w:fill="auto"/>
            <w:noWrap w:val="0"/>
            <w:vAlign w:val="center"/>
          </w:tcPr>
          <w:p w14:paraId="276C8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95</w:t>
            </w:r>
          </w:p>
        </w:tc>
        <w:tc>
          <w:tcPr>
            <w:tcW w:w="356" w:type="pct"/>
            <w:tcBorders>
              <w:tl2br w:val="nil"/>
              <w:tr2bl w:val="nil"/>
            </w:tcBorders>
            <w:shd w:val="clear" w:color="auto" w:fill="auto"/>
            <w:noWrap w:val="0"/>
            <w:vAlign w:val="center"/>
          </w:tcPr>
          <w:p w14:paraId="6C29D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370" w:type="pct"/>
            <w:tcBorders>
              <w:tl2br w:val="nil"/>
              <w:tr2bl w:val="nil"/>
            </w:tcBorders>
            <w:shd w:val="clear" w:color="auto" w:fill="auto"/>
            <w:noWrap w:val="0"/>
            <w:vAlign w:val="center"/>
          </w:tcPr>
          <w:p w14:paraId="2E47F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20</w:t>
            </w:r>
          </w:p>
        </w:tc>
        <w:tc>
          <w:tcPr>
            <w:tcW w:w="222" w:type="pct"/>
            <w:tcBorders>
              <w:tl2br w:val="nil"/>
              <w:tr2bl w:val="nil"/>
            </w:tcBorders>
            <w:shd w:val="clear" w:color="auto" w:fill="auto"/>
            <w:noWrap w:val="0"/>
            <w:vAlign w:val="center"/>
          </w:tcPr>
          <w:p w14:paraId="4A23E2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c>
          <w:tcPr>
            <w:tcW w:w="332" w:type="pct"/>
            <w:tcBorders>
              <w:tl2br w:val="nil"/>
              <w:tr2bl w:val="nil"/>
            </w:tcBorders>
            <w:noWrap w:val="0"/>
            <w:vAlign w:val="center"/>
          </w:tcPr>
          <w:p w14:paraId="5E204F9E">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75</w:t>
            </w:r>
          </w:p>
        </w:tc>
        <w:tc>
          <w:tcPr>
            <w:tcW w:w="364" w:type="pct"/>
            <w:tcBorders>
              <w:tl2br w:val="nil"/>
              <w:tr2bl w:val="nil"/>
            </w:tcBorders>
            <w:noWrap w:val="0"/>
            <w:vAlign w:val="center"/>
          </w:tcPr>
          <w:p w14:paraId="40BE6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14:paraId="33CE3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 w:type="pct"/>
            <w:tcBorders>
              <w:tl2br w:val="nil"/>
              <w:tr2bl w:val="nil"/>
            </w:tcBorders>
            <w:shd w:val="clear" w:color="auto" w:fill="auto"/>
            <w:noWrap w:val="0"/>
            <w:vAlign w:val="center"/>
          </w:tcPr>
          <w:p w14:paraId="19B6C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655" w:type="pct"/>
            <w:tcBorders>
              <w:tl2br w:val="nil"/>
              <w:tr2bl w:val="nil"/>
            </w:tcBorders>
            <w:shd w:val="clear" w:color="auto" w:fill="auto"/>
            <w:noWrap w:val="0"/>
            <w:vAlign w:val="center"/>
          </w:tcPr>
          <w:p w14:paraId="3429F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罐笼井卷扬机房</w:t>
            </w:r>
          </w:p>
        </w:tc>
        <w:tc>
          <w:tcPr>
            <w:tcW w:w="343" w:type="pct"/>
            <w:tcBorders>
              <w:tl2br w:val="nil"/>
              <w:tr2bl w:val="nil"/>
            </w:tcBorders>
            <w:shd w:val="clear" w:color="auto" w:fill="auto"/>
            <w:noWrap w:val="0"/>
            <w:vAlign w:val="center"/>
          </w:tcPr>
          <w:p w14:paraId="41E28A90">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卷扬机</w:t>
            </w:r>
          </w:p>
        </w:tc>
        <w:tc>
          <w:tcPr>
            <w:tcW w:w="317" w:type="pct"/>
            <w:tcBorders>
              <w:tl2br w:val="nil"/>
              <w:tr2bl w:val="nil"/>
            </w:tcBorders>
            <w:shd w:val="clear" w:color="auto" w:fill="auto"/>
            <w:noWrap w:val="0"/>
            <w:vAlign w:val="center"/>
          </w:tcPr>
          <w:p w14:paraId="5619A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545" w:type="pct"/>
            <w:tcBorders>
              <w:tl2br w:val="nil"/>
              <w:tr2bl w:val="nil"/>
            </w:tcBorders>
            <w:shd w:val="clear" w:color="auto" w:fill="auto"/>
            <w:noWrap w:val="0"/>
            <w:vAlign w:val="center"/>
          </w:tcPr>
          <w:p w14:paraId="57221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建筑隔声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、减振</w:t>
            </w:r>
          </w:p>
        </w:tc>
        <w:tc>
          <w:tcPr>
            <w:tcW w:w="242" w:type="pct"/>
            <w:tcBorders>
              <w:tl2br w:val="nil"/>
              <w:tr2bl w:val="nil"/>
            </w:tcBorders>
            <w:shd w:val="clear" w:color="auto" w:fill="auto"/>
            <w:noWrap w:val="0"/>
            <w:vAlign w:val="center"/>
          </w:tcPr>
          <w:p w14:paraId="2700E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1380</w:t>
            </w:r>
          </w:p>
        </w:tc>
        <w:tc>
          <w:tcPr>
            <w:tcW w:w="254" w:type="pct"/>
            <w:tcBorders>
              <w:tl2br w:val="nil"/>
              <w:tr2bl w:val="nil"/>
            </w:tcBorders>
            <w:shd w:val="clear" w:color="auto" w:fill="auto"/>
            <w:noWrap w:val="0"/>
            <w:vAlign w:val="center"/>
          </w:tcPr>
          <w:p w14:paraId="1D70D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477.5</w:t>
            </w:r>
          </w:p>
        </w:tc>
        <w:tc>
          <w:tcPr>
            <w:tcW w:w="206" w:type="pct"/>
            <w:tcBorders>
              <w:tl2br w:val="nil"/>
              <w:tr2bl w:val="nil"/>
            </w:tcBorders>
            <w:shd w:val="clear" w:color="auto" w:fill="auto"/>
            <w:noWrap w:val="0"/>
            <w:vAlign w:val="center"/>
          </w:tcPr>
          <w:p w14:paraId="586BD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38" w:type="pct"/>
            <w:tcBorders>
              <w:tl2br w:val="nil"/>
              <w:tr2bl w:val="nil"/>
            </w:tcBorders>
            <w:shd w:val="clear" w:color="auto" w:fill="auto"/>
            <w:noWrap w:val="0"/>
            <w:vAlign w:val="center"/>
          </w:tcPr>
          <w:p w14:paraId="538D0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296" w:type="pct"/>
            <w:tcBorders>
              <w:tl2br w:val="nil"/>
              <w:tr2bl w:val="nil"/>
            </w:tcBorders>
            <w:shd w:val="clear" w:color="auto" w:fill="auto"/>
            <w:noWrap w:val="0"/>
            <w:vAlign w:val="center"/>
          </w:tcPr>
          <w:p w14:paraId="1D96A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95</w:t>
            </w:r>
          </w:p>
        </w:tc>
        <w:tc>
          <w:tcPr>
            <w:tcW w:w="356" w:type="pct"/>
            <w:tcBorders>
              <w:tl2br w:val="nil"/>
              <w:tr2bl w:val="nil"/>
            </w:tcBorders>
            <w:shd w:val="clear" w:color="auto" w:fill="auto"/>
            <w:noWrap w:val="0"/>
            <w:vAlign w:val="center"/>
          </w:tcPr>
          <w:p w14:paraId="38B6E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370" w:type="pct"/>
            <w:tcBorders>
              <w:tl2br w:val="nil"/>
              <w:tr2bl w:val="nil"/>
            </w:tcBorders>
            <w:shd w:val="clear" w:color="auto" w:fill="auto"/>
            <w:noWrap w:val="0"/>
            <w:vAlign w:val="center"/>
          </w:tcPr>
          <w:p w14:paraId="42EE0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20</w:t>
            </w:r>
          </w:p>
        </w:tc>
        <w:tc>
          <w:tcPr>
            <w:tcW w:w="222" w:type="pct"/>
            <w:tcBorders>
              <w:tl2br w:val="nil"/>
              <w:tr2bl w:val="nil"/>
            </w:tcBorders>
            <w:shd w:val="clear" w:color="auto" w:fill="auto"/>
            <w:noWrap w:val="0"/>
            <w:vAlign w:val="center"/>
          </w:tcPr>
          <w:p w14:paraId="336B4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c>
          <w:tcPr>
            <w:tcW w:w="332" w:type="pct"/>
            <w:tcBorders>
              <w:tl2br w:val="nil"/>
              <w:tr2bl w:val="nil"/>
            </w:tcBorders>
            <w:noWrap w:val="0"/>
            <w:vAlign w:val="center"/>
          </w:tcPr>
          <w:p w14:paraId="52511BAC">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75</w:t>
            </w:r>
          </w:p>
        </w:tc>
        <w:tc>
          <w:tcPr>
            <w:tcW w:w="364" w:type="pct"/>
            <w:tcBorders>
              <w:tl2br w:val="nil"/>
              <w:tr2bl w:val="nil"/>
            </w:tcBorders>
            <w:noWrap w:val="0"/>
            <w:vAlign w:val="center"/>
          </w:tcPr>
          <w:p w14:paraId="473410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14:paraId="01E0D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 w:type="pct"/>
            <w:tcBorders>
              <w:tl2br w:val="nil"/>
              <w:tr2bl w:val="nil"/>
            </w:tcBorders>
            <w:shd w:val="clear" w:color="auto" w:fill="auto"/>
            <w:noWrap w:val="0"/>
            <w:vAlign w:val="center"/>
          </w:tcPr>
          <w:p w14:paraId="20727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655" w:type="pct"/>
            <w:tcBorders>
              <w:tl2br w:val="nil"/>
              <w:tr2bl w:val="nil"/>
            </w:tcBorders>
            <w:shd w:val="clear" w:color="auto" w:fill="auto"/>
            <w:noWrap w:val="0"/>
            <w:vAlign w:val="center"/>
          </w:tcPr>
          <w:p w14:paraId="0F529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空压机站</w:t>
            </w:r>
          </w:p>
        </w:tc>
        <w:tc>
          <w:tcPr>
            <w:tcW w:w="343" w:type="pct"/>
            <w:tcBorders>
              <w:tl2br w:val="nil"/>
              <w:tr2bl w:val="nil"/>
            </w:tcBorders>
            <w:shd w:val="clear" w:color="auto" w:fill="auto"/>
            <w:noWrap w:val="0"/>
            <w:vAlign w:val="center"/>
          </w:tcPr>
          <w:p w14:paraId="1C2926A6">
            <w:pPr>
              <w:pStyle w:val="67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空压机</w:t>
            </w:r>
          </w:p>
        </w:tc>
        <w:tc>
          <w:tcPr>
            <w:tcW w:w="317" w:type="pct"/>
            <w:tcBorders>
              <w:tl2br w:val="nil"/>
              <w:tr2bl w:val="nil"/>
            </w:tcBorders>
            <w:shd w:val="clear" w:color="auto" w:fill="auto"/>
            <w:noWrap w:val="0"/>
            <w:vAlign w:val="center"/>
          </w:tcPr>
          <w:p w14:paraId="7BC6C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545" w:type="pct"/>
            <w:tcBorders>
              <w:tl2br w:val="nil"/>
              <w:tr2bl w:val="nil"/>
            </w:tcBorders>
            <w:shd w:val="clear" w:color="auto" w:fill="auto"/>
            <w:noWrap w:val="0"/>
            <w:vAlign w:val="center"/>
          </w:tcPr>
          <w:p w14:paraId="3FE666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建筑隔声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、减振</w:t>
            </w:r>
          </w:p>
        </w:tc>
        <w:tc>
          <w:tcPr>
            <w:tcW w:w="242" w:type="pct"/>
            <w:tcBorders>
              <w:tl2br w:val="nil"/>
              <w:tr2bl w:val="nil"/>
            </w:tcBorders>
            <w:shd w:val="clear" w:color="auto" w:fill="auto"/>
            <w:noWrap w:val="0"/>
            <w:vAlign w:val="center"/>
          </w:tcPr>
          <w:p w14:paraId="78055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1373</w:t>
            </w:r>
          </w:p>
        </w:tc>
        <w:tc>
          <w:tcPr>
            <w:tcW w:w="254" w:type="pct"/>
            <w:tcBorders>
              <w:tl2br w:val="nil"/>
              <w:tr2bl w:val="nil"/>
            </w:tcBorders>
            <w:shd w:val="clear" w:color="auto" w:fill="auto"/>
            <w:noWrap w:val="0"/>
            <w:vAlign w:val="center"/>
          </w:tcPr>
          <w:p w14:paraId="584BB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437.5</w:t>
            </w:r>
          </w:p>
        </w:tc>
        <w:tc>
          <w:tcPr>
            <w:tcW w:w="206" w:type="pct"/>
            <w:tcBorders>
              <w:tl2br w:val="nil"/>
              <w:tr2bl w:val="nil"/>
            </w:tcBorders>
            <w:shd w:val="clear" w:color="auto" w:fill="auto"/>
            <w:noWrap w:val="0"/>
            <w:vAlign w:val="center"/>
          </w:tcPr>
          <w:p w14:paraId="000AB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38" w:type="pct"/>
            <w:tcBorders>
              <w:tl2br w:val="nil"/>
              <w:tr2bl w:val="nil"/>
            </w:tcBorders>
            <w:shd w:val="clear" w:color="auto" w:fill="auto"/>
            <w:noWrap w:val="0"/>
            <w:vAlign w:val="center"/>
          </w:tcPr>
          <w:p w14:paraId="610E8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105</w:t>
            </w:r>
          </w:p>
        </w:tc>
        <w:tc>
          <w:tcPr>
            <w:tcW w:w="296" w:type="pct"/>
            <w:tcBorders>
              <w:tl2br w:val="nil"/>
              <w:tr2bl w:val="nil"/>
            </w:tcBorders>
            <w:shd w:val="clear" w:color="auto" w:fill="auto"/>
            <w:noWrap w:val="0"/>
            <w:vAlign w:val="center"/>
          </w:tcPr>
          <w:p w14:paraId="42BB3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95</w:t>
            </w:r>
          </w:p>
        </w:tc>
        <w:tc>
          <w:tcPr>
            <w:tcW w:w="356" w:type="pct"/>
            <w:tcBorders>
              <w:tl2br w:val="nil"/>
              <w:tr2bl w:val="nil"/>
            </w:tcBorders>
            <w:shd w:val="clear" w:color="auto" w:fill="auto"/>
            <w:noWrap w:val="0"/>
            <w:vAlign w:val="center"/>
          </w:tcPr>
          <w:p w14:paraId="4F1DC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370" w:type="pct"/>
            <w:tcBorders>
              <w:tl2br w:val="nil"/>
              <w:tr2bl w:val="nil"/>
            </w:tcBorders>
            <w:shd w:val="clear" w:color="auto" w:fill="auto"/>
            <w:noWrap w:val="0"/>
            <w:vAlign w:val="center"/>
          </w:tcPr>
          <w:p w14:paraId="1396F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20</w:t>
            </w:r>
          </w:p>
        </w:tc>
        <w:tc>
          <w:tcPr>
            <w:tcW w:w="222" w:type="pct"/>
            <w:tcBorders>
              <w:tl2br w:val="nil"/>
              <w:tr2bl w:val="nil"/>
            </w:tcBorders>
            <w:shd w:val="clear" w:color="auto" w:fill="auto"/>
            <w:noWrap w:val="0"/>
            <w:vAlign w:val="center"/>
          </w:tcPr>
          <w:p w14:paraId="401F6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c>
          <w:tcPr>
            <w:tcW w:w="332" w:type="pct"/>
            <w:tcBorders>
              <w:tl2br w:val="nil"/>
              <w:tr2bl w:val="nil"/>
            </w:tcBorders>
            <w:noWrap w:val="0"/>
            <w:vAlign w:val="center"/>
          </w:tcPr>
          <w:p w14:paraId="0E7E1EF5">
            <w:pPr>
              <w:pStyle w:val="10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75</w:t>
            </w:r>
          </w:p>
        </w:tc>
        <w:tc>
          <w:tcPr>
            <w:tcW w:w="364" w:type="pct"/>
            <w:tcBorders>
              <w:tl2br w:val="nil"/>
              <w:tr2bl w:val="nil"/>
            </w:tcBorders>
            <w:noWrap w:val="0"/>
            <w:vAlign w:val="center"/>
          </w:tcPr>
          <w:p w14:paraId="08FFF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bl>
    <w:p w14:paraId="1CEB5DB2">
      <w:pPr>
        <w:spacing w:line="480" w:lineRule="exact"/>
        <w:ind w:firstLine="560" w:firstLineChars="200"/>
        <w:rPr>
          <w:rFonts w:ascii="Times New Roman" w:hAnsi="Times New Roman" w:cs="Times New Roman"/>
          <w:color w:val="000000" w:themeColor="text1"/>
          <w:kern w:val="0"/>
          <w:sz w:val="28"/>
          <w:szCs w:val="28"/>
          <w14:textFill>
            <w14:solidFill>
              <w14:schemeClr w14:val="tx1"/>
            </w14:solidFill>
          </w14:textFill>
        </w:rPr>
        <w:sectPr>
          <w:footerReference r:id="rId30" w:type="default"/>
          <w:footerReference r:id="rId31" w:type="even"/>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DA055AA">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①计算某个室内声源在靠近围护结构处的倍频带声压级：</w:t>
      </w:r>
    </w:p>
    <w:p w14:paraId="62B3A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2137410" cy="471805"/>
            <wp:effectExtent l="0" t="0" r="11430" b="635"/>
            <wp:docPr id="21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23"/>
                    <pic:cNvPicPr>
                      <a:picLocks noChangeAspect="1"/>
                    </pic:cNvPicPr>
                  </pic:nvPicPr>
                  <pic:blipFill>
                    <a:blip r:embed="rId57"/>
                    <a:stretch>
                      <a:fillRect/>
                    </a:stretch>
                  </pic:blipFill>
                  <pic:spPr>
                    <a:xfrm>
                      <a:off x="0" y="0"/>
                      <a:ext cx="2137410" cy="471805"/>
                    </a:xfrm>
                    <a:prstGeom prst="rect">
                      <a:avLst/>
                    </a:prstGeom>
                    <a:noFill/>
                    <a:ln>
                      <a:noFill/>
                    </a:ln>
                  </pic:spPr>
                </pic:pic>
              </a:graphicData>
            </a:graphic>
          </wp:inline>
        </w:drawing>
      </w:r>
    </w:p>
    <w:p w14:paraId="36A38B0A">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式中：L</w:t>
      </w:r>
      <w:r>
        <w:rPr>
          <w:rFonts w:hint="default" w:ascii="Times New Roman" w:hAnsi="Times New Roman" w:eastAsia="宋体" w:cs="Times New Roman"/>
          <w:color w:val="000000" w:themeColor="text1"/>
          <w:kern w:val="0"/>
          <w:sz w:val="24"/>
          <w:vertAlign w:val="subscript"/>
          <w14:textFill>
            <w14:solidFill>
              <w14:schemeClr w14:val="tx1"/>
            </w14:solidFill>
          </w14:textFill>
        </w:rPr>
        <w:t>oct,1</w:t>
      </w:r>
      <w:r>
        <w:rPr>
          <w:rFonts w:hint="default" w:ascii="Times New Roman" w:hAnsi="Times New Roman" w:eastAsia="宋体" w:cs="Times New Roman"/>
          <w:color w:val="000000" w:themeColor="text1"/>
          <w:kern w:val="0"/>
          <w:sz w:val="24"/>
          <w14:textFill>
            <w14:solidFill>
              <w14:schemeClr w14:val="tx1"/>
            </w14:solidFill>
          </w14:textFill>
        </w:rPr>
        <w:t>——某个室内声源在靠近围护结构处产生的倍频带声压级，dB；</w:t>
      </w:r>
    </w:p>
    <w:p w14:paraId="4C02078E">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L</w:t>
      </w:r>
      <w:r>
        <w:rPr>
          <w:rFonts w:hint="default" w:ascii="Times New Roman" w:hAnsi="Times New Roman" w:eastAsia="宋体" w:cs="Times New Roman"/>
          <w:color w:val="000000" w:themeColor="text1"/>
          <w:kern w:val="0"/>
          <w:sz w:val="24"/>
          <w:vertAlign w:val="subscript"/>
          <w14:textFill>
            <w14:solidFill>
              <w14:schemeClr w14:val="tx1"/>
            </w14:solidFill>
          </w14:textFill>
        </w:rPr>
        <w:t>w oct</w:t>
      </w:r>
      <w:r>
        <w:rPr>
          <w:rFonts w:hint="default" w:ascii="Times New Roman" w:hAnsi="Times New Roman" w:eastAsia="宋体" w:cs="Times New Roman"/>
          <w:color w:val="000000" w:themeColor="text1"/>
          <w:kern w:val="0"/>
          <w:sz w:val="24"/>
          <w14:textFill>
            <w14:solidFill>
              <w14:schemeClr w14:val="tx1"/>
            </w14:solidFill>
          </w14:textFill>
        </w:rPr>
        <w:t>——某个声源的倍频带声功率级，dB；</w:t>
      </w:r>
    </w:p>
    <w:p w14:paraId="79D67537">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vertAlign w:val="subscript"/>
          <w14:textFill>
            <w14:solidFill>
              <w14:schemeClr w14:val="tx1"/>
            </w14:solidFill>
          </w14:textFill>
        </w:rPr>
        <w:t>r1</w:t>
      </w:r>
      <w:r>
        <w:rPr>
          <w:rFonts w:hint="default" w:ascii="Times New Roman" w:hAnsi="Times New Roman" w:eastAsia="宋体" w:cs="Times New Roman"/>
          <w:color w:val="000000" w:themeColor="text1"/>
          <w:kern w:val="0"/>
          <w:sz w:val="24"/>
          <w14:textFill>
            <w14:solidFill>
              <w14:schemeClr w14:val="tx1"/>
            </w14:solidFill>
          </w14:textFill>
        </w:rPr>
        <w:t>——室内某个声源与靠近围护结构处的距离，m；</w:t>
      </w:r>
    </w:p>
    <w:p w14:paraId="55A243A7">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R——房间常数，m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p w14:paraId="33A09F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Q——方向性因子，无量纲值。</w:t>
      </w:r>
    </w:p>
    <w:p w14:paraId="0F238458">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②计算所有室内声源在靠近围护结构处产生的总倍频带声压级：</w:t>
      </w:r>
    </w:p>
    <w:p w14:paraId="4A949B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791335" cy="446405"/>
            <wp:effectExtent l="0" t="0" r="6985" b="10795"/>
            <wp:docPr id="22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24"/>
                    <pic:cNvPicPr>
                      <a:picLocks noChangeAspect="1"/>
                    </pic:cNvPicPr>
                  </pic:nvPicPr>
                  <pic:blipFill>
                    <a:blip r:embed="rId58"/>
                    <a:stretch>
                      <a:fillRect/>
                    </a:stretch>
                  </pic:blipFill>
                  <pic:spPr>
                    <a:xfrm>
                      <a:off x="0" y="0"/>
                      <a:ext cx="1791335" cy="446405"/>
                    </a:xfrm>
                    <a:prstGeom prst="rect">
                      <a:avLst/>
                    </a:prstGeom>
                    <a:noFill/>
                    <a:ln>
                      <a:noFill/>
                    </a:ln>
                  </pic:spPr>
                </pic:pic>
              </a:graphicData>
            </a:graphic>
          </wp:inline>
        </w:drawing>
      </w:r>
    </w:p>
    <w:p w14:paraId="05850AF2">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③计算室外靠近围护结构处的声压级：</w:t>
      </w:r>
    </w:p>
    <w:p w14:paraId="5D2D3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748155" cy="235585"/>
            <wp:effectExtent l="0" t="0" r="4445" b="8255"/>
            <wp:docPr id="22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5"/>
                    <pic:cNvPicPr>
                      <a:picLocks noChangeAspect="1"/>
                    </pic:cNvPicPr>
                  </pic:nvPicPr>
                  <pic:blipFill>
                    <a:blip r:embed="rId59"/>
                    <a:stretch>
                      <a:fillRect/>
                    </a:stretch>
                  </pic:blipFill>
                  <pic:spPr>
                    <a:xfrm>
                      <a:off x="0" y="0"/>
                      <a:ext cx="1748155" cy="235585"/>
                    </a:xfrm>
                    <a:prstGeom prst="rect">
                      <a:avLst/>
                    </a:prstGeom>
                    <a:noFill/>
                    <a:ln>
                      <a:noFill/>
                    </a:ln>
                  </pic:spPr>
                </pic:pic>
              </a:graphicData>
            </a:graphic>
          </wp:inline>
        </w:drawing>
      </w:r>
    </w:p>
    <w:p w14:paraId="023DC45B">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④将室外声级L</w:t>
      </w:r>
      <w:r>
        <w:rPr>
          <w:rFonts w:hint="default" w:ascii="Times New Roman" w:hAnsi="Times New Roman" w:eastAsia="宋体" w:cs="Times New Roman"/>
          <w:color w:val="000000" w:themeColor="text1"/>
          <w:kern w:val="0"/>
          <w:sz w:val="24"/>
          <w:vertAlign w:val="subscript"/>
          <w14:textFill>
            <w14:solidFill>
              <w14:schemeClr w14:val="tx1"/>
            </w14:solidFill>
          </w14:textFill>
        </w:rPr>
        <w:t>oct,2</w:t>
      </w:r>
      <w:r>
        <w:rPr>
          <w:rFonts w:hint="default" w:ascii="Times New Roman" w:hAnsi="Times New Roman" w:eastAsia="宋体" w:cs="Times New Roman"/>
          <w:color w:val="000000" w:themeColor="text1"/>
          <w:kern w:val="0"/>
          <w:sz w:val="24"/>
          <w14:textFill>
            <w14:solidFill>
              <w14:schemeClr w14:val="tx1"/>
            </w14:solidFill>
          </w14:textFill>
        </w:rPr>
        <w:t>(T)和透声面积换算成等效的室外声源，计算等效声源第i个倍频带的声功率级L</w:t>
      </w:r>
      <w:r>
        <w:rPr>
          <w:rFonts w:hint="default" w:ascii="Times New Roman" w:hAnsi="Times New Roman" w:eastAsia="宋体" w:cs="Times New Roman"/>
          <w:color w:val="000000" w:themeColor="text1"/>
          <w:kern w:val="0"/>
          <w:sz w:val="24"/>
          <w:vertAlign w:val="subscript"/>
          <w14:textFill>
            <w14:solidFill>
              <w14:schemeClr w14:val="tx1"/>
            </w14:solidFill>
          </w14:textFill>
        </w:rPr>
        <w:t>w oct</w:t>
      </w:r>
      <w:r>
        <w:rPr>
          <w:rFonts w:hint="default" w:ascii="Times New Roman" w:hAnsi="Times New Roman" w:eastAsia="宋体" w:cs="Times New Roman"/>
          <w:color w:val="000000" w:themeColor="text1"/>
          <w:kern w:val="0"/>
          <w:sz w:val="24"/>
          <w14:textFill>
            <w14:solidFill>
              <w14:schemeClr w14:val="tx1"/>
            </w14:solidFill>
          </w14:textFill>
        </w:rPr>
        <w:t>：</w:t>
      </w:r>
    </w:p>
    <w:p w14:paraId="6D8AB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585595" cy="289560"/>
            <wp:effectExtent l="0" t="0" r="14605" b="0"/>
            <wp:docPr id="22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6"/>
                    <pic:cNvPicPr>
                      <a:picLocks noChangeAspect="1"/>
                    </pic:cNvPicPr>
                  </pic:nvPicPr>
                  <pic:blipFill>
                    <a:blip r:embed="rId60"/>
                    <a:stretch>
                      <a:fillRect/>
                    </a:stretch>
                  </pic:blipFill>
                  <pic:spPr>
                    <a:xfrm>
                      <a:off x="0" y="0"/>
                      <a:ext cx="1585595" cy="289560"/>
                    </a:xfrm>
                    <a:prstGeom prst="rect">
                      <a:avLst/>
                    </a:prstGeom>
                    <a:noFill/>
                    <a:ln>
                      <a:noFill/>
                    </a:ln>
                  </pic:spPr>
                </pic:pic>
              </a:graphicData>
            </a:graphic>
          </wp:inline>
        </w:drawing>
      </w:r>
    </w:p>
    <w:p w14:paraId="608B7C62">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式中：S——透声面积，m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p w14:paraId="38EA8810">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⑤等效室外声源的位置为围护结构的位置，其倍频带声功率级为L</w:t>
      </w:r>
      <w:r>
        <w:rPr>
          <w:rFonts w:hint="default" w:ascii="Times New Roman" w:hAnsi="Times New Roman" w:eastAsia="宋体" w:cs="Times New Roman"/>
          <w:color w:val="000000" w:themeColor="text1"/>
          <w:kern w:val="0"/>
          <w:sz w:val="24"/>
          <w:vertAlign w:val="subscript"/>
          <w14:textFill>
            <w14:solidFill>
              <w14:schemeClr w14:val="tx1"/>
            </w14:solidFill>
          </w14:textFill>
        </w:rPr>
        <w:t>w oct</w:t>
      </w:r>
      <w:r>
        <w:rPr>
          <w:rFonts w:hint="default" w:ascii="Times New Roman" w:hAnsi="Times New Roman" w:eastAsia="宋体" w:cs="Times New Roman"/>
          <w:color w:val="000000" w:themeColor="text1"/>
          <w:kern w:val="0"/>
          <w:sz w:val="24"/>
          <w14:textFill>
            <w14:solidFill>
              <w14:schemeClr w14:val="tx1"/>
            </w14:solidFill>
          </w14:textFill>
        </w:rPr>
        <w:t>，由此按室外声源方法计算等效室外声源在预测点产生的声级。</w:t>
      </w:r>
    </w:p>
    <w:p w14:paraId="5DA3EA2A">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《环境影响评价技术导则</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14:textFill>
            <w14:solidFill>
              <w14:schemeClr w14:val="tx1"/>
            </w14:solidFill>
          </w14:textFill>
        </w:rPr>
        <w:t>声环境》（HJ2.4-2021）中推荐的点声源衰减模式</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计算公式如下：</w:t>
      </w:r>
    </w:p>
    <w:p w14:paraId="24C9CBAB">
      <w:pPr>
        <w:spacing w:line="480" w:lineRule="exact"/>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L（r）=L（r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）-20lg（r/r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）-ΔL</w:t>
      </w:r>
    </w:p>
    <w:p w14:paraId="5A063F45">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式中：L（r）——距声源r距离上的A声压级；</w:t>
      </w:r>
    </w:p>
    <w:p w14:paraId="3558ACE5">
      <w:pPr>
        <w:spacing w:line="480" w:lineRule="exact"/>
        <w:ind w:firstLine="1200" w:firstLineChars="5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L（r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）——距声源r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距离上的A声压级；</w:t>
      </w:r>
    </w:p>
    <w:p w14:paraId="4D18BE41">
      <w:pPr>
        <w:spacing w:line="480" w:lineRule="exact"/>
        <w:ind w:firstLine="1200" w:firstLineChars="5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ΔL——声屏障、遮挡物、空气吸收地面效应引起的衰减量（取</w:t>
      </w:r>
      <w:r>
        <w:rPr>
          <w:rFonts w:hint="default" w:ascii="Times New Roman" w:hAnsi="Times New Roman" w:eastAsia="宋体" w:cs="Times New Roman"/>
          <w:color w:val="000000" w:themeColor="text1"/>
          <w:sz w:val="24"/>
          <w:szCs w:val="24"/>
          <w14:textFill>
            <w14:solidFill>
              <w14:schemeClr w14:val="tx1"/>
            </w14:solidFill>
          </w14:textFill>
        </w:rPr>
        <w:t>8dB（A））</w:t>
      </w:r>
      <w:r>
        <w:rPr>
          <w:rFonts w:hint="default" w:ascii="Times New Roman" w:hAnsi="Times New Roman" w:eastAsia="宋体" w:cs="Times New Roman"/>
          <w:color w:val="000000" w:themeColor="text1"/>
          <w:kern w:val="0"/>
          <w:sz w:val="24"/>
          <w14:textFill>
            <w14:solidFill>
              <w14:schemeClr w14:val="tx1"/>
            </w14:solidFill>
          </w14:textFill>
        </w:rPr>
        <w:t>；</w:t>
      </w:r>
    </w:p>
    <w:p w14:paraId="39BDCAF1">
      <w:pPr>
        <w:spacing w:line="480" w:lineRule="exact"/>
        <w:ind w:firstLine="1200" w:firstLineChars="5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r、r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——距声源距离（m）。</w:t>
      </w:r>
    </w:p>
    <w:p w14:paraId="305DA424">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⑥预测点产生的贡献值</w:t>
      </w:r>
      <w:r>
        <w:rPr>
          <w:rFonts w:hint="default" w:ascii="Times New Roman" w:hAnsi="Times New Roman" w:eastAsia="宋体" w:cs="Times New Roman"/>
          <w:color w:val="000000" w:themeColor="text1"/>
          <w:kern w:val="0"/>
          <w:sz w:val="24"/>
          <w14:textFill>
            <w14:solidFill>
              <w14:schemeClr w14:val="tx1"/>
            </w14:solidFill>
          </w14:textFill>
        </w:rPr>
        <w:t>：</w:t>
      </w:r>
    </w:p>
    <w:p w14:paraId="0C6D7F7B">
      <w:pPr>
        <w:spacing w:line="480" w:lineRule="exact"/>
        <w:ind w:firstLine="480"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计算公式如下：</w:t>
      </w:r>
    </w:p>
    <w:p w14:paraId="0751E50F">
      <w:pPr>
        <w:shd w:val="clear" w:color="auto" w:fill="FFFFFF"/>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drawing>
          <wp:inline distT="0" distB="0" distL="114300" distR="114300">
            <wp:extent cx="3289935" cy="466090"/>
            <wp:effectExtent l="0" t="0" r="1905" b="6350"/>
            <wp:docPr id="223" name="图片 127" descr="1640339700805_59B00E87-2283-49f4-A249-01313DCB5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7" descr="1640339700805_59B00E87-2283-49f4-A249-01313DCB5D80"/>
                    <pic:cNvPicPr>
                      <a:picLocks noChangeAspect="1"/>
                    </pic:cNvPicPr>
                  </pic:nvPicPr>
                  <pic:blipFill>
                    <a:blip r:embed="rId61"/>
                    <a:stretch>
                      <a:fillRect/>
                    </a:stretch>
                  </pic:blipFill>
                  <pic:spPr>
                    <a:xfrm>
                      <a:off x="0" y="0"/>
                      <a:ext cx="3289935" cy="466090"/>
                    </a:xfrm>
                    <a:prstGeom prst="rect">
                      <a:avLst/>
                    </a:prstGeom>
                    <a:noFill/>
                    <a:ln>
                      <a:noFill/>
                    </a:ln>
                  </pic:spPr>
                </pic:pic>
              </a:graphicData>
            </a:graphic>
          </wp:inline>
        </w:drawing>
      </w:r>
    </w:p>
    <w:p w14:paraId="6E6F1579">
      <w:pPr>
        <w:shd w:val="clear" w:color="auto" w:fill="FFFFFF"/>
        <w:spacing w:line="440" w:lineRule="exact"/>
        <w:ind w:firstLine="480" w:firstLineChars="200"/>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式中：T——计算等效声级的时间，h；</w:t>
      </w:r>
    </w:p>
    <w:p w14:paraId="01321F72">
      <w:pPr>
        <w:shd w:val="clear" w:color="auto" w:fill="FFFFFF"/>
        <w:spacing w:line="440" w:lineRule="exact"/>
        <w:ind w:firstLine="480" w:firstLineChars="200"/>
        <w:rPr>
          <w:rFonts w:hint="eastAsia"/>
          <w:bCs/>
          <w:color w:val="000000" w:themeColor="text1"/>
          <w:sz w:val="24"/>
          <w:szCs w:val="24"/>
          <w:lang w:eastAsia="zh-CN"/>
          <w14:textFill>
            <w14:solidFill>
              <w14:schemeClr w14:val="tx1"/>
            </w14:solidFill>
          </w14:textFill>
        </w:rPr>
      </w:pPr>
      <w:r>
        <w:rPr>
          <w:rFonts w:hint="eastAsia"/>
          <w:bCs/>
          <w:color w:val="000000" w:themeColor="text1"/>
          <w:sz w:val="24"/>
          <w:szCs w:val="24"/>
          <w14:textFill>
            <w14:solidFill>
              <w14:schemeClr w14:val="tx1"/>
            </w14:solidFill>
          </w14:textFill>
        </w:rPr>
        <w:t>N——室外声源个数</w:t>
      </w:r>
      <w:r>
        <w:rPr>
          <w:rFonts w:hint="eastAsia"/>
          <w:bCs/>
          <w:color w:val="000000" w:themeColor="text1"/>
          <w:sz w:val="24"/>
          <w:szCs w:val="24"/>
          <w:lang w:eastAsia="zh-CN"/>
          <w14:textFill>
            <w14:solidFill>
              <w14:schemeClr w14:val="tx1"/>
            </w14:solidFill>
          </w14:textFill>
        </w:rPr>
        <w:t>；</w:t>
      </w:r>
    </w:p>
    <w:p w14:paraId="7DF8BCC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eastAsia"/>
          <w:bCs/>
          <w:color w:val="000000" w:themeColor="text1"/>
          <w:sz w:val="24"/>
          <w:szCs w:val="24"/>
          <w14:textFill>
            <w14:solidFill>
              <w14:schemeClr w14:val="tx1"/>
            </w14:solidFill>
          </w14:textFill>
        </w:rPr>
        <w:t>M——等效室外声源个数。</w:t>
      </w:r>
    </w:p>
    <w:p w14:paraId="055B5A0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、预测结果与评价</w:t>
      </w:r>
    </w:p>
    <w:p w14:paraId="5C70BC2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）噪声预测结果</w:t>
      </w:r>
    </w:p>
    <w:p w14:paraId="701F6B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根据实际情况</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把各具体复杂的噪声源叠加简化为一个点声源进行计算</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再将噪声值进行能量叠加</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经计算矿区内各噪声源噪声值叠加后</w:t>
      </w:r>
      <w:r>
        <w:rPr>
          <w:rFonts w:hint="default" w:ascii="Times New Roman" w:hAnsi="Times New Roman" w:cs="Times New Roman"/>
          <w:color w:val="000000" w:themeColor="text1"/>
          <w:sz w:val="24"/>
          <w:szCs w:val="24"/>
          <w14:textFill>
            <w14:solidFill>
              <w14:schemeClr w14:val="tx1"/>
            </w14:solidFill>
          </w14:textFill>
        </w:rPr>
        <w:t>噪声预测结果见表</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5.2-1</w:t>
      </w:r>
      <w:r>
        <w:rPr>
          <w:rFonts w:hint="eastAsia"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w:t>
      </w:r>
    </w:p>
    <w:p w14:paraId="10A67853">
      <w:pPr>
        <w:tabs>
          <w:tab w:val="left" w:pos="6840"/>
        </w:tabs>
        <w:spacing w:line="480" w:lineRule="exact"/>
        <w:ind w:firstLine="482" w:firstLineChars="200"/>
        <w:jc w:val="cente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表5.2-1</w:t>
      </w:r>
      <w:r>
        <w:rPr>
          <w:rFonts w:hint="eastAsia"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矿区边界噪声预测值</w:t>
      </w:r>
    </w:p>
    <w:p w14:paraId="48BE9707">
      <w:pPr>
        <w:spacing w:line="52" w:lineRule="exact"/>
        <w:rPr>
          <w:rFonts w:ascii="Times New Roman" w:hAnsi="Times New Roman" w:cs="Times New Roman"/>
          <w:color w:val="000000" w:themeColor="text1"/>
          <w:szCs w:val="21"/>
          <w14:textFill>
            <w14:solidFill>
              <w14:schemeClr w14:val="tx1"/>
            </w14:solidFill>
          </w14:textFill>
        </w:rPr>
      </w:pPr>
    </w:p>
    <w:tbl>
      <w:tblPr>
        <w:tblStyle w:val="979"/>
        <w:tblW w:w="826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99"/>
        <w:gridCol w:w="1756"/>
        <w:gridCol w:w="1658"/>
        <w:gridCol w:w="1521"/>
        <w:gridCol w:w="1632"/>
      </w:tblGrid>
      <w:tr w14:paraId="015331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9" w:type="dxa"/>
            <w:vMerge w:val="restart"/>
            <w:tcBorders>
              <w:tl2br w:val="nil"/>
              <w:tr2bl w:val="nil"/>
            </w:tcBorders>
            <w:vAlign w:val="center"/>
          </w:tcPr>
          <w:p w14:paraId="53F91B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pacing w:val="-2"/>
                <w:sz w:val="21"/>
                <w:szCs w:val="21"/>
                <w14:textFill>
                  <w14:solidFill>
                    <w14:schemeClr w14:val="tx1"/>
                  </w14:solidFill>
                </w14:textFill>
              </w:rPr>
              <w:t>预测</w:t>
            </w:r>
            <w:r>
              <w:rPr>
                <w:rFonts w:hint="default" w:ascii="Times New Roman" w:hAnsi="Times New Roman" w:cs="Times New Roman"/>
                <w:b/>
                <w:bCs/>
                <w:color w:val="000000" w:themeColor="text1"/>
                <w:spacing w:val="-1"/>
                <w:sz w:val="21"/>
                <w:szCs w:val="21"/>
                <w14:textFill>
                  <w14:solidFill>
                    <w14:schemeClr w14:val="tx1"/>
                  </w14:solidFill>
                </w14:textFill>
              </w:rPr>
              <w:t>点</w:t>
            </w:r>
          </w:p>
        </w:tc>
        <w:tc>
          <w:tcPr>
            <w:tcW w:w="1756" w:type="dxa"/>
            <w:vMerge w:val="restart"/>
            <w:tcBorders>
              <w:tl2br w:val="nil"/>
              <w:tr2bl w:val="nil"/>
            </w:tcBorders>
            <w:vAlign w:val="center"/>
          </w:tcPr>
          <w:p w14:paraId="0FD7D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pacing w:val="-2"/>
                <w:sz w:val="21"/>
                <w:szCs w:val="21"/>
                <w14:textFill>
                  <w14:solidFill>
                    <w14:schemeClr w14:val="tx1"/>
                  </w14:solidFill>
                </w14:textFill>
              </w:rPr>
              <w:t>贡献</w:t>
            </w:r>
            <w:r>
              <w:rPr>
                <w:rFonts w:hint="default" w:ascii="Times New Roman" w:hAnsi="Times New Roman" w:cs="Times New Roman"/>
                <w:b/>
                <w:bCs/>
                <w:color w:val="000000" w:themeColor="text1"/>
                <w:spacing w:val="-1"/>
                <w:sz w:val="21"/>
                <w:szCs w:val="21"/>
                <w14:textFill>
                  <w14:solidFill>
                    <w14:schemeClr w14:val="tx1"/>
                  </w14:solidFill>
                </w14:textFill>
              </w:rPr>
              <w:t>值</w:t>
            </w:r>
          </w:p>
        </w:tc>
        <w:tc>
          <w:tcPr>
            <w:tcW w:w="3179" w:type="dxa"/>
            <w:gridSpan w:val="2"/>
            <w:tcBorders>
              <w:tl2br w:val="nil"/>
              <w:tr2bl w:val="nil"/>
            </w:tcBorders>
            <w:vAlign w:val="center"/>
          </w:tcPr>
          <w:p w14:paraId="006EE8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pacing w:val="-2"/>
                <w:sz w:val="21"/>
                <w:szCs w:val="21"/>
                <w14:textFill>
                  <w14:solidFill>
                    <w14:schemeClr w14:val="tx1"/>
                  </w14:solidFill>
                </w14:textFill>
              </w:rPr>
              <w:t>执</w:t>
            </w:r>
            <w:r>
              <w:rPr>
                <w:rFonts w:hint="default" w:ascii="Times New Roman" w:hAnsi="Times New Roman" w:cs="Times New Roman"/>
                <w:b/>
                <w:bCs/>
                <w:color w:val="000000" w:themeColor="text1"/>
                <w:spacing w:val="-1"/>
                <w:sz w:val="21"/>
                <w:szCs w:val="21"/>
                <w14:textFill>
                  <w14:solidFill>
                    <w14:schemeClr w14:val="tx1"/>
                  </w14:solidFill>
                </w14:textFill>
              </w:rPr>
              <w:t>行标准</w:t>
            </w:r>
          </w:p>
        </w:tc>
        <w:tc>
          <w:tcPr>
            <w:tcW w:w="1632" w:type="dxa"/>
            <w:vMerge w:val="restart"/>
            <w:tcBorders>
              <w:tl2br w:val="nil"/>
              <w:tr2bl w:val="nil"/>
            </w:tcBorders>
            <w:vAlign w:val="center"/>
          </w:tcPr>
          <w:p w14:paraId="1B85B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超标情况</w:t>
            </w:r>
          </w:p>
        </w:tc>
      </w:tr>
      <w:tr w14:paraId="557280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9" w:type="dxa"/>
            <w:vMerge w:val="continue"/>
            <w:tcBorders>
              <w:tl2br w:val="nil"/>
              <w:tr2bl w:val="nil"/>
            </w:tcBorders>
            <w:vAlign w:val="center"/>
          </w:tcPr>
          <w:p w14:paraId="5AFBE7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56" w:type="dxa"/>
            <w:vMerge w:val="continue"/>
            <w:tcBorders>
              <w:tl2br w:val="nil"/>
              <w:tr2bl w:val="nil"/>
            </w:tcBorders>
            <w:vAlign w:val="center"/>
          </w:tcPr>
          <w:p w14:paraId="490AB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58" w:type="dxa"/>
            <w:tcBorders>
              <w:tl2br w:val="nil"/>
              <w:tr2bl w:val="nil"/>
            </w:tcBorders>
            <w:vAlign w:val="center"/>
          </w:tcPr>
          <w:p w14:paraId="2118B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pacing w:val="-2"/>
                <w:sz w:val="21"/>
                <w:szCs w:val="21"/>
                <w14:textFill>
                  <w14:solidFill>
                    <w14:schemeClr w14:val="tx1"/>
                  </w14:solidFill>
                </w14:textFill>
              </w:rPr>
              <w:t>昼</w:t>
            </w:r>
            <w:r>
              <w:rPr>
                <w:rFonts w:hint="default" w:ascii="Times New Roman" w:hAnsi="Times New Roman" w:cs="Times New Roman"/>
                <w:b/>
                <w:bCs/>
                <w:color w:val="000000" w:themeColor="text1"/>
                <w:spacing w:val="-1"/>
                <w:sz w:val="21"/>
                <w:szCs w:val="21"/>
                <w14:textFill>
                  <w14:solidFill>
                    <w14:schemeClr w14:val="tx1"/>
                  </w14:solidFill>
                </w14:textFill>
              </w:rPr>
              <w:t>间</w:t>
            </w:r>
          </w:p>
        </w:tc>
        <w:tc>
          <w:tcPr>
            <w:tcW w:w="1521" w:type="dxa"/>
            <w:tcBorders>
              <w:tl2br w:val="nil"/>
              <w:tr2bl w:val="nil"/>
            </w:tcBorders>
            <w:vAlign w:val="center"/>
          </w:tcPr>
          <w:p w14:paraId="34F25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pacing w:val="-3"/>
                <w:sz w:val="21"/>
                <w:szCs w:val="21"/>
                <w14:textFill>
                  <w14:solidFill>
                    <w14:schemeClr w14:val="tx1"/>
                  </w14:solidFill>
                </w14:textFill>
              </w:rPr>
              <w:t>夜</w:t>
            </w:r>
            <w:r>
              <w:rPr>
                <w:rFonts w:hint="default" w:ascii="Times New Roman" w:hAnsi="Times New Roman" w:cs="Times New Roman"/>
                <w:b/>
                <w:bCs/>
                <w:color w:val="000000" w:themeColor="text1"/>
                <w:spacing w:val="-2"/>
                <w:sz w:val="21"/>
                <w:szCs w:val="21"/>
                <w14:textFill>
                  <w14:solidFill>
                    <w14:schemeClr w14:val="tx1"/>
                  </w14:solidFill>
                </w14:textFill>
              </w:rPr>
              <w:t>间</w:t>
            </w:r>
          </w:p>
        </w:tc>
        <w:tc>
          <w:tcPr>
            <w:tcW w:w="1632" w:type="dxa"/>
            <w:vMerge w:val="continue"/>
            <w:tcBorders>
              <w:tl2br w:val="nil"/>
              <w:tr2bl w:val="nil"/>
            </w:tcBorders>
            <w:vAlign w:val="center"/>
          </w:tcPr>
          <w:p w14:paraId="72764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671855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9" w:type="dxa"/>
            <w:tcBorders>
              <w:tl2br w:val="nil"/>
              <w:tr2bl w:val="nil"/>
            </w:tcBorders>
            <w:vAlign w:val="center"/>
          </w:tcPr>
          <w:p w14:paraId="7BD9A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1</w:t>
            </w:r>
            <w:r>
              <w:rPr>
                <w:rFonts w:hint="default" w:ascii="Times New Roman" w:hAnsi="Times New Roman" w:cs="Times New Roman"/>
                <w:color w:val="000000" w:themeColor="text1"/>
                <w:spacing w:val="-3"/>
                <w:sz w:val="21"/>
                <w:szCs w:val="21"/>
                <w14:textFill>
                  <w14:solidFill>
                    <w14:schemeClr w14:val="tx1"/>
                  </w14:solidFill>
                </w14:textFill>
              </w:rPr>
              <w:t>#矿区东边界</w:t>
            </w:r>
          </w:p>
        </w:tc>
        <w:tc>
          <w:tcPr>
            <w:tcW w:w="1756" w:type="dxa"/>
            <w:tcBorders>
              <w:tl2br w:val="nil"/>
              <w:tr2bl w:val="nil"/>
            </w:tcBorders>
            <w:vAlign w:val="center"/>
          </w:tcPr>
          <w:p w14:paraId="100DA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47.1</w:t>
            </w:r>
          </w:p>
        </w:tc>
        <w:tc>
          <w:tcPr>
            <w:tcW w:w="1658" w:type="dxa"/>
            <w:tcBorders>
              <w:tl2br w:val="nil"/>
              <w:tr2bl w:val="nil"/>
            </w:tcBorders>
            <w:vAlign w:val="center"/>
          </w:tcPr>
          <w:p w14:paraId="3BD0F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60</w:t>
            </w:r>
          </w:p>
        </w:tc>
        <w:tc>
          <w:tcPr>
            <w:tcW w:w="1521" w:type="dxa"/>
            <w:tcBorders>
              <w:tl2br w:val="nil"/>
              <w:tr2bl w:val="nil"/>
            </w:tcBorders>
            <w:vAlign w:val="center"/>
          </w:tcPr>
          <w:p w14:paraId="5429F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5"/>
                <w:sz w:val="21"/>
                <w:szCs w:val="21"/>
                <w14:textFill>
                  <w14:solidFill>
                    <w14:schemeClr w14:val="tx1"/>
                  </w14:solidFill>
                </w14:textFill>
              </w:rPr>
              <w:t>5</w:t>
            </w:r>
            <w:r>
              <w:rPr>
                <w:rFonts w:hint="default" w:ascii="Times New Roman" w:hAnsi="Times New Roman" w:cs="Times New Roman"/>
                <w:color w:val="000000" w:themeColor="text1"/>
                <w:spacing w:val="-4"/>
                <w:sz w:val="21"/>
                <w:szCs w:val="21"/>
                <w14:textFill>
                  <w14:solidFill>
                    <w14:schemeClr w14:val="tx1"/>
                  </w14:solidFill>
                </w14:textFill>
              </w:rPr>
              <w:t>0</w:t>
            </w:r>
          </w:p>
        </w:tc>
        <w:tc>
          <w:tcPr>
            <w:tcW w:w="1632" w:type="dxa"/>
            <w:tcBorders>
              <w:tl2br w:val="nil"/>
              <w:tr2bl w:val="nil"/>
            </w:tcBorders>
            <w:vAlign w:val="center"/>
          </w:tcPr>
          <w:p w14:paraId="3557C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未超标</w:t>
            </w:r>
          </w:p>
        </w:tc>
      </w:tr>
      <w:tr w14:paraId="6D9C43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9" w:type="dxa"/>
            <w:tcBorders>
              <w:tl2br w:val="nil"/>
              <w:tr2bl w:val="nil"/>
            </w:tcBorders>
            <w:vAlign w:val="center"/>
          </w:tcPr>
          <w:p w14:paraId="237B0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#矿区南边界</w:t>
            </w:r>
          </w:p>
        </w:tc>
        <w:tc>
          <w:tcPr>
            <w:tcW w:w="1756" w:type="dxa"/>
            <w:tcBorders>
              <w:tl2br w:val="nil"/>
              <w:tr2bl w:val="nil"/>
            </w:tcBorders>
            <w:vAlign w:val="center"/>
          </w:tcPr>
          <w:p w14:paraId="025E0127">
            <w:pPr>
              <w:keepNext w:val="0"/>
              <w:keepLines w:val="0"/>
              <w:pageBreakBefore w:val="0"/>
              <w:widowControl w:val="0"/>
              <w:suppressLineNumbers w:val="0"/>
              <w:tabs>
                <w:tab w:val="left" w:pos="1196"/>
              </w:tabs>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45.8</w:t>
            </w:r>
          </w:p>
        </w:tc>
        <w:tc>
          <w:tcPr>
            <w:tcW w:w="1658" w:type="dxa"/>
            <w:tcBorders>
              <w:tl2br w:val="nil"/>
              <w:tr2bl w:val="nil"/>
            </w:tcBorders>
            <w:vAlign w:val="center"/>
          </w:tcPr>
          <w:p w14:paraId="2BFC8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60</w:t>
            </w:r>
          </w:p>
        </w:tc>
        <w:tc>
          <w:tcPr>
            <w:tcW w:w="1521" w:type="dxa"/>
            <w:tcBorders>
              <w:tl2br w:val="nil"/>
              <w:tr2bl w:val="nil"/>
            </w:tcBorders>
            <w:vAlign w:val="center"/>
          </w:tcPr>
          <w:p w14:paraId="3F6D39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5"/>
                <w:sz w:val="21"/>
                <w:szCs w:val="21"/>
                <w14:textFill>
                  <w14:solidFill>
                    <w14:schemeClr w14:val="tx1"/>
                  </w14:solidFill>
                </w14:textFill>
              </w:rPr>
              <w:t>5</w:t>
            </w:r>
            <w:r>
              <w:rPr>
                <w:rFonts w:hint="default" w:ascii="Times New Roman" w:hAnsi="Times New Roman" w:cs="Times New Roman"/>
                <w:color w:val="000000" w:themeColor="text1"/>
                <w:spacing w:val="-4"/>
                <w:sz w:val="21"/>
                <w:szCs w:val="21"/>
                <w14:textFill>
                  <w14:solidFill>
                    <w14:schemeClr w14:val="tx1"/>
                  </w14:solidFill>
                </w14:textFill>
              </w:rPr>
              <w:t>0</w:t>
            </w:r>
          </w:p>
        </w:tc>
        <w:tc>
          <w:tcPr>
            <w:tcW w:w="1632" w:type="dxa"/>
            <w:tcBorders>
              <w:tl2br w:val="nil"/>
              <w:tr2bl w:val="nil"/>
            </w:tcBorders>
            <w:vAlign w:val="center"/>
          </w:tcPr>
          <w:p w14:paraId="149C2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未超标</w:t>
            </w:r>
          </w:p>
        </w:tc>
      </w:tr>
      <w:tr w14:paraId="4D993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9" w:type="dxa"/>
            <w:tcBorders>
              <w:tl2br w:val="nil"/>
              <w:tr2bl w:val="nil"/>
            </w:tcBorders>
            <w:vAlign w:val="center"/>
          </w:tcPr>
          <w:p w14:paraId="304DE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3#矿区西</w:t>
            </w:r>
            <w:r>
              <w:rPr>
                <w:rFonts w:hint="default" w:ascii="Times New Roman" w:hAnsi="Times New Roman" w:cs="Times New Roman"/>
                <w:color w:val="000000" w:themeColor="text1"/>
                <w:sz w:val="21"/>
                <w:szCs w:val="21"/>
                <w14:textFill>
                  <w14:solidFill>
                    <w14:schemeClr w14:val="tx1"/>
                  </w14:solidFill>
                </w14:textFill>
              </w:rPr>
              <w:t>边界</w:t>
            </w:r>
          </w:p>
        </w:tc>
        <w:tc>
          <w:tcPr>
            <w:tcW w:w="1756" w:type="dxa"/>
            <w:tcBorders>
              <w:tl2br w:val="nil"/>
              <w:tr2bl w:val="nil"/>
            </w:tcBorders>
            <w:vAlign w:val="center"/>
          </w:tcPr>
          <w:p w14:paraId="00B3C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36.2</w:t>
            </w:r>
          </w:p>
        </w:tc>
        <w:tc>
          <w:tcPr>
            <w:tcW w:w="1658" w:type="dxa"/>
            <w:tcBorders>
              <w:tl2br w:val="nil"/>
              <w:tr2bl w:val="nil"/>
            </w:tcBorders>
            <w:vAlign w:val="center"/>
          </w:tcPr>
          <w:p w14:paraId="6FA5E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60</w:t>
            </w:r>
          </w:p>
        </w:tc>
        <w:tc>
          <w:tcPr>
            <w:tcW w:w="1521" w:type="dxa"/>
            <w:tcBorders>
              <w:tl2br w:val="nil"/>
              <w:tr2bl w:val="nil"/>
            </w:tcBorders>
            <w:vAlign w:val="center"/>
          </w:tcPr>
          <w:p w14:paraId="6AED91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5"/>
                <w:sz w:val="21"/>
                <w:szCs w:val="21"/>
                <w14:textFill>
                  <w14:solidFill>
                    <w14:schemeClr w14:val="tx1"/>
                  </w14:solidFill>
                </w14:textFill>
              </w:rPr>
              <w:t>5</w:t>
            </w:r>
            <w:r>
              <w:rPr>
                <w:rFonts w:hint="default" w:ascii="Times New Roman" w:hAnsi="Times New Roman" w:cs="Times New Roman"/>
                <w:color w:val="000000" w:themeColor="text1"/>
                <w:spacing w:val="-4"/>
                <w:sz w:val="21"/>
                <w:szCs w:val="21"/>
                <w14:textFill>
                  <w14:solidFill>
                    <w14:schemeClr w14:val="tx1"/>
                  </w14:solidFill>
                </w14:textFill>
              </w:rPr>
              <w:t>0</w:t>
            </w:r>
          </w:p>
        </w:tc>
        <w:tc>
          <w:tcPr>
            <w:tcW w:w="1632" w:type="dxa"/>
            <w:tcBorders>
              <w:tl2br w:val="nil"/>
              <w:tr2bl w:val="nil"/>
            </w:tcBorders>
            <w:vAlign w:val="center"/>
          </w:tcPr>
          <w:p w14:paraId="0E4CE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未超标</w:t>
            </w:r>
          </w:p>
        </w:tc>
      </w:tr>
      <w:tr w14:paraId="0A0B99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9" w:type="dxa"/>
            <w:tcBorders>
              <w:tl2br w:val="nil"/>
              <w:tr2bl w:val="nil"/>
            </w:tcBorders>
            <w:vAlign w:val="center"/>
          </w:tcPr>
          <w:p w14:paraId="0BFC1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4#矿区北边界</w:t>
            </w:r>
          </w:p>
        </w:tc>
        <w:tc>
          <w:tcPr>
            <w:tcW w:w="1756" w:type="dxa"/>
            <w:tcBorders>
              <w:tl2br w:val="nil"/>
              <w:tr2bl w:val="nil"/>
            </w:tcBorders>
            <w:vAlign w:val="center"/>
          </w:tcPr>
          <w:p w14:paraId="4F1AA2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46.5</w:t>
            </w:r>
          </w:p>
        </w:tc>
        <w:tc>
          <w:tcPr>
            <w:tcW w:w="1658" w:type="dxa"/>
            <w:tcBorders>
              <w:tl2br w:val="nil"/>
              <w:tr2bl w:val="nil"/>
            </w:tcBorders>
            <w:vAlign w:val="center"/>
          </w:tcPr>
          <w:p w14:paraId="3BC6B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60</w:t>
            </w:r>
          </w:p>
        </w:tc>
        <w:tc>
          <w:tcPr>
            <w:tcW w:w="1521" w:type="dxa"/>
            <w:tcBorders>
              <w:tl2br w:val="nil"/>
              <w:tr2bl w:val="nil"/>
            </w:tcBorders>
            <w:vAlign w:val="center"/>
          </w:tcPr>
          <w:p w14:paraId="59FDF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5"/>
                <w:sz w:val="21"/>
                <w:szCs w:val="21"/>
                <w14:textFill>
                  <w14:solidFill>
                    <w14:schemeClr w14:val="tx1"/>
                  </w14:solidFill>
                </w14:textFill>
              </w:rPr>
              <w:t>5</w:t>
            </w:r>
            <w:r>
              <w:rPr>
                <w:rFonts w:hint="default" w:ascii="Times New Roman" w:hAnsi="Times New Roman" w:cs="Times New Roman"/>
                <w:color w:val="000000" w:themeColor="text1"/>
                <w:spacing w:val="-4"/>
                <w:sz w:val="21"/>
                <w:szCs w:val="21"/>
                <w14:textFill>
                  <w14:solidFill>
                    <w14:schemeClr w14:val="tx1"/>
                  </w14:solidFill>
                </w14:textFill>
              </w:rPr>
              <w:t>0</w:t>
            </w:r>
          </w:p>
        </w:tc>
        <w:tc>
          <w:tcPr>
            <w:tcW w:w="1632" w:type="dxa"/>
            <w:tcBorders>
              <w:tl2br w:val="nil"/>
              <w:tr2bl w:val="nil"/>
            </w:tcBorders>
            <w:vAlign w:val="center"/>
          </w:tcPr>
          <w:p w14:paraId="1EA9A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未超标</w:t>
            </w:r>
          </w:p>
        </w:tc>
      </w:tr>
    </w:tbl>
    <w:p w14:paraId="01019DF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经预测，矿区各边界噪声贡献值均满足《工业企业厂界环境噪声排放标准》（GB12348-2008）2类标准要求，声环境影响可接受。</w:t>
      </w:r>
    </w:p>
    <w:p w14:paraId="0AE0918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（2）道路两侧噪声预测结果</w:t>
      </w:r>
    </w:p>
    <w:p w14:paraId="728A4CF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矿区内车辆、平路机运行噪声及鸣笛声，另外还有原矿、剥离物装卸过程中发出的噪声为主要运输噪声源，汽车全速行驶产生的交通噪声在73~82dB(A)之间，通常运输车辆、平路机出入采场内时速度相对缓慢，产生噪声在63~70dB(A)之间。车辆、平路机的出入路线避开外包基地，同时在矿区内减速</w:t>
      </w:r>
      <w:r>
        <w:rPr>
          <w:rFonts w:hint="eastAsia" w:cs="Times New Roman"/>
          <w:color w:val="000000" w:themeColor="text1"/>
          <w:sz w:val="24"/>
          <w:highlight w:val="none"/>
          <w:lang w:val="zh-CN" w:eastAsia="zh-CN"/>
          <w14:textFill>
            <w14:solidFill>
              <w14:schemeClr w14:val="tx1"/>
            </w14:solidFill>
          </w14:textFill>
        </w:rPr>
        <w:t>行驶</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，并尽量减少鸣笛次数。根据现场勘查，矿区道路周边无居民区，不会造成运输噪声扰民现象。</w:t>
      </w:r>
    </w:p>
    <w:p w14:paraId="18FA5BB9">
      <w:pPr>
        <w:pStyle w:val="5"/>
        <w:numPr>
          <w:ilvl w:val="3"/>
          <w:numId w:val="0"/>
        </w:numPr>
        <w:spacing w:before="0" w:after="0" w:line="520" w:lineRule="exact"/>
        <w:ind w:firstLine="482" w:firstLineChars="200"/>
        <w:jc w:val="both"/>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5.2.4.4声环境影响评价自查表</w:t>
      </w:r>
    </w:p>
    <w:p w14:paraId="026E5DB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本项目声环境影响评价自查表见表5.2-</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t>。</w:t>
      </w:r>
    </w:p>
    <w:p w14:paraId="301D70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p>
    <w:p w14:paraId="56891DCB">
      <w:pPr>
        <w:tabs>
          <w:tab w:val="left" w:pos="6840"/>
        </w:tabs>
        <w:spacing w:line="480" w:lineRule="exact"/>
        <w:ind w:firstLine="482" w:firstLineChars="200"/>
        <w:jc w:val="cente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w:t>
      </w:r>
      <w:r>
        <w:rPr>
          <w:rFonts w:hint="eastAsia" w:ascii="Times New Roman" w:hAnsi="Times New Roman" w:eastAsia="宋体" w:cs="Times New Roman"/>
          <w:b/>
          <w:bCs/>
          <w:color w:val="000000" w:themeColor="text1"/>
          <w:sz w:val="24"/>
          <w:highlight w:val="none"/>
          <w:lang w:val="zh-CN" w:eastAsia="zh-CN"/>
          <w14:textFill>
            <w14:solidFill>
              <w14:schemeClr w14:val="tx1"/>
            </w14:solidFill>
          </w14:textFill>
        </w:rPr>
        <w:t>1</w:t>
      </w:r>
      <w:r>
        <w:rPr>
          <w:rFonts w:hint="eastAsia"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声环境影响评价自查表</w:t>
      </w:r>
    </w:p>
    <w:tbl>
      <w:tblPr>
        <w:tblStyle w:val="79"/>
        <w:tblW w:w="83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15"/>
        <w:gridCol w:w="1304"/>
        <w:gridCol w:w="995"/>
        <w:gridCol w:w="511"/>
        <w:gridCol w:w="290"/>
        <w:gridCol w:w="205"/>
        <w:gridCol w:w="1011"/>
        <w:gridCol w:w="1025"/>
        <w:gridCol w:w="513"/>
        <w:gridCol w:w="475"/>
        <w:gridCol w:w="1086"/>
      </w:tblGrid>
      <w:tr w14:paraId="3DB3EE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tblHeader/>
          <w:jc w:val="center"/>
        </w:trPr>
        <w:tc>
          <w:tcPr>
            <w:tcW w:w="2219" w:type="dxa"/>
            <w:gridSpan w:val="2"/>
            <w:tcBorders>
              <w:tl2br w:val="nil"/>
              <w:tr2bl w:val="nil"/>
            </w:tcBorders>
            <w:vAlign w:val="center"/>
          </w:tcPr>
          <w:p w14:paraId="5330DFD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工作内容</w:t>
            </w:r>
          </w:p>
        </w:tc>
        <w:tc>
          <w:tcPr>
            <w:tcW w:w="6111" w:type="dxa"/>
            <w:gridSpan w:val="9"/>
            <w:tcBorders>
              <w:tl2br w:val="nil"/>
              <w:tr2bl w:val="nil"/>
            </w:tcBorders>
            <w:vAlign w:val="center"/>
          </w:tcPr>
          <w:p w14:paraId="640BEE31">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自查项目</w:t>
            </w:r>
          </w:p>
        </w:tc>
      </w:tr>
      <w:tr w14:paraId="523602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915" w:type="dxa"/>
            <w:vMerge w:val="restart"/>
            <w:tcBorders>
              <w:tl2br w:val="nil"/>
              <w:tr2bl w:val="nil"/>
            </w:tcBorders>
            <w:vAlign w:val="center"/>
          </w:tcPr>
          <w:p w14:paraId="1E938917">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评价等级与范围</w:t>
            </w:r>
          </w:p>
        </w:tc>
        <w:tc>
          <w:tcPr>
            <w:tcW w:w="1304" w:type="dxa"/>
            <w:tcBorders>
              <w:tl2br w:val="nil"/>
              <w:tr2bl w:val="nil"/>
            </w:tcBorders>
            <w:vAlign w:val="center"/>
          </w:tcPr>
          <w:p w14:paraId="5BB3E2D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评价等级</w:t>
            </w:r>
          </w:p>
        </w:tc>
        <w:tc>
          <w:tcPr>
            <w:tcW w:w="6111" w:type="dxa"/>
            <w:gridSpan w:val="9"/>
            <w:tcBorders>
              <w:tl2br w:val="nil"/>
              <w:tr2bl w:val="nil"/>
            </w:tcBorders>
            <w:vAlign w:val="center"/>
          </w:tcPr>
          <w:p w14:paraId="451796D3">
            <w:pPr>
              <w:pStyle w:val="679"/>
              <w:keepNext w:val="0"/>
              <w:keepLines w:val="0"/>
              <w:suppressLineNumbers w:val="0"/>
              <w:tabs>
                <w:tab w:val="left" w:pos="2103"/>
                <w:tab w:val="left" w:pos="3635"/>
              </w:tabs>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一级</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 二</w:t>
            </w:r>
            <w:r>
              <w:rPr>
                <w:rFonts w:hint="default" w:ascii="Times New Roman" w:hAnsi="Times New Roman" w:cs="Times New Roman"/>
                <w:color w:val="000000" w:themeColor="text1"/>
                <w:spacing w:val="-3"/>
                <w:sz w:val="21"/>
                <w:szCs w:val="21"/>
                <w14:textFill>
                  <w14:solidFill>
                    <w14:schemeClr w14:val="tx1"/>
                  </w14:solidFill>
                </w14:textFill>
              </w:rPr>
              <w:t>级</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 xml:space="preserve"> 三级</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6A7508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915" w:type="dxa"/>
            <w:vMerge w:val="continue"/>
            <w:tcBorders>
              <w:tl2br w:val="nil"/>
              <w:tr2bl w:val="nil"/>
            </w:tcBorders>
            <w:vAlign w:val="center"/>
          </w:tcPr>
          <w:p w14:paraId="660520D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208A836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评价范围</w:t>
            </w:r>
          </w:p>
        </w:tc>
        <w:tc>
          <w:tcPr>
            <w:tcW w:w="6111" w:type="dxa"/>
            <w:gridSpan w:val="9"/>
            <w:tcBorders>
              <w:tl2br w:val="nil"/>
              <w:tr2bl w:val="nil"/>
            </w:tcBorders>
            <w:vAlign w:val="center"/>
          </w:tcPr>
          <w:p w14:paraId="06570EF8">
            <w:pPr>
              <w:pStyle w:val="679"/>
              <w:keepNext w:val="0"/>
              <w:keepLines w:val="0"/>
              <w:suppressLineNumbers w:val="0"/>
              <w:tabs>
                <w:tab w:val="left" w:pos="2384"/>
                <w:tab w:val="left" w:pos="5315"/>
              </w:tabs>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200m</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大于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小于200m</w:t>
            </w:r>
            <w:r>
              <w:rPr>
                <w:rFonts w:hint="default" w:ascii="Times New Roman" w:hAnsi="Times New Roman" w:cs="Times New Roman"/>
                <w:color w:val="000000" w:themeColor="text1"/>
                <w:sz w:val="21"/>
                <w:szCs w:val="21"/>
                <w14:textFill>
                  <w14:solidFill>
                    <w14:schemeClr w14:val="tx1"/>
                  </w14:solidFill>
                </w14:textFill>
              </w:rPr>
              <w:sym w:font="Wingdings 2" w:char="0052"/>
            </w:r>
          </w:p>
        </w:tc>
      </w:tr>
      <w:tr w14:paraId="7D08E6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915" w:type="dxa"/>
            <w:tcBorders>
              <w:tl2br w:val="nil"/>
              <w:tr2bl w:val="nil"/>
            </w:tcBorders>
            <w:vAlign w:val="center"/>
          </w:tcPr>
          <w:p w14:paraId="429D7D27">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评价因子</w:t>
            </w:r>
          </w:p>
        </w:tc>
        <w:tc>
          <w:tcPr>
            <w:tcW w:w="1304" w:type="dxa"/>
            <w:tcBorders>
              <w:tl2br w:val="nil"/>
              <w:tr2bl w:val="nil"/>
            </w:tcBorders>
            <w:vAlign w:val="center"/>
          </w:tcPr>
          <w:p w14:paraId="3AEBA2D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评价因子</w:t>
            </w:r>
          </w:p>
        </w:tc>
        <w:tc>
          <w:tcPr>
            <w:tcW w:w="6111" w:type="dxa"/>
            <w:gridSpan w:val="9"/>
            <w:tcBorders>
              <w:tl2br w:val="nil"/>
              <w:tr2bl w:val="nil"/>
            </w:tcBorders>
            <w:vAlign w:val="center"/>
          </w:tcPr>
          <w:p w14:paraId="1D26CDAA">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等效连续A声级</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最大A声级</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计权等效连续感觉噪声级</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1A9ACD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915" w:type="dxa"/>
            <w:tcBorders>
              <w:tl2br w:val="nil"/>
              <w:tr2bl w:val="nil"/>
            </w:tcBorders>
            <w:vAlign w:val="center"/>
          </w:tcPr>
          <w:p w14:paraId="7BB5716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w:t>
            </w:r>
          </w:p>
        </w:tc>
        <w:tc>
          <w:tcPr>
            <w:tcW w:w="1304" w:type="dxa"/>
            <w:tcBorders>
              <w:tl2br w:val="nil"/>
              <w:tr2bl w:val="nil"/>
            </w:tcBorders>
            <w:vAlign w:val="center"/>
          </w:tcPr>
          <w:p w14:paraId="3C36560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w:t>
            </w:r>
          </w:p>
        </w:tc>
        <w:tc>
          <w:tcPr>
            <w:tcW w:w="6111" w:type="dxa"/>
            <w:gridSpan w:val="9"/>
            <w:tcBorders>
              <w:tl2br w:val="nil"/>
              <w:tr2bl w:val="nil"/>
            </w:tcBorders>
            <w:vAlign w:val="center"/>
          </w:tcPr>
          <w:p w14:paraId="6FF7744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国家标准</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地方标准</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国外标准</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32022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915" w:type="dxa"/>
            <w:vMerge w:val="restart"/>
            <w:tcBorders>
              <w:tl2br w:val="nil"/>
              <w:tr2bl w:val="nil"/>
            </w:tcBorders>
            <w:vAlign w:val="center"/>
          </w:tcPr>
          <w:p w14:paraId="4654B5C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现状评价</w:t>
            </w:r>
          </w:p>
        </w:tc>
        <w:tc>
          <w:tcPr>
            <w:tcW w:w="1304" w:type="dxa"/>
            <w:tcBorders>
              <w:tl2br w:val="nil"/>
              <w:tr2bl w:val="nil"/>
            </w:tcBorders>
            <w:vAlign w:val="center"/>
          </w:tcPr>
          <w:p w14:paraId="7B3345B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环境功能区</w:t>
            </w:r>
          </w:p>
        </w:tc>
        <w:tc>
          <w:tcPr>
            <w:tcW w:w="995" w:type="dxa"/>
            <w:tcBorders>
              <w:tl2br w:val="nil"/>
              <w:tr2bl w:val="nil"/>
            </w:tcBorders>
            <w:vAlign w:val="center"/>
          </w:tcPr>
          <w:p w14:paraId="48B7E3E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0类区</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1006" w:type="dxa"/>
            <w:gridSpan w:val="3"/>
            <w:tcBorders>
              <w:tl2br w:val="nil"/>
              <w:tr2bl w:val="nil"/>
            </w:tcBorders>
            <w:vAlign w:val="center"/>
          </w:tcPr>
          <w:p w14:paraId="0C45CCBC">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1类区</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1011" w:type="dxa"/>
            <w:tcBorders>
              <w:tl2br w:val="nil"/>
              <w:tr2bl w:val="nil"/>
            </w:tcBorders>
            <w:vAlign w:val="center"/>
          </w:tcPr>
          <w:p w14:paraId="1F14F03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2类区</w:t>
            </w:r>
            <w:r>
              <w:rPr>
                <w:rFonts w:hint="default" w:ascii="Times New Roman" w:hAnsi="Times New Roman" w:cs="Times New Roman"/>
                <w:color w:val="000000" w:themeColor="text1"/>
                <w:sz w:val="21"/>
                <w:szCs w:val="21"/>
                <w14:textFill>
                  <w14:solidFill>
                    <w14:schemeClr w14:val="tx1"/>
                  </w14:solidFill>
                </w14:textFill>
              </w:rPr>
              <w:sym w:font="Wingdings 2" w:char="0052"/>
            </w:r>
          </w:p>
        </w:tc>
        <w:tc>
          <w:tcPr>
            <w:tcW w:w="1025" w:type="dxa"/>
            <w:tcBorders>
              <w:tl2br w:val="nil"/>
              <w:tr2bl w:val="nil"/>
            </w:tcBorders>
            <w:vAlign w:val="center"/>
          </w:tcPr>
          <w:p w14:paraId="5DEA622A">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3类区</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988" w:type="dxa"/>
            <w:gridSpan w:val="2"/>
            <w:tcBorders>
              <w:tl2br w:val="nil"/>
              <w:tr2bl w:val="nil"/>
            </w:tcBorders>
            <w:vAlign w:val="center"/>
          </w:tcPr>
          <w:p w14:paraId="5B258B24">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4a类区</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1086" w:type="dxa"/>
            <w:tcBorders>
              <w:tl2br w:val="nil"/>
              <w:tr2bl w:val="nil"/>
            </w:tcBorders>
            <w:vAlign w:val="center"/>
          </w:tcPr>
          <w:p w14:paraId="002A6BC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4b类区</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6DFA93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915" w:type="dxa"/>
            <w:vMerge w:val="continue"/>
            <w:tcBorders>
              <w:tl2br w:val="nil"/>
              <w:tr2bl w:val="nil"/>
            </w:tcBorders>
            <w:vAlign w:val="center"/>
          </w:tcPr>
          <w:p w14:paraId="7C44E55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4692D178">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评价年度</w:t>
            </w:r>
          </w:p>
        </w:tc>
        <w:tc>
          <w:tcPr>
            <w:tcW w:w="1506" w:type="dxa"/>
            <w:gridSpan w:val="2"/>
            <w:tcBorders>
              <w:tl2br w:val="nil"/>
              <w:tr2bl w:val="nil"/>
            </w:tcBorders>
            <w:vAlign w:val="center"/>
          </w:tcPr>
          <w:p w14:paraId="67FEA867">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初期</w:t>
            </w:r>
            <w:r>
              <w:rPr>
                <w:rFonts w:hint="default" w:ascii="Times New Roman" w:hAnsi="Times New Roman" w:cs="Times New Roman"/>
                <w:color w:val="000000" w:themeColor="text1"/>
                <w:sz w:val="21"/>
                <w:szCs w:val="21"/>
                <w14:textFill>
                  <w14:solidFill>
                    <w14:schemeClr w14:val="tx1"/>
                  </w14:solidFill>
                </w14:textFill>
              </w:rPr>
              <w:sym w:font="Wingdings 2" w:char="0052"/>
            </w:r>
          </w:p>
        </w:tc>
        <w:tc>
          <w:tcPr>
            <w:tcW w:w="1506" w:type="dxa"/>
            <w:gridSpan w:val="3"/>
            <w:tcBorders>
              <w:tl2br w:val="nil"/>
              <w:tr2bl w:val="nil"/>
            </w:tcBorders>
            <w:vAlign w:val="center"/>
          </w:tcPr>
          <w:p w14:paraId="55C20D8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近期</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1538" w:type="dxa"/>
            <w:gridSpan w:val="2"/>
            <w:tcBorders>
              <w:tl2br w:val="nil"/>
              <w:tr2bl w:val="nil"/>
            </w:tcBorders>
            <w:vAlign w:val="center"/>
          </w:tcPr>
          <w:p w14:paraId="15108D48">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中期</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1561" w:type="dxa"/>
            <w:gridSpan w:val="2"/>
            <w:tcBorders>
              <w:tl2br w:val="nil"/>
              <w:tr2bl w:val="nil"/>
            </w:tcBorders>
            <w:vAlign w:val="center"/>
          </w:tcPr>
          <w:p w14:paraId="68A61347">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远期</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313B84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5" w:type="dxa"/>
            <w:vMerge w:val="continue"/>
            <w:tcBorders>
              <w:tl2br w:val="nil"/>
              <w:tr2bl w:val="nil"/>
            </w:tcBorders>
            <w:vAlign w:val="center"/>
          </w:tcPr>
          <w:p w14:paraId="7422B30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48DB790A">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现状调查方法</w:t>
            </w:r>
          </w:p>
        </w:tc>
        <w:tc>
          <w:tcPr>
            <w:tcW w:w="6111" w:type="dxa"/>
            <w:gridSpan w:val="9"/>
            <w:tcBorders>
              <w:tl2br w:val="nil"/>
              <w:tr2bl w:val="nil"/>
            </w:tcBorders>
            <w:vAlign w:val="center"/>
          </w:tcPr>
          <w:p w14:paraId="1063729A">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现场实测法</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现场实测加模型计算法</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收集资料</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4194D5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915" w:type="dxa"/>
            <w:vMerge w:val="continue"/>
            <w:tcBorders>
              <w:tl2br w:val="nil"/>
              <w:tr2bl w:val="nil"/>
            </w:tcBorders>
            <w:vAlign w:val="center"/>
          </w:tcPr>
          <w:p w14:paraId="54F48D9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03128481">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现状评价</w:t>
            </w:r>
          </w:p>
        </w:tc>
        <w:tc>
          <w:tcPr>
            <w:tcW w:w="1796" w:type="dxa"/>
            <w:gridSpan w:val="3"/>
            <w:tcBorders>
              <w:tl2br w:val="nil"/>
              <w:tr2bl w:val="nil"/>
            </w:tcBorders>
            <w:vAlign w:val="center"/>
          </w:tcPr>
          <w:p w14:paraId="4AFDB544">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达标百分比</w:t>
            </w:r>
          </w:p>
        </w:tc>
        <w:tc>
          <w:tcPr>
            <w:tcW w:w="4315" w:type="dxa"/>
            <w:gridSpan w:val="6"/>
            <w:tcBorders>
              <w:tl2br w:val="nil"/>
              <w:tr2bl w:val="nil"/>
            </w:tcBorders>
            <w:vAlign w:val="center"/>
          </w:tcPr>
          <w:p w14:paraId="47E0060F">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r>
      <w:tr w14:paraId="1160B3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1" w:hRule="atLeast"/>
          <w:jc w:val="center"/>
        </w:trPr>
        <w:tc>
          <w:tcPr>
            <w:tcW w:w="915" w:type="dxa"/>
            <w:tcBorders>
              <w:tl2br w:val="nil"/>
              <w:tr2bl w:val="nil"/>
            </w:tcBorders>
            <w:vAlign w:val="center"/>
          </w:tcPr>
          <w:p w14:paraId="425C4FEB">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噪声源调查</w:t>
            </w:r>
          </w:p>
        </w:tc>
        <w:tc>
          <w:tcPr>
            <w:tcW w:w="1304" w:type="dxa"/>
            <w:tcBorders>
              <w:tl2br w:val="nil"/>
              <w:tr2bl w:val="nil"/>
            </w:tcBorders>
            <w:vAlign w:val="center"/>
          </w:tcPr>
          <w:p w14:paraId="4FB6DF0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噪声源调查方法</w:t>
            </w:r>
          </w:p>
        </w:tc>
        <w:tc>
          <w:tcPr>
            <w:tcW w:w="6111" w:type="dxa"/>
            <w:gridSpan w:val="9"/>
            <w:tcBorders>
              <w:tl2br w:val="nil"/>
              <w:tr2bl w:val="nil"/>
            </w:tcBorders>
            <w:vAlign w:val="center"/>
          </w:tcPr>
          <w:p w14:paraId="357A3A8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现场实测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已有资料</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研究成果</w:t>
            </w:r>
            <w:r>
              <w:rPr>
                <w:rFonts w:hint="default" w:ascii="Times New Roman" w:hAnsi="Times New Roman" w:cs="Times New Roman"/>
                <w:color w:val="000000" w:themeColor="text1"/>
                <w:sz w:val="21"/>
                <w:szCs w:val="21"/>
                <w14:textFill>
                  <w14:solidFill>
                    <w14:schemeClr w14:val="tx1"/>
                  </w14:solidFill>
                </w14:textFill>
              </w:rPr>
              <w:sym w:font="Wingdings 2" w:char="0052"/>
            </w:r>
          </w:p>
        </w:tc>
      </w:tr>
      <w:tr w14:paraId="634E51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6" w:hRule="atLeast"/>
          <w:jc w:val="center"/>
        </w:trPr>
        <w:tc>
          <w:tcPr>
            <w:tcW w:w="915" w:type="dxa"/>
            <w:vMerge w:val="restart"/>
            <w:tcBorders>
              <w:tl2br w:val="nil"/>
              <w:tr2bl w:val="nil"/>
            </w:tcBorders>
            <w:vAlign w:val="center"/>
          </w:tcPr>
          <w:p w14:paraId="44C9716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声环境影响预测与评价</w:t>
            </w:r>
          </w:p>
        </w:tc>
        <w:tc>
          <w:tcPr>
            <w:tcW w:w="1304" w:type="dxa"/>
            <w:tcBorders>
              <w:tl2br w:val="nil"/>
              <w:tr2bl w:val="nil"/>
            </w:tcBorders>
            <w:vAlign w:val="center"/>
          </w:tcPr>
          <w:p w14:paraId="2278C4C1">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预测模型</w:t>
            </w:r>
          </w:p>
        </w:tc>
        <w:tc>
          <w:tcPr>
            <w:tcW w:w="6111" w:type="dxa"/>
            <w:gridSpan w:val="9"/>
            <w:tcBorders>
              <w:tl2br w:val="nil"/>
              <w:tr2bl w:val="nil"/>
            </w:tcBorders>
            <w:vAlign w:val="center"/>
          </w:tcPr>
          <w:p w14:paraId="41426E88">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导则推荐模型</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u w:val="single"/>
                <w14:textFill>
                  <w14:solidFill>
                    <w14:schemeClr w14:val="tx1"/>
                  </w14:solidFill>
                </w14:textFill>
              </w:rPr>
              <w:t xml:space="preserve">      </w:t>
            </w:r>
          </w:p>
        </w:tc>
      </w:tr>
      <w:tr w14:paraId="08BF8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915" w:type="dxa"/>
            <w:vMerge w:val="continue"/>
            <w:tcBorders>
              <w:tl2br w:val="nil"/>
              <w:tr2bl w:val="nil"/>
            </w:tcBorders>
            <w:vAlign w:val="center"/>
          </w:tcPr>
          <w:p w14:paraId="5078DDA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45EAAF6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预测范围</w:t>
            </w:r>
          </w:p>
        </w:tc>
        <w:tc>
          <w:tcPr>
            <w:tcW w:w="6111" w:type="dxa"/>
            <w:gridSpan w:val="9"/>
            <w:tcBorders>
              <w:tl2br w:val="nil"/>
              <w:tr2bl w:val="nil"/>
            </w:tcBorders>
            <w:vAlign w:val="center"/>
          </w:tcPr>
          <w:p w14:paraId="2FDF5669">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200m</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 大于200m</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 小于200m</w:t>
            </w:r>
            <w:r>
              <w:rPr>
                <w:rFonts w:hint="default" w:ascii="Times New Roman" w:hAnsi="Times New Roman" w:cs="Times New Roman"/>
                <w:color w:val="000000" w:themeColor="text1"/>
                <w:sz w:val="21"/>
                <w:szCs w:val="21"/>
                <w14:textFill>
                  <w14:solidFill>
                    <w14:schemeClr w14:val="tx1"/>
                  </w14:solidFill>
                </w14:textFill>
              </w:rPr>
              <w:sym w:font="Wingdings 2" w:char="0052"/>
            </w:r>
          </w:p>
        </w:tc>
      </w:tr>
      <w:tr w14:paraId="231A7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915" w:type="dxa"/>
            <w:vMerge w:val="continue"/>
            <w:tcBorders>
              <w:tl2br w:val="nil"/>
              <w:tr2bl w:val="nil"/>
            </w:tcBorders>
            <w:vAlign w:val="center"/>
          </w:tcPr>
          <w:p w14:paraId="1CD8586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2278F0BB">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预测因子</w:t>
            </w:r>
          </w:p>
        </w:tc>
        <w:tc>
          <w:tcPr>
            <w:tcW w:w="6111" w:type="dxa"/>
            <w:gridSpan w:val="9"/>
            <w:tcBorders>
              <w:tl2br w:val="nil"/>
              <w:tr2bl w:val="nil"/>
            </w:tcBorders>
            <w:vAlign w:val="center"/>
          </w:tcPr>
          <w:p w14:paraId="117E677C">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等效连续A声级</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 xml:space="preserve"> 最大A声级</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 计权等效连续感觉噪声级</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1AAA25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915" w:type="dxa"/>
            <w:vMerge w:val="continue"/>
            <w:tcBorders>
              <w:tl2br w:val="nil"/>
              <w:tr2bl w:val="nil"/>
            </w:tcBorders>
            <w:vAlign w:val="center"/>
          </w:tcPr>
          <w:p w14:paraId="6D0956A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203FEDC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厂界噪声贡献值</w:t>
            </w:r>
          </w:p>
        </w:tc>
        <w:tc>
          <w:tcPr>
            <w:tcW w:w="6111" w:type="dxa"/>
            <w:gridSpan w:val="9"/>
            <w:tcBorders>
              <w:tl2br w:val="nil"/>
              <w:tr2bl w:val="nil"/>
            </w:tcBorders>
            <w:vAlign w:val="center"/>
          </w:tcPr>
          <w:p w14:paraId="755F37A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达标 </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 xml:space="preserve">  不达标</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381C37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7" w:hRule="atLeast"/>
          <w:jc w:val="center"/>
        </w:trPr>
        <w:tc>
          <w:tcPr>
            <w:tcW w:w="915" w:type="dxa"/>
            <w:vMerge w:val="continue"/>
            <w:tcBorders>
              <w:tl2br w:val="nil"/>
              <w:tr2bl w:val="nil"/>
            </w:tcBorders>
            <w:vAlign w:val="center"/>
          </w:tcPr>
          <w:p w14:paraId="4D579A9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12E7ADAF">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声环境保护目标处噪声值</w:t>
            </w:r>
          </w:p>
        </w:tc>
        <w:tc>
          <w:tcPr>
            <w:tcW w:w="6111" w:type="dxa"/>
            <w:gridSpan w:val="9"/>
            <w:tcBorders>
              <w:tl2br w:val="nil"/>
              <w:tr2bl w:val="nil"/>
            </w:tcBorders>
            <w:vAlign w:val="center"/>
          </w:tcPr>
          <w:p w14:paraId="1B2191C9">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 xml:space="preserve">  不达标</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7DE5F2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15" w:type="dxa"/>
            <w:vMerge w:val="restart"/>
            <w:tcBorders>
              <w:tl2br w:val="nil"/>
              <w:tr2bl w:val="nil"/>
            </w:tcBorders>
            <w:vAlign w:val="center"/>
          </w:tcPr>
          <w:p w14:paraId="5B0E0C2C">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环境监测计划</w:t>
            </w:r>
          </w:p>
        </w:tc>
        <w:tc>
          <w:tcPr>
            <w:tcW w:w="1304" w:type="dxa"/>
            <w:tcBorders>
              <w:tl2br w:val="nil"/>
              <w:tr2bl w:val="nil"/>
            </w:tcBorders>
            <w:vAlign w:val="center"/>
          </w:tcPr>
          <w:p w14:paraId="52E7593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排放监测</w:t>
            </w:r>
          </w:p>
        </w:tc>
        <w:tc>
          <w:tcPr>
            <w:tcW w:w="6111" w:type="dxa"/>
            <w:gridSpan w:val="9"/>
            <w:tcBorders>
              <w:tl2br w:val="nil"/>
              <w:tr2bl w:val="nil"/>
            </w:tcBorders>
            <w:vAlign w:val="center"/>
          </w:tcPr>
          <w:p w14:paraId="5924BAF6">
            <w:pPr>
              <w:pStyle w:val="679"/>
              <w:keepNext w:val="0"/>
              <w:keepLines w:val="0"/>
              <w:suppressLineNumbers w:val="0"/>
              <w:tabs>
                <w:tab w:val="left" w:pos="1621"/>
              </w:tabs>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厂界监测</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固定位置监</w:t>
            </w:r>
            <w:r>
              <w:rPr>
                <w:rFonts w:hint="default" w:ascii="Times New Roman" w:hAnsi="Times New Roman" w:cs="Times New Roman"/>
                <w:color w:val="000000" w:themeColor="text1"/>
                <w:spacing w:val="-3"/>
                <w:sz w:val="21"/>
                <w:szCs w:val="21"/>
                <w14:textFill>
                  <w14:solidFill>
                    <w14:schemeClr w14:val="tx1"/>
                  </w14:solidFill>
                </w14:textFill>
              </w:rPr>
              <w:t>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自动监测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手动监测</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无监测</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0FBCAC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915" w:type="dxa"/>
            <w:vMerge w:val="continue"/>
            <w:tcBorders>
              <w:tl2br w:val="nil"/>
              <w:tr2bl w:val="nil"/>
            </w:tcBorders>
            <w:vAlign w:val="center"/>
          </w:tcPr>
          <w:p w14:paraId="3EA3355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304" w:type="dxa"/>
            <w:tcBorders>
              <w:tl2br w:val="nil"/>
              <w:tr2bl w:val="nil"/>
            </w:tcBorders>
            <w:vAlign w:val="center"/>
          </w:tcPr>
          <w:p w14:paraId="75117231">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声环境保护目标处噪声监测</w:t>
            </w:r>
          </w:p>
        </w:tc>
        <w:tc>
          <w:tcPr>
            <w:tcW w:w="3012" w:type="dxa"/>
            <w:gridSpan w:val="5"/>
            <w:tcBorders>
              <w:tl2br w:val="nil"/>
              <w:tr2bl w:val="nil"/>
            </w:tcBorders>
            <w:vAlign w:val="center"/>
          </w:tcPr>
          <w:p w14:paraId="668015E5">
            <w:pPr>
              <w:pStyle w:val="679"/>
              <w:keepNext w:val="0"/>
              <w:keepLines w:val="0"/>
              <w:suppressLineNumbers w:val="0"/>
              <w:tabs>
                <w:tab w:val="left" w:pos="2252"/>
              </w:tabs>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监测因子</w:t>
            </w:r>
            <w:r>
              <w:rPr>
                <w:rFonts w:hint="default" w:ascii="Times New Roman" w:hAnsi="Times New Roman" w:cs="Times New Roman"/>
                <w:color w:val="000000" w:themeColor="text1"/>
                <w:spacing w:val="-92"/>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（等效A声级）</w:t>
            </w:r>
          </w:p>
        </w:tc>
        <w:tc>
          <w:tcPr>
            <w:tcW w:w="2013" w:type="dxa"/>
            <w:gridSpan w:val="3"/>
            <w:tcBorders>
              <w:tl2br w:val="nil"/>
              <w:tr2bl w:val="nil"/>
            </w:tcBorders>
            <w:vAlign w:val="center"/>
          </w:tcPr>
          <w:p w14:paraId="1A01BCB6">
            <w:pPr>
              <w:pStyle w:val="679"/>
              <w:keepNext w:val="0"/>
              <w:keepLines w:val="0"/>
              <w:suppressLineNumbers w:val="0"/>
              <w:tabs>
                <w:tab w:val="left" w:pos="1735"/>
              </w:tabs>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监测点位数</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1086" w:type="dxa"/>
            <w:tcBorders>
              <w:tl2br w:val="nil"/>
              <w:tr2bl w:val="nil"/>
            </w:tcBorders>
            <w:vAlign w:val="center"/>
          </w:tcPr>
          <w:p w14:paraId="4887636C">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无监测</w:t>
            </w:r>
            <w:r>
              <w:rPr>
                <w:rFonts w:hint="default" w:ascii="Times New Roman" w:hAnsi="Times New Roman" w:cs="Times New Roman"/>
                <w:color w:val="000000" w:themeColor="text1"/>
                <w:sz w:val="21"/>
                <w:szCs w:val="21"/>
                <w14:textFill>
                  <w14:solidFill>
                    <w14:schemeClr w14:val="tx1"/>
                  </w14:solidFill>
                </w14:textFill>
              </w:rPr>
              <w:sym w:font="Wingdings 2" w:char="0052"/>
            </w:r>
          </w:p>
        </w:tc>
      </w:tr>
      <w:tr w14:paraId="7C6017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915" w:type="dxa"/>
            <w:tcBorders>
              <w:tl2br w:val="nil"/>
              <w:tr2bl w:val="nil"/>
            </w:tcBorders>
            <w:vAlign w:val="center"/>
          </w:tcPr>
          <w:p w14:paraId="27A58CD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评价结论</w:t>
            </w:r>
          </w:p>
        </w:tc>
        <w:tc>
          <w:tcPr>
            <w:tcW w:w="1304" w:type="dxa"/>
            <w:tcBorders>
              <w:tl2br w:val="nil"/>
              <w:tr2bl w:val="nil"/>
            </w:tcBorders>
            <w:vAlign w:val="center"/>
          </w:tcPr>
          <w:p w14:paraId="53F6D772">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环境影响</w:t>
            </w:r>
          </w:p>
        </w:tc>
        <w:tc>
          <w:tcPr>
            <w:tcW w:w="6111" w:type="dxa"/>
            <w:gridSpan w:val="9"/>
            <w:tcBorders>
              <w:tl2br w:val="nil"/>
              <w:tr2bl w:val="nil"/>
            </w:tcBorders>
            <w:vAlign w:val="center"/>
          </w:tcPr>
          <w:p w14:paraId="2F4C1EE3">
            <w:pPr>
              <w:pStyle w:val="679"/>
              <w:keepNext w:val="0"/>
              <w:keepLines w:val="0"/>
              <w:suppressLineNumbers w:val="0"/>
              <w:tabs>
                <w:tab w:val="left" w:pos="1202"/>
              </w:tabs>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可行</w:t>
            </w: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不可行</w:t>
            </w:r>
            <w:r>
              <w:rPr>
                <w:rFonts w:hint="default" w:ascii="Times New Roman" w:hAnsi="Times New Roman" w:cs="Times New Roman"/>
                <w:color w:val="000000" w:themeColor="text1"/>
                <w:sz w:val="21"/>
                <w:szCs w:val="21"/>
                <w14:textFill>
                  <w14:solidFill>
                    <w14:schemeClr w14:val="tx1"/>
                  </w14:solidFill>
                </w14:textFill>
              </w:rPr>
              <w:sym w:font="Wingdings 2" w:char="00A3"/>
            </w:r>
          </w:p>
        </w:tc>
      </w:tr>
      <w:tr w14:paraId="704F4C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8330" w:type="dxa"/>
            <w:gridSpan w:val="11"/>
            <w:tcBorders>
              <w:tl2br w:val="nil"/>
              <w:tr2bl w:val="nil"/>
            </w:tcBorders>
            <w:vAlign w:val="center"/>
          </w:tcPr>
          <w:p w14:paraId="64FFACE7">
            <w:pPr>
              <w:pStyle w:val="679"/>
              <w:keepNext w:val="0"/>
              <w:keepLines w:val="0"/>
              <w:suppressLineNumbers w:val="0"/>
              <w:tabs>
                <w:tab w:val="left" w:pos="3079"/>
              </w:tabs>
              <w:spacing w:before="0" w:beforeAutospacing="0" w:after="0" w:afterAutospacing="0" w:line="360" w:lineRule="exact"/>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w:t>
            </w:r>
            <w:r>
              <w:rPr>
                <w:rFonts w:hint="default" w:ascii="Times New Roman" w:hAnsi="Times New Roman" w:cs="Times New Roman"/>
                <w:color w:val="000000" w:themeColor="text1"/>
                <w:spacing w:val="-92"/>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pacing w:val="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为勾选项，可√，“（）”为内容填写项。</w:t>
            </w:r>
          </w:p>
        </w:tc>
      </w:tr>
    </w:tbl>
    <w:p w14:paraId="27F2B715">
      <w:pPr>
        <w:pStyle w:val="4"/>
        <w:spacing w:before="60" w:after="60" w:line="480" w:lineRule="exact"/>
        <w:rPr>
          <w:color w:val="000000" w:themeColor="text1"/>
          <w14:textFill>
            <w14:solidFill>
              <w14:schemeClr w14:val="tx1"/>
            </w14:solidFill>
          </w14:textFill>
        </w:rPr>
      </w:pPr>
      <w:bookmarkStart w:id="440" w:name="_Toc2050"/>
      <w:r>
        <w:rPr>
          <w:rFonts w:hint="eastAsia"/>
          <w:color w:val="000000" w:themeColor="text1"/>
          <w:kern w:val="2"/>
          <w14:textFill>
            <w14:solidFill>
              <w14:schemeClr w14:val="tx1"/>
            </w14:solidFill>
          </w14:textFill>
        </w:rPr>
        <w:t>5.2.5</w:t>
      </w:r>
      <w:r>
        <w:rPr>
          <w:color w:val="000000" w:themeColor="text1"/>
          <w14:textFill>
            <w14:solidFill>
              <w14:schemeClr w14:val="tx1"/>
            </w14:solidFill>
          </w14:textFill>
        </w:rPr>
        <w:t>固体废物对环境的影响评价</w:t>
      </w:r>
      <w:bookmarkEnd w:id="440"/>
    </w:p>
    <w:p w14:paraId="2DAF4B6C">
      <w:pPr>
        <w:pStyle w:val="5"/>
        <w:numPr>
          <w:ilvl w:val="3"/>
          <w:numId w:val="0"/>
        </w:numPr>
        <w:spacing w:before="0" w:after="0" w:line="520" w:lineRule="exact"/>
        <w:ind w:firstLine="482" w:firstLineChars="200"/>
        <w:jc w:val="both"/>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5.2.5.1运营期固体废物环境影响分析</w:t>
      </w:r>
    </w:p>
    <w:p w14:paraId="204CBB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本项目运营期产生的固体废物包括采矿废石、生活垃圾、沉淀池底泥、污水处理站底泥以及废矿物油、废油桶等。</w:t>
      </w:r>
    </w:p>
    <w:p w14:paraId="16033A2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（1）采矿废石</w:t>
      </w:r>
    </w:p>
    <w:p w14:paraId="65FE8B1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根据矿区废石（代码：08</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w:t>
      </w:r>
      <w:r>
        <w:rPr>
          <w:rFonts w:hint="eastAsia" w:cs="Times New Roman"/>
          <w:color w:val="000000" w:themeColor="text1"/>
          <w:sz w:val="24"/>
          <w:szCs w:val="24"/>
          <w:lang w:val="en-US" w:eastAsia="zh-CN"/>
          <w14:textFill>
            <w14:solidFill>
              <w14:schemeClr w14:val="tx1"/>
            </w14:solidFill>
          </w14:textFill>
        </w:rPr>
        <w:t>S29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）检测结果，对照《危险废物鉴别标准 浸出毒性鉴别》（GB5085.3-2007）的鉴别标准进行分析判断废石的性质，对照《污水综合排放标准》（GB8978-1996）中最高允许排放浓度来确定固体废物类别，分析详见表5.2-1</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～表5.2-</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75CCAFDF">
      <w:pPr>
        <w:keepNext w:val="0"/>
        <w:keepLines w:val="0"/>
        <w:pageBreakBefore w:val="0"/>
        <w:widowControl w:val="0"/>
        <w:tabs>
          <w:tab w:val="left" w:pos="6840"/>
        </w:tabs>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eastAsia"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废石浸出试验结果统计    单位：mg/L，pH值除外</w:t>
      </w:r>
    </w:p>
    <w:tbl>
      <w:tblPr>
        <w:tblStyle w:val="79"/>
        <w:tblW w:w="8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46"/>
        <w:gridCol w:w="1055"/>
        <w:gridCol w:w="1057"/>
        <w:gridCol w:w="1058"/>
        <w:gridCol w:w="1055"/>
        <w:gridCol w:w="1058"/>
        <w:gridCol w:w="1058"/>
        <w:gridCol w:w="970"/>
      </w:tblGrid>
      <w:tr w14:paraId="3887B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046" w:type="dxa"/>
            <w:tcBorders>
              <w:tl2br w:val="nil"/>
              <w:tr2bl w:val="nil"/>
            </w:tcBorders>
            <w:vAlign w:val="center"/>
          </w:tcPr>
          <w:p w14:paraId="5FB9F9D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检测项目</w:t>
            </w:r>
          </w:p>
        </w:tc>
        <w:tc>
          <w:tcPr>
            <w:tcW w:w="7311" w:type="dxa"/>
            <w:gridSpan w:val="7"/>
            <w:tcBorders>
              <w:tl2br w:val="nil"/>
              <w:tr2bl w:val="nil"/>
            </w:tcBorders>
            <w:vAlign w:val="center"/>
          </w:tcPr>
          <w:p w14:paraId="0B07219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pH、砷、</w:t>
            </w:r>
            <w:r>
              <w:rPr>
                <w:rFonts w:hint="default" w:ascii="Times New Roman" w:hAnsi="Times New Roman" w:cs="Times New Roman" w:eastAsiaTheme="minorEastAsia"/>
                <w:b/>
                <w:bCs w:val="0"/>
                <w:color w:val="000000" w:themeColor="text1"/>
                <w:sz w:val="21"/>
                <w:szCs w:val="21"/>
                <w:highlight w:val="none"/>
                <w:lang w:eastAsia="zh-CN"/>
                <w14:textFill>
                  <w14:solidFill>
                    <w14:schemeClr w14:val="tx1"/>
                  </w14:solidFill>
                </w14:textFill>
              </w:rPr>
              <w:t>镉、总铬</w:t>
            </w: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bCs w:val="0"/>
                <w:color w:val="000000" w:themeColor="text1"/>
                <w:sz w:val="21"/>
                <w:szCs w:val="21"/>
                <w:highlight w:val="none"/>
                <w:lang w:val="en-US" w:eastAsia="zh-CN"/>
                <w14:textFill>
                  <w14:solidFill>
                    <w14:schemeClr w14:val="tx1"/>
                  </w14:solidFill>
                </w14:textFill>
              </w:rPr>
              <w:t>铜</w:t>
            </w: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bCs w:val="0"/>
                <w:color w:val="000000" w:themeColor="text1"/>
                <w:sz w:val="21"/>
                <w:szCs w:val="21"/>
                <w:highlight w:val="none"/>
                <w:lang w:val="en-US" w:eastAsia="zh-CN"/>
                <w14:textFill>
                  <w14:solidFill>
                    <w14:schemeClr w14:val="tx1"/>
                  </w14:solidFill>
                </w14:textFill>
              </w:rPr>
              <w:t>铅、</w:t>
            </w: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汞、</w:t>
            </w:r>
            <w:r>
              <w:rPr>
                <w:rFonts w:hint="default" w:ascii="Times New Roman" w:hAnsi="Times New Roman" w:cs="Times New Roman" w:eastAsiaTheme="minorEastAsia"/>
                <w:b/>
                <w:bCs w:val="0"/>
                <w:color w:val="000000" w:themeColor="text1"/>
                <w:sz w:val="21"/>
                <w:szCs w:val="21"/>
                <w:highlight w:val="none"/>
                <w:lang w:eastAsia="zh-CN"/>
                <w14:textFill>
                  <w14:solidFill>
                    <w14:schemeClr w14:val="tx1"/>
                  </w14:solidFill>
                </w14:textFill>
              </w:rPr>
              <w:t>镍</w:t>
            </w: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b/>
                <w:bCs w:val="0"/>
                <w:color w:val="000000" w:themeColor="text1"/>
                <w:sz w:val="21"/>
                <w:szCs w:val="21"/>
                <w:highlight w:val="none"/>
                <w:lang w:eastAsia="zh-CN"/>
                <w14:textFill>
                  <w14:solidFill>
                    <w14:schemeClr w14:val="tx1"/>
                  </w14:solidFill>
                </w14:textFill>
              </w:rPr>
              <w:t>锌</w:t>
            </w: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w:t>
            </w:r>
            <w:r>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t>六价铬</w:t>
            </w: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w:t>
            </w:r>
            <w:r>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t>铍、银</w:t>
            </w:r>
          </w:p>
        </w:tc>
      </w:tr>
      <w:tr w14:paraId="6D8EE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046" w:type="dxa"/>
            <w:tcBorders>
              <w:tl2br w:val="nil"/>
              <w:tr2bl w:val="nil"/>
            </w:tcBorders>
            <w:vAlign w:val="center"/>
          </w:tcPr>
          <w:p w14:paraId="5D0D11D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分析项目</w:t>
            </w:r>
          </w:p>
        </w:tc>
        <w:tc>
          <w:tcPr>
            <w:tcW w:w="1055" w:type="dxa"/>
            <w:tcBorders>
              <w:tl2br w:val="nil"/>
              <w:tr2bl w:val="nil"/>
            </w:tcBorders>
            <w:vAlign w:val="center"/>
          </w:tcPr>
          <w:p w14:paraId="76262D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pH</w:t>
            </w:r>
          </w:p>
        </w:tc>
        <w:tc>
          <w:tcPr>
            <w:tcW w:w="1057" w:type="dxa"/>
            <w:tcBorders>
              <w:tl2br w:val="nil"/>
              <w:tr2bl w:val="nil"/>
            </w:tcBorders>
            <w:vAlign w:val="center"/>
          </w:tcPr>
          <w:p w14:paraId="0743B2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砷</w:t>
            </w:r>
          </w:p>
        </w:tc>
        <w:tc>
          <w:tcPr>
            <w:tcW w:w="1058" w:type="dxa"/>
            <w:tcBorders>
              <w:tl2br w:val="nil"/>
              <w:tr2bl w:val="nil"/>
            </w:tcBorders>
            <w:vAlign w:val="center"/>
          </w:tcPr>
          <w:p w14:paraId="7DB781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镉</w:t>
            </w:r>
          </w:p>
        </w:tc>
        <w:tc>
          <w:tcPr>
            <w:tcW w:w="1055" w:type="dxa"/>
            <w:tcBorders>
              <w:tl2br w:val="nil"/>
              <w:tr2bl w:val="nil"/>
            </w:tcBorders>
            <w:vAlign w:val="center"/>
          </w:tcPr>
          <w:p w14:paraId="397BA3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总铬</w:t>
            </w:r>
          </w:p>
        </w:tc>
        <w:tc>
          <w:tcPr>
            <w:tcW w:w="1058" w:type="dxa"/>
            <w:tcBorders>
              <w:tl2br w:val="nil"/>
              <w:tr2bl w:val="nil"/>
            </w:tcBorders>
            <w:vAlign w:val="center"/>
          </w:tcPr>
          <w:p w14:paraId="6D53FB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铜</w:t>
            </w:r>
          </w:p>
        </w:tc>
        <w:tc>
          <w:tcPr>
            <w:tcW w:w="1058" w:type="dxa"/>
            <w:tcBorders>
              <w:tl2br w:val="nil"/>
              <w:tr2bl w:val="nil"/>
            </w:tcBorders>
            <w:vAlign w:val="center"/>
          </w:tcPr>
          <w:p w14:paraId="6A1FD8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铅</w:t>
            </w:r>
          </w:p>
        </w:tc>
        <w:tc>
          <w:tcPr>
            <w:tcW w:w="970" w:type="dxa"/>
            <w:tcBorders>
              <w:tl2br w:val="nil"/>
              <w:tr2bl w:val="nil"/>
            </w:tcBorders>
            <w:vAlign w:val="center"/>
          </w:tcPr>
          <w:p w14:paraId="6ABA7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汞</w:t>
            </w:r>
          </w:p>
        </w:tc>
      </w:tr>
      <w:tr w14:paraId="6FA30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046" w:type="dxa"/>
            <w:tcBorders>
              <w:tl2br w:val="nil"/>
              <w:tr2bl w:val="nil"/>
            </w:tcBorders>
            <w:vAlign w:val="center"/>
          </w:tcPr>
          <w:p w14:paraId="241180E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检测结果</w:t>
            </w:r>
          </w:p>
        </w:tc>
        <w:tc>
          <w:tcPr>
            <w:tcW w:w="1055" w:type="dxa"/>
            <w:tcBorders>
              <w:tl2br w:val="nil"/>
              <w:tr2bl w:val="nil"/>
            </w:tcBorders>
            <w:vAlign w:val="center"/>
          </w:tcPr>
          <w:p w14:paraId="396B04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8.92</w:t>
            </w:r>
          </w:p>
        </w:tc>
        <w:tc>
          <w:tcPr>
            <w:tcW w:w="1057" w:type="dxa"/>
            <w:tcBorders>
              <w:tl2br w:val="nil"/>
              <w:tr2bl w:val="nil"/>
            </w:tcBorders>
            <w:vAlign w:val="center"/>
          </w:tcPr>
          <w:p w14:paraId="13F94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0002</w:t>
            </w:r>
          </w:p>
        </w:tc>
        <w:tc>
          <w:tcPr>
            <w:tcW w:w="1058" w:type="dxa"/>
            <w:tcBorders>
              <w:tl2br w:val="nil"/>
              <w:tr2bl w:val="nil"/>
            </w:tcBorders>
            <w:vAlign w:val="center"/>
          </w:tcPr>
          <w:p w14:paraId="3C20F7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0.01L</w:t>
            </w:r>
          </w:p>
        </w:tc>
        <w:tc>
          <w:tcPr>
            <w:tcW w:w="1055" w:type="dxa"/>
            <w:tcBorders>
              <w:tl2br w:val="nil"/>
              <w:tr2bl w:val="nil"/>
            </w:tcBorders>
            <w:vAlign w:val="center"/>
          </w:tcPr>
          <w:p w14:paraId="075904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0.02L</w:t>
            </w:r>
          </w:p>
        </w:tc>
        <w:tc>
          <w:tcPr>
            <w:tcW w:w="1058" w:type="dxa"/>
            <w:tcBorders>
              <w:tl2br w:val="nil"/>
              <w:tr2bl w:val="nil"/>
            </w:tcBorders>
            <w:vAlign w:val="center"/>
          </w:tcPr>
          <w:p w14:paraId="77611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0.01L</w:t>
            </w:r>
          </w:p>
        </w:tc>
        <w:tc>
          <w:tcPr>
            <w:tcW w:w="1058" w:type="dxa"/>
            <w:tcBorders>
              <w:tl2br w:val="nil"/>
              <w:tr2bl w:val="nil"/>
            </w:tcBorders>
            <w:vAlign w:val="center"/>
          </w:tcPr>
          <w:p w14:paraId="486E27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0.03L</w:t>
            </w:r>
          </w:p>
        </w:tc>
        <w:tc>
          <w:tcPr>
            <w:tcW w:w="970" w:type="dxa"/>
            <w:tcBorders>
              <w:tl2br w:val="nil"/>
              <w:tr2bl w:val="nil"/>
            </w:tcBorders>
            <w:vAlign w:val="center"/>
          </w:tcPr>
          <w:p w14:paraId="324D13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000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r>
      <w:tr w14:paraId="10827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046" w:type="dxa"/>
            <w:tcBorders>
              <w:tl2br w:val="nil"/>
              <w:tr2bl w:val="nil"/>
            </w:tcBorders>
            <w:vAlign w:val="center"/>
          </w:tcPr>
          <w:p w14:paraId="4C1CD22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分析项目</w:t>
            </w:r>
          </w:p>
        </w:tc>
        <w:tc>
          <w:tcPr>
            <w:tcW w:w="1055" w:type="dxa"/>
            <w:tcBorders>
              <w:tl2br w:val="nil"/>
              <w:tr2bl w:val="nil"/>
            </w:tcBorders>
            <w:vAlign w:val="center"/>
          </w:tcPr>
          <w:p w14:paraId="0CF247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镍</w:t>
            </w:r>
          </w:p>
        </w:tc>
        <w:tc>
          <w:tcPr>
            <w:tcW w:w="1057" w:type="dxa"/>
            <w:tcBorders>
              <w:tl2br w:val="nil"/>
              <w:tr2bl w:val="nil"/>
            </w:tcBorders>
            <w:vAlign w:val="center"/>
          </w:tcPr>
          <w:p w14:paraId="10177C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锌</w:t>
            </w:r>
          </w:p>
        </w:tc>
        <w:tc>
          <w:tcPr>
            <w:tcW w:w="1058" w:type="dxa"/>
            <w:tcBorders>
              <w:tl2br w:val="nil"/>
              <w:tr2bl w:val="nil"/>
            </w:tcBorders>
            <w:vAlign w:val="center"/>
          </w:tcPr>
          <w:p w14:paraId="59D0B5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六价铬</w:t>
            </w:r>
          </w:p>
        </w:tc>
        <w:tc>
          <w:tcPr>
            <w:tcW w:w="1055" w:type="dxa"/>
            <w:tcBorders>
              <w:tl2br w:val="nil"/>
              <w:tr2bl w:val="nil"/>
            </w:tcBorders>
            <w:vAlign w:val="center"/>
          </w:tcPr>
          <w:p w14:paraId="7FB152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铍</w:t>
            </w:r>
          </w:p>
        </w:tc>
        <w:tc>
          <w:tcPr>
            <w:tcW w:w="1058" w:type="dxa"/>
            <w:tcBorders>
              <w:tl2br w:val="nil"/>
              <w:tr2bl w:val="nil"/>
            </w:tcBorders>
            <w:vAlign w:val="center"/>
          </w:tcPr>
          <w:p w14:paraId="5A5E95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银</w:t>
            </w:r>
          </w:p>
        </w:tc>
        <w:tc>
          <w:tcPr>
            <w:tcW w:w="1058" w:type="dxa"/>
            <w:tcBorders>
              <w:tl2br w:val="nil"/>
              <w:tr2bl w:val="nil"/>
            </w:tcBorders>
            <w:vAlign w:val="center"/>
          </w:tcPr>
          <w:p w14:paraId="626C2B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970" w:type="dxa"/>
            <w:tcBorders>
              <w:tl2br w:val="nil"/>
              <w:tr2bl w:val="nil"/>
            </w:tcBorders>
            <w:vAlign w:val="center"/>
          </w:tcPr>
          <w:p w14:paraId="15DB79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r>
      <w:tr w14:paraId="78487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046" w:type="dxa"/>
            <w:tcBorders>
              <w:tl2br w:val="nil"/>
              <w:tr2bl w:val="nil"/>
            </w:tcBorders>
            <w:vAlign w:val="center"/>
          </w:tcPr>
          <w:p w14:paraId="62D4352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检测结果</w:t>
            </w:r>
          </w:p>
        </w:tc>
        <w:tc>
          <w:tcPr>
            <w:tcW w:w="1055" w:type="dxa"/>
            <w:tcBorders>
              <w:tl2br w:val="nil"/>
              <w:tr2bl w:val="nil"/>
            </w:tcBorders>
            <w:vAlign w:val="center"/>
          </w:tcPr>
          <w:p w14:paraId="302BD2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0.02L</w:t>
            </w:r>
          </w:p>
        </w:tc>
        <w:tc>
          <w:tcPr>
            <w:tcW w:w="1057" w:type="dxa"/>
            <w:tcBorders>
              <w:tl2br w:val="nil"/>
              <w:tr2bl w:val="nil"/>
            </w:tcBorders>
            <w:vAlign w:val="center"/>
          </w:tcPr>
          <w:p w14:paraId="2AE463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0.02</w:t>
            </w:r>
          </w:p>
        </w:tc>
        <w:tc>
          <w:tcPr>
            <w:tcW w:w="1058" w:type="dxa"/>
            <w:tcBorders>
              <w:tl2br w:val="nil"/>
              <w:tr2bl w:val="nil"/>
            </w:tcBorders>
            <w:vAlign w:val="center"/>
          </w:tcPr>
          <w:p w14:paraId="276A96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0.004</w:t>
            </w:r>
            <w:r>
              <w:rPr>
                <w:rFonts w:hint="eastAsia" w:cs="Times New Roman"/>
                <w:color w:val="000000" w:themeColor="text1"/>
                <w:sz w:val="21"/>
                <w:szCs w:val="21"/>
                <w:highlight w:val="none"/>
                <w:lang w:val="en-US" w:eastAsia="zh-CN"/>
                <w14:textFill>
                  <w14:solidFill>
                    <w14:schemeClr w14:val="tx1"/>
                  </w14:solidFill>
                </w14:textFill>
              </w:rPr>
              <w:t>L</w:t>
            </w:r>
          </w:p>
        </w:tc>
        <w:tc>
          <w:tcPr>
            <w:tcW w:w="1055" w:type="dxa"/>
            <w:tcBorders>
              <w:tl2br w:val="nil"/>
              <w:tr2bl w:val="nil"/>
            </w:tcBorders>
            <w:vAlign w:val="center"/>
          </w:tcPr>
          <w:p w14:paraId="6957B0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0.004L</w:t>
            </w:r>
          </w:p>
        </w:tc>
        <w:tc>
          <w:tcPr>
            <w:tcW w:w="1058" w:type="dxa"/>
            <w:tcBorders>
              <w:tl2br w:val="nil"/>
              <w:tr2bl w:val="nil"/>
            </w:tcBorders>
            <w:vAlign w:val="center"/>
          </w:tcPr>
          <w:p w14:paraId="4075BA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0.01L</w:t>
            </w:r>
          </w:p>
        </w:tc>
        <w:tc>
          <w:tcPr>
            <w:tcW w:w="1058" w:type="dxa"/>
            <w:tcBorders>
              <w:tl2br w:val="nil"/>
              <w:tr2bl w:val="nil"/>
            </w:tcBorders>
            <w:vAlign w:val="center"/>
          </w:tcPr>
          <w:p w14:paraId="6C3DB9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c>
          <w:tcPr>
            <w:tcW w:w="970" w:type="dxa"/>
            <w:tcBorders>
              <w:tl2br w:val="nil"/>
              <w:tr2bl w:val="nil"/>
            </w:tcBorders>
            <w:vAlign w:val="center"/>
          </w:tcPr>
          <w:p w14:paraId="6DCBCB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tc>
      </w:tr>
    </w:tbl>
    <w:p w14:paraId="23DF4AD9">
      <w:pPr>
        <w:keepNext w:val="0"/>
        <w:keepLines w:val="0"/>
        <w:pageBreakBefore w:val="0"/>
        <w:widowControl w:val="0"/>
        <w:tabs>
          <w:tab w:val="left" w:pos="6840"/>
        </w:tabs>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废石毒性鉴别标准    单位：mg/L，pH值除外</w:t>
      </w:r>
    </w:p>
    <w:tbl>
      <w:tblPr>
        <w:tblStyle w:val="79"/>
        <w:tblW w:w="83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3"/>
        <w:gridCol w:w="1412"/>
        <w:gridCol w:w="2939"/>
        <w:gridCol w:w="3313"/>
      </w:tblGrid>
      <w:tr w14:paraId="2B364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723" w:type="dxa"/>
            <w:tcBorders>
              <w:tl2br w:val="nil"/>
              <w:tr2bl w:val="nil"/>
            </w:tcBorders>
            <w:vAlign w:val="center"/>
          </w:tcPr>
          <w:p w14:paraId="18681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序号</w:t>
            </w:r>
          </w:p>
        </w:tc>
        <w:tc>
          <w:tcPr>
            <w:tcW w:w="1412" w:type="dxa"/>
            <w:tcBorders>
              <w:tl2br w:val="nil"/>
              <w:tr2bl w:val="nil"/>
            </w:tcBorders>
            <w:vAlign w:val="center"/>
          </w:tcPr>
          <w:p w14:paraId="3B45C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危害成分项目</w:t>
            </w:r>
          </w:p>
        </w:tc>
        <w:tc>
          <w:tcPr>
            <w:tcW w:w="2939" w:type="dxa"/>
            <w:tcBorders>
              <w:tl2br w:val="nil"/>
              <w:tr2bl w:val="nil"/>
            </w:tcBorders>
            <w:vAlign w:val="center"/>
          </w:tcPr>
          <w:p w14:paraId="72511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浸出液中危害成分浓度限值（mg/</w:t>
            </w: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L</w:t>
            </w: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w:t>
            </w:r>
          </w:p>
        </w:tc>
        <w:tc>
          <w:tcPr>
            <w:tcW w:w="3313" w:type="dxa"/>
            <w:tcBorders>
              <w:tl2br w:val="nil"/>
              <w:tr2bl w:val="nil"/>
            </w:tcBorders>
            <w:vAlign w:val="center"/>
          </w:tcPr>
          <w:p w14:paraId="5C87A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备注</w:t>
            </w:r>
          </w:p>
        </w:tc>
      </w:tr>
      <w:tr w14:paraId="4E713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62DC0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p>
        </w:tc>
        <w:tc>
          <w:tcPr>
            <w:tcW w:w="1412" w:type="dxa"/>
            <w:tcBorders>
              <w:tl2br w:val="nil"/>
              <w:tr2bl w:val="nil"/>
            </w:tcBorders>
            <w:vAlign w:val="center"/>
          </w:tcPr>
          <w:p w14:paraId="160D9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pH</w:t>
            </w:r>
          </w:p>
        </w:tc>
        <w:tc>
          <w:tcPr>
            <w:tcW w:w="2939" w:type="dxa"/>
            <w:tcBorders>
              <w:tl2br w:val="nil"/>
              <w:tr2bl w:val="nil"/>
            </w:tcBorders>
            <w:vAlign w:val="center"/>
          </w:tcPr>
          <w:p w14:paraId="2A1C3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2.0＜pH值＜12.5</w:t>
            </w:r>
          </w:p>
        </w:tc>
        <w:tc>
          <w:tcPr>
            <w:tcW w:w="3313" w:type="dxa"/>
            <w:vMerge w:val="restart"/>
            <w:tcBorders>
              <w:tl2br w:val="nil"/>
              <w:tr2bl w:val="nil"/>
            </w:tcBorders>
            <w:vAlign w:val="center"/>
          </w:tcPr>
          <w:p w14:paraId="6A9C9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《危险废物鉴别标准 浸出毒性鉴别》（GB5085.3-2007）</w:t>
            </w:r>
          </w:p>
        </w:tc>
      </w:tr>
      <w:tr w14:paraId="41799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4C8A7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p>
        </w:tc>
        <w:tc>
          <w:tcPr>
            <w:tcW w:w="1412" w:type="dxa"/>
            <w:tcBorders>
              <w:tl2br w:val="nil"/>
              <w:tr2bl w:val="nil"/>
            </w:tcBorders>
            <w:vAlign w:val="center"/>
          </w:tcPr>
          <w:p w14:paraId="1B5B6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砷</w:t>
            </w:r>
          </w:p>
        </w:tc>
        <w:tc>
          <w:tcPr>
            <w:tcW w:w="2939" w:type="dxa"/>
            <w:tcBorders>
              <w:tl2br w:val="nil"/>
              <w:tr2bl w:val="nil"/>
            </w:tcBorders>
            <w:vAlign w:val="center"/>
          </w:tcPr>
          <w:p w14:paraId="2962D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3313" w:type="dxa"/>
            <w:vMerge w:val="continue"/>
            <w:tcBorders>
              <w:tl2br w:val="nil"/>
              <w:tr2bl w:val="nil"/>
            </w:tcBorders>
            <w:vAlign w:val="center"/>
          </w:tcPr>
          <w:p w14:paraId="22880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6A7B7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49598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w:t>
            </w:r>
          </w:p>
        </w:tc>
        <w:tc>
          <w:tcPr>
            <w:tcW w:w="1412" w:type="dxa"/>
            <w:tcBorders>
              <w:tl2br w:val="nil"/>
              <w:tr2bl w:val="nil"/>
            </w:tcBorders>
            <w:vAlign w:val="center"/>
          </w:tcPr>
          <w:p w14:paraId="789D33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镉</w:t>
            </w:r>
          </w:p>
        </w:tc>
        <w:tc>
          <w:tcPr>
            <w:tcW w:w="2939" w:type="dxa"/>
            <w:tcBorders>
              <w:tl2br w:val="nil"/>
              <w:tr2bl w:val="nil"/>
            </w:tcBorders>
            <w:vAlign w:val="center"/>
          </w:tcPr>
          <w:p w14:paraId="76C1E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3313" w:type="dxa"/>
            <w:vMerge w:val="continue"/>
            <w:tcBorders>
              <w:tl2br w:val="nil"/>
              <w:tr2bl w:val="nil"/>
            </w:tcBorders>
            <w:vAlign w:val="center"/>
          </w:tcPr>
          <w:p w14:paraId="77EFA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1C774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0BB58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w:t>
            </w:r>
          </w:p>
        </w:tc>
        <w:tc>
          <w:tcPr>
            <w:tcW w:w="1412" w:type="dxa"/>
            <w:tcBorders>
              <w:tl2br w:val="nil"/>
              <w:tr2bl w:val="nil"/>
            </w:tcBorders>
            <w:vAlign w:val="center"/>
          </w:tcPr>
          <w:p w14:paraId="46FDB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总铬</w:t>
            </w:r>
          </w:p>
        </w:tc>
        <w:tc>
          <w:tcPr>
            <w:tcW w:w="2939" w:type="dxa"/>
            <w:tcBorders>
              <w:tl2br w:val="nil"/>
              <w:tr2bl w:val="nil"/>
            </w:tcBorders>
            <w:vAlign w:val="center"/>
          </w:tcPr>
          <w:p w14:paraId="774BE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w:t>
            </w:r>
          </w:p>
        </w:tc>
        <w:tc>
          <w:tcPr>
            <w:tcW w:w="3313" w:type="dxa"/>
            <w:vMerge w:val="continue"/>
            <w:tcBorders>
              <w:tl2br w:val="nil"/>
              <w:tr2bl w:val="nil"/>
            </w:tcBorders>
            <w:vAlign w:val="center"/>
          </w:tcPr>
          <w:p w14:paraId="38B75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1FB98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61B569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w:t>
            </w:r>
          </w:p>
        </w:tc>
        <w:tc>
          <w:tcPr>
            <w:tcW w:w="1412" w:type="dxa"/>
            <w:tcBorders>
              <w:tl2br w:val="nil"/>
              <w:tr2bl w:val="nil"/>
            </w:tcBorders>
            <w:vAlign w:val="center"/>
          </w:tcPr>
          <w:p w14:paraId="0CF08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铜</w:t>
            </w:r>
          </w:p>
        </w:tc>
        <w:tc>
          <w:tcPr>
            <w:tcW w:w="2939" w:type="dxa"/>
            <w:tcBorders>
              <w:tl2br w:val="nil"/>
              <w:tr2bl w:val="nil"/>
            </w:tcBorders>
            <w:vAlign w:val="center"/>
          </w:tcPr>
          <w:p w14:paraId="4F936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100</w:t>
            </w:r>
          </w:p>
        </w:tc>
        <w:tc>
          <w:tcPr>
            <w:tcW w:w="3313" w:type="dxa"/>
            <w:vMerge w:val="continue"/>
            <w:tcBorders>
              <w:tl2br w:val="nil"/>
              <w:tr2bl w:val="nil"/>
            </w:tcBorders>
            <w:vAlign w:val="center"/>
          </w:tcPr>
          <w:p w14:paraId="0384E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1C3A8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24085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6</w:t>
            </w:r>
          </w:p>
        </w:tc>
        <w:tc>
          <w:tcPr>
            <w:tcW w:w="1412" w:type="dxa"/>
            <w:tcBorders>
              <w:tl2br w:val="nil"/>
              <w:tr2bl w:val="nil"/>
            </w:tcBorders>
            <w:vAlign w:val="center"/>
          </w:tcPr>
          <w:p w14:paraId="3A3DD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铅</w:t>
            </w:r>
          </w:p>
        </w:tc>
        <w:tc>
          <w:tcPr>
            <w:tcW w:w="2939" w:type="dxa"/>
            <w:tcBorders>
              <w:tl2br w:val="nil"/>
              <w:tr2bl w:val="nil"/>
            </w:tcBorders>
            <w:vAlign w:val="center"/>
          </w:tcPr>
          <w:p w14:paraId="62A76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3313" w:type="dxa"/>
            <w:vMerge w:val="continue"/>
            <w:tcBorders>
              <w:tl2br w:val="nil"/>
              <w:tr2bl w:val="nil"/>
            </w:tcBorders>
            <w:vAlign w:val="center"/>
          </w:tcPr>
          <w:p w14:paraId="32557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346FC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33EAB7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7</w:t>
            </w:r>
          </w:p>
        </w:tc>
        <w:tc>
          <w:tcPr>
            <w:tcW w:w="1412" w:type="dxa"/>
            <w:tcBorders>
              <w:tl2br w:val="nil"/>
              <w:tr2bl w:val="nil"/>
            </w:tcBorders>
            <w:vAlign w:val="center"/>
          </w:tcPr>
          <w:p w14:paraId="5DC69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汞</w:t>
            </w:r>
          </w:p>
        </w:tc>
        <w:tc>
          <w:tcPr>
            <w:tcW w:w="2939" w:type="dxa"/>
            <w:tcBorders>
              <w:tl2br w:val="nil"/>
              <w:tr2bl w:val="nil"/>
            </w:tcBorders>
            <w:vAlign w:val="center"/>
          </w:tcPr>
          <w:p w14:paraId="7AC00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0.1</w:t>
            </w:r>
          </w:p>
        </w:tc>
        <w:tc>
          <w:tcPr>
            <w:tcW w:w="3313" w:type="dxa"/>
            <w:vMerge w:val="continue"/>
            <w:tcBorders>
              <w:tl2br w:val="nil"/>
              <w:tr2bl w:val="nil"/>
            </w:tcBorders>
            <w:vAlign w:val="center"/>
          </w:tcPr>
          <w:p w14:paraId="0F89E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77585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361E6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8</w:t>
            </w:r>
          </w:p>
        </w:tc>
        <w:tc>
          <w:tcPr>
            <w:tcW w:w="1412" w:type="dxa"/>
            <w:tcBorders>
              <w:tl2br w:val="nil"/>
              <w:tr2bl w:val="nil"/>
            </w:tcBorders>
            <w:vAlign w:val="center"/>
          </w:tcPr>
          <w:p w14:paraId="2012B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镍</w:t>
            </w:r>
          </w:p>
        </w:tc>
        <w:tc>
          <w:tcPr>
            <w:tcW w:w="2939" w:type="dxa"/>
            <w:tcBorders>
              <w:tl2br w:val="nil"/>
              <w:tr2bl w:val="nil"/>
            </w:tcBorders>
            <w:vAlign w:val="center"/>
          </w:tcPr>
          <w:p w14:paraId="67E57C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3313" w:type="dxa"/>
            <w:vMerge w:val="continue"/>
            <w:tcBorders>
              <w:tl2br w:val="nil"/>
              <w:tr2bl w:val="nil"/>
            </w:tcBorders>
            <w:vAlign w:val="center"/>
          </w:tcPr>
          <w:p w14:paraId="164939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09BC1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081C4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9</w:t>
            </w:r>
          </w:p>
        </w:tc>
        <w:tc>
          <w:tcPr>
            <w:tcW w:w="1412" w:type="dxa"/>
            <w:tcBorders>
              <w:tl2br w:val="nil"/>
              <w:tr2bl w:val="nil"/>
            </w:tcBorders>
            <w:vAlign w:val="center"/>
          </w:tcPr>
          <w:p w14:paraId="5FCC4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锌</w:t>
            </w:r>
          </w:p>
        </w:tc>
        <w:tc>
          <w:tcPr>
            <w:tcW w:w="2939" w:type="dxa"/>
            <w:tcBorders>
              <w:tl2br w:val="nil"/>
              <w:tr2bl w:val="nil"/>
            </w:tcBorders>
            <w:vAlign w:val="center"/>
          </w:tcPr>
          <w:p w14:paraId="17BBC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100</w:t>
            </w:r>
          </w:p>
        </w:tc>
        <w:tc>
          <w:tcPr>
            <w:tcW w:w="3313" w:type="dxa"/>
            <w:vMerge w:val="continue"/>
            <w:tcBorders>
              <w:tl2br w:val="nil"/>
              <w:tr2bl w:val="nil"/>
            </w:tcBorders>
            <w:vAlign w:val="center"/>
          </w:tcPr>
          <w:p w14:paraId="7CD75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00FDC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014B30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c>
          <w:tcPr>
            <w:tcW w:w="1412" w:type="dxa"/>
            <w:tcBorders>
              <w:tl2br w:val="nil"/>
              <w:tr2bl w:val="nil"/>
            </w:tcBorders>
            <w:vAlign w:val="center"/>
          </w:tcPr>
          <w:p w14:paraId="797D5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总银</w:t>
            </w:r>
          </w:p>
        </w:tc>
        <w:tc>
          <w:tcPr>
            <w:tcW w:w="2939" w:type="dxa"/>
            <w:tcBorders>
              <w:tl2br w:val="nil"/>
              <w:tr2bl w:val="nil"/>
            </w:tcBorders>
            <w:vAlign w:val="center"/>
          </w:tcPr>
          <w:p w14:paraId="40B93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3313" w:type="dxa"/>
            <w:vMerge w:val="continue"/>
            <w:tcBorders>
              <w:tl2br w:val="nil"/>
              <w:tr2bl w:val="nil"/>
            </w:tcBorders>
            <w:vAlign w:val="center"/>
          </w:tcPr>
          <w:p w14:paraId="0445F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r w14:paraId="30B0F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23" w:type="dxa"/>
            <w:tcBorders>
              <w:tl2br w:val="nil"/>
              <w:tr2bl w:val="nil"/>
            </w:tcBorders>
            <w:vAlign w:val="center"/>
          </w:tcPr>
          <w:p w14:paraId="2C501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w:t>
            </w:r>
          </w:p>
        </w:tc>
        <w:tc>
          <w:tcPr>
            <w:tcW w:w="1412" w:type="dxa"/>
            <w:tcBorders>
              <w:tl2br w:val="nil"/>
              <w:tr2bl w:val="nil"/>
            </w:tcBorders>
            <w:vAlign w:val="center"/>
          </w:tcPr>
          <w:p w14:paraId="33270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铍</w:t>
            </w:r>
          </w:p>
        </w:tc>
        <w:tc>
          <w:tcPr>
            <w:tcW w:w="2939" w:type="dxa"/>
            <w:tcBorders>
              <w:tl2br w:val="nil"/>
              <w:tr2bl w:val="nil"/>
            </w:tcBorders>
            <w:vAlign w:val="center"/>
          </w:tcPr>
          <w:p w14:paraId="53263D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0.02</w:t>
            </w:r>
          </w:p>
        </w:tc>
        <w:tc>
          <w:tcPr>
            <w:tcW w:w="3313" w:type="dxa"/>
            <w:vMerge w:val="continue"/>
            <w:tcBorders>
              <w:tl2br w:val="nil"/>
              <w:tr2bl w:val="nil"/>
            </w:tcBorders>
            <w:vAlign w:val="center"/>
          </w:tcPr>
          <w:p w14:paraId="5ED3F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r>
    </w:tbl>
    <w:p w14:paraId="6FABA7F7">
      <w:pPr>
        <w:tabs>
          <w:tab w:val="left" w:pos="6840"/>
        </w:tabs>
        <w:spacing w:line="480" w:lineRule="exact"/>
        <w:jc w:val="cente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表5.2-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eastAsia" w:cs="Times New Roman"/>
          <w:b/>
          <w:bCs/>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 xml:space="preserve">    污水综合排放最高允许排放标准    单位：mg/L，pH值除外</w:t>
      </w:r>
    </w:p>
    <w:tbl>
      <w:tblPr>
        <w:tblStyle w:val="79"/>
        <w:tblW w:w="83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03"/>
        <w:gridCol w:w="2322"/>
        <w:gridCol w:w="4811"/>
      </w:tblGrid>
      <w:tr w14:paraId="2212A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jc w:val="center"/>
        </w:trPr>
        <w:tc>
          <w:tcPr>
            <w:tcW w:w="1203" w:type="dxa"/>
            <w:tcBorders>
              <w:tl2br w:val="nil"/>
              <w:tr2bl w:val="nil"/>
            </w:tcBorders>
            <w:vAlign w:val="center"/>
          </w:tcPr>
          <w:p w14:paraId="0C044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序号</w:t>
            </w:r>
          </w:p>
        </w:tc>
        <w:tc>
          <w:tcPr>
            <w:tcW w:w="2322" w:type="dxa"/>
            <w:tcBorders>
              <w:tl2br w:val="nil"/>
              <w:tr2bl w:val="nil"/>
            </w:tcBorders>
            <w:vAlign w:val="center"/>
          </w:tcPr>
          <w:p w14:paraId="7AC0A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污染物</w:t>
            </w:r>
          </w:p>
        </w:tc>
        <w:tc>
          <w:tcPr>
            <w:tcW w:w="4811" w:type="dxa"/>
            <w:tcBorders>
              <w:tl2br w:val="nil"/>
              <w:tr2bl w:val="nil"/>
            </w:tcBorders>
            <w:vAlign w:val="center"/>
          </w:tcPr>
          <w:p w14:paraId="3BB46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14:textFill>
                  <w14:solidFill>
                    <w14:schemeClr w14:val="tx1"/>
                  </w14:solidFill>
                </w14:textFill>
              </w:rPr>
              <w:t>最高允许排放浓度</w:t>
            </w:r>
          </w:p>
        </w:tc>
      </w:tr>
      <w:tr w14:paraId="3D635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40099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p>
        </w:tc>
        <w:tc>
          <w:tcPr>
            <w:tcW w:w="2322" w:type="dxa"/>
            <w:tcBorders>
              <w:tl2br w:val="nil"/>
              <w:tr2bl w:val="nil"/>
            </w:tcBorders>
            <w:vAlign w:val="center"/>
          </w:tcPr>
          <w:p w14:paraId="370F3C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pH</w:t>
            </w:r>
          </w:p>
        </w:tc>
        <w:tc>
          <w:tcPr>
            <w:tcW w:w="4811" w:type="dxa"/>
            <w:tcBorders>
              <w:tl2br w:val="nil"/>
              <w:tr2bl w:val="nil"/>
            </w:tcBorders>
            <w:vAlign w:val="center"/>
          </w:tcPr>
          <w:p w14:paraId="22BAA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6~9</w:t>
            </w:r>
          </w:p>
        </w:tc>
      </w:tr>
      <w:tr w14:paraId="1A06E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1DD75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p>
        </w:tc>
        <w:tc>
          <w:tcPr>
            <w:tcW w:w="2322" w:type="dxa"/>
            <w:tcBorders>
              <w:tl2br w:val="nil"/>
              <w:tr2bl w:val="nil"/>
            </w:tcBorders>
            <w:vAlign w:val="center"/>
          </w:tcPr>
          <w:p w14:paraId="2AB81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总砷</w:t>
            </w:r>
          </w:p>
        </w:tc>
        <w:tc>
          <w:tcPr>
            <w:tcW w:w="4811" w:type="dxa"/>
            <w:tcBorders>
              <w:tl2br w:val="nil"/>
              <w:tr2bl w:val="nil"/>
            </w:tcBorders>
            <w:vAlign w:val="center"/>
          </w:tcPr>
          <w:p w14:paraId="3F7111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0.5</w:t>
            </w:r>
          </w:p>
        </w:tc>
      </w:tr>
      <w:tr w14:paraId="7A706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07845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w:t>
            </w:r>
          </w:p>
        </w:tc>
        <w:tc>
          <w:tcPr>
            <w:tcW w:w="2322" w:type="dxa"/>
            <w:tcBorders>
              <w:tl2br w:val="nil"/>
              <w:tr2bl w:val="nil"/>
            </w:tcBorders>
            <w:vAlign w:val="center"/>
          </w:tcPr>
          <w:p w14:paraId="68092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总镉</w:t>
            </w:r>
          </w:p>
        </w:tc>
        <w:tc>
          <w:tcPr>
            <w:tcW w:w="4811" w:type="dxa"/>
            <w:tcBorders>
              <w:tl2br w:val="nil"/>
              <w:tr2bl w:val="nil"/>
            </w:tcBorders>
            <w:vAlign w:val="center"/>
          </w:tcPr>
          <w:p w14:paraId="3A5CA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0.1</w:t>
            </w:r>
          </w:p>
        </w:tc>
      </w:tr>
      <w:tr w14:paraId="5ED78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79CD5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w:t>
            </w:r>
          </w:p>
        </w:tc>
        <w:tc>
          <w:tcPr>
            <w:tcW w:w="2322" w:type="dxa"/>
            <w:tcBorders>
              <w:tl2br w:val="nil"/>
              <w:tr2bl w:val="nil"/>
            </w:tcBorders>
            <w:vAlign w:val="center"/>
          </w:tcPr>
          <w:p w14:paraId="2A4C5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总铬</w:t>
            </w:r>
          </w:p>
        </w:tc>
        <w:tc>
          <w:tcPr>
            <w:tcW w:w="4811" w:type="dxa"/>
            <w:tcBorders>
              <w:tl2br w:val="nil"/>
              <w:tr2bl w:val="nil"/>
            </w:tcBorders>
            <w:vAlign w:val="center"/>
          </w:tcPr>
          <w:p w14:paraId="3F195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w:t>
            </w:r>
          </w:p>
        </w:tc>
      </w:tr>
      <w:tr w14:paraId="2C691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2F2E5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w:t>
            </w:r>
          </w:p>
        </w:tc>
        <w:tc>
          <w:tcPr>
            <w:tcW w:w="2322" w:type="dxa"/>
            <w:tcBorders>
              <w:tl2br w:val="nil"/>
              <w:tr2bl w:val="nil"/>
            </w:tcBorders>
            <w:vAlign w:val="center"/>
          </w:tcPr>
          <w:p w14:paraId="4E382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铜</w:t>
            </w:r>
          </w:p>
        </w:tc>
        <w:tc>
          <w:tcPr>
            <w:tcW w:w="4811" w:type="dxa"/>
            <w:tcBorders>
              <w:tl2br w:val="nil"/>
              <w:tr2bl w:val="nil"/>
            </w:tcBorders>
            <w:vAlign w:val="center"/>
          </w:tcPr>
          <w:p w14:paraId="7D737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0.5</w:t>
            </w:r>
          </w:p>
        </w:tc>
      </w:tr>
      <w:tr w14:paraId="7C0E1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7807B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6</w:t>
            </w:r>
          </w:p>
        </w:tc>
        <w:tc>
          <w:tcPr>
            <w:tcW w:w="2322" w:type="dxa"/>
            <w:tcBorders>
              <w:tl2br w:val="nil"/>
              <w:tr2bl w:val="nil"/>
            </w:tcBorders>
            <w:vAlign w:val="center"/>
          </w:tcPr>
          <w:p w14:paraId="567A4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总铅</w:t>
            </w:r>
          </w:p>
        </w:tc>
        <w:tc>
          <w:tcPr>
            <w:tcW w:w="4811" w:type="dxa"/>
            <w:tcBorders>
              <w:tl2br w:val="nil"/>
              <w:tr2bl w:val="nil"/>
            </w:tcBorders>
            <w:vAlign w:val="center"/>
          </w:tcPr>
          <w:p w14:paraId="691F7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r>
      <w:tr w14:paraId="66CFD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031C4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7</w:t>
            </w:r>
          </w:p>
        </w:tc>
        <w:tc>
          <w:tcPr>
            <w:tcW w:w="2322" w:type="dxa"/>
            <w:tcBorders>
              <w:tl2br w:val="nil"/>
              <w:tr2bl w:val="nil"/>
            </w:tcBorders>
            <w:vAlign w:val="center"/>
          </w:tcPr>
          <w:p w14:paraId="36A53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汞</w:t>
            </w:r>
          </w:p>
        </w:tc>
        <w:tc>
          <w:tcPr>
            <w:tcW w:w="4811" w:type="dxa"/>
            <w:tcBorders>
              <w:tl2br w:val="nil"/>
              <w:tr2bl w:val="nil"/>
            </w:tcBorders>
            <w:vAlign w:val="center"/>
          </w:tcPr>
          <w:p w14:paraId="19AC4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0.05</w:t>
            </w:r>
          </w:p>
        </w:tc>
      </w:tr>
      <w:tr w14:paraId="1419E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7A6CCC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8</w:t>
            </w:r>
          </w:p>
        </w:tc>
        <w:tc>
          <w:tcPr>
            <w:tcW w:w="2322" w:type="dxa"/>
            <w:tcBorders>
              <w:tl2br w:val="nil"/>
              <w:tr2bl w:val="nil"/>
            </w:tcBorders>
            <w:vAlign w:val="center"/>
          </w:tcPr>
          <w:p w14:paraId="2991E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总镍</w:t>
            </w:r>
          </w:p>
        </w:tc>
        <w:tc>
          <w:tcPr>
            <w:tcW w:w="4811" w:type="dxa"/>
            <w:tcBorders>
              <w:tl2br w:val="nil"/>
              <w:tr2bl w:val="nil"/>
            </w:tcBorders>
            <w:vAlign w:val="center"/>
          </w:tcPr>
          <w:p w14:paraId="3ADBA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r>
      <w:tr w14:paraId="50036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46F8D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9</w:t>
            </w:r>
          </w:p>
        </w:tc>
        <w:tc>
          <w:tcPr>
            <w:tcW w:w="2322" w:type="dxa"/>
            <w:tcBorders>
              <w:tl2br w:val="nil"/>
              <w:tr2bl w:val="nil"/>
            </w:tcBorders>
            <w:vAlign w:val="center"/>
          </w:tcPr>
          <w:p w14:paraId="593D5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总锌</w:t>
            </w:r>
          </w:p>
        </w:tc>
        <w:tc>
          <w:tcPr>
            <w:tcW w:w="4811" w:type="dxa"/>
            <w:tcBorders>
              <w:tl2br w:val="nil"/>
              <w:tr2bl w:val="nil"/>
            </w:tcBorders>
            <w:vAlign w:val="center"/>
          </w:tcPr>
          <w:p w14:paraId="47EFB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w:t>
            </w:r>
          </w:p>
        </w:tc>
      </w:tr>
      <w:tr w14:paraId="07137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020CB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c>
          <w:tcPr>
            <w:tcW w:w="2322" w:type="dxa"/>
            <w:tcBorders>
              <w:tl2br w:val="nil"/>
              <w:tr2bl w:val="nil"/>
            </w:tcBorders>
            <w:vAlign w:val="center"/>
          </w:tcPr>
          <w:p w14:paraId="387322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银</w:t>
            </w:r>
          </w:p>
        </w:tc>
        <w:tc>
          <w:tcPr>
            <w:tcW w:w="4811" w:type="dxa"/>
            <w:tcBorders>
              <w:tl2br w:val="nil"/>
              <w:tr2bl w:val="nil"/>
            </w:tcBorders>
            <w:vAlign w:val="center"/>
          </w:tcPr>
          <w:p w14:paraId="69308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0.5</w:t>
            </w:r>
          </w:p>
        </w:tc>
      </w:tr>
      <w:tr w14:paraId="68C85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03" w:type="dxa"/>
            <w:tcBorders>
              <w:tl2br w:val="nil"/>
              <w:tr2bl w:val="nil"/>
            </w:tcBorders>
            <w:vAlign w:val="center"/>
          </w:tcPr>
          <w:p w14:paraId="47081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w:t>
            </w:r>
          </w:p>
        </w:tc>
        <w:tc>
          <w:tcPr>
            <w:tcW w:w="2322" w:type="dxa"/>
            <w:tcBorders>
              <w:tl2br w:val="nil"/>
              <w:tr2bl w:val="nil"/>
            </w:tcBorders>
            <w:vAlign w:val="center"/>
          </w:tcPr>
          <w:p w14:paraId="33913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铍</w:t>
            </w:r>
          </w:p>
        </w:tc>
        <w:tc>
          <w:tcPr>
            <w:tcW w:w="4811" w:type="dxa"/>
            <w:tcBorders>
              <w:tl2br w:val="nil"/>
              <w:tr2bl w:val="nil"/>
            </w:tcBorders>
            <w:vAlign w:val="center"/>
          </w:tcPr>
          <w:p w14:paraId="6A6F6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0.005</w:t>
            </w:r>
          </w:p>
        </w:tc>
      </w:tr>
    </w:tbl>
    <w:p w14:paraId="4232FB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综合表5.2-1</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~表5.2-</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可判定，本项目矿山废石为I类工业固体废物。本项目现有废石堆场均位于主竖井、副竖井工业广场南侧，总占地面积1.19hm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，总堆放量约3.83万m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。规划新建2处</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位于矿区中部道路两侧，总占地面积5.36hm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2F1578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1号</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矿区中部道路南侧，总面积3.12hm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，地势较平坦，地形坡度3-5°，堆高8m，层高4m，安全平台2m，废渣石分层压实，边坡角约30°，堆放容积19.6万m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0D7D6FF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2号</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矿区中部道路北侧，总面积2.24hm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，地势较平坦，地形坡度3-5°，堆高8m，层高4m，安全平台2m，废渣石分层压实，边坡角约30°，堆放容积14.2万</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092759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项目区主导风向为东北风，2处废石堆场分别位于办公生活区的侧风向、下风向，最大程度避免了废石堆场扬尘对矿山办公生活区的污染影响。</w:t>
      </w:r>
    </w:p>
    <w:p w14:paraId="691C8C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综上，本项目新建2处废石堆场选址符合《一般工业固体废物贮存和填埋污染控制标准》（GB18599-2020）。本项目前期基建及开采产生废石均临时堆放于废石堆场内，</w:t>
      </w:r>
      <w:r>
        <w:rPr>
          <w:color w:val="000000" w:themeColor="text1"/>
          <w:sz w:val="24"/>
          <w:szCs w:val="28"/>
          <w:highlight w:val="none"/>
          <w14:textFill>
            <w14:solidFill>
              <w14:schemeClr w14:val="tx1"/>
            </w14:solidFill>
          </w14:textFill>
        </w:rPr>
        <w:t>待开采结束</w:t>
      </w:r>
      <w:r>
        <w:rPr>
          <w:rFonts w:hint="eastAsia"/>
          <w:color w:val="000000" w:themeColor="text1"/>
          <w:sz w:val="24"/>
          <w:szCs w:val="28"/>
          <w:highlight w:val="none"/>
          <w14:textFill>
            <w14:solidFill>
              <w14:schemeClr w14:val="tx1"/>
            </w14:solidFill>
          </w14:textFill>
        </w:rPr>
        <w:t>并稳沉</w:t>
      </w:r>
      <w:r>
        <w:rPr>
          <w:color w:val="000000" w:themeColor="text1"/>
          <w:sz w:val="24"/>
          <w:szCs w:val="28"/>
          <w:highlight w:val="none"/>
          <w14:textFill>
            <w14:solidFill>
              <w14:schemeClr w14:val="tx1"/>
            </w14:solidFill>
          </w14:textFill>
        </w:rPr>
        <w:t>后，将废石</w:t>
      </w:r>
      <w:r>
        <w:rPr>
          <w:rFonts w:hint="eastAsia"/>
          <w:color w:val="000000" w:themeColor="text1"/>
          <w:sz w:val="24"/>
          <w:szCs w:val="28"/>
          <w:highlight w:val="none"/>
          <w14:textFill>
            <w14:solidFill>
              <w14:schemeClr w14:val="tx1"/>
            </w14:solidFill>
          </w14:textFill>
        </w:rPr>
        <w:t>回填至采空区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综合利用，因此本项目无剩余废石。采取上述措施后对项目周围环境影响较小。</w:t>
      </w:r>
    </w:p>
    <w:p w14:paraId="757487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（2）生活垃圾</w:t>
      </w:r>
    </w:p>
    <w:p w14:paraId="4A39A24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本项目新增劳动定员</w:t>
      </w:r>
      <w:r>
        <w:rPr>
          <w:rFonts w:hint="eastAsia" w:cs="Times New Roman"/>
          <w:color w:val="000000" w:themeColor="text1"/>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人，生活垃圾按0.5kg/人·d计，则生活垃圾</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14:textFill>
            <w14:solidFill>
              <w14:schemeClr w14:val="tx1"/>
            </w14:solidFill>
          </w14:textFill>
        </w:rPr>
        <w:t>代码：900-099-S64</w:t>
      </w:r>
      <w:r>
        <w:rPr>
          <w:rFonts w:hint="eastAsia"/>
          <w:color w:val="000000" w:themeColor="text1"/>
          <w:sz w:val="24"/>
          <w:szCs w:val="28"/>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产生量约为</w:t>
      </w:r>
      <w:r>
        <w:rPr>
          <w:rFonts w:hint="eastAsia" w:cs="Times New Roman"/>
          <w:color w:val="000000" w:themeColor="text1"/>
          <w:sz w:val="24"/>
          <w:szCs w:val="24"/>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kg/d（</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t/a）。生活垃圾集中收集，定期拉运至雅满苏镇生活垃圾填埋场填埋处置。采取上述措施后对项目周围环境影响较小。</w:t>
      </w:r>
    </w:p>
    <w:p w14:paraId="3B6338C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（3）沉淀池底泥</w:t>
      </w:r>
    </w:p>
    <w:p w14:paraId="136623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本项目矿井涌水采用</w:t>
      </w:r>
      <w:r>
        <w:rPr>
          <w:rFonts w:hint="eastAsia" w:cs="Times New Roman"/>
          <w:color w:val="000000" w:themeColor="text1"/>
          <w:sz w:val="24"/>
          <w:szCs w:val="24"/>
          <w:lang w:val="en-US" w:eastAsia="zh-CN"/>
          <w14:textFill>
            <w14:solidFill>
              <w14:schemeClr w14:val="tx1"/>
            </w14:solidFill>
          </w14:textFill>
        </w:rPr>
        <w:t>800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沉淀池进行处理。根据建设单位现有工程经验，沉淀池底泥（代码：</w:t>
      </w:r>
      <w:r>
        <w:rPr>
          <w:rFonts w:hint="default" w:ascii="Times New Roman" w:hAnsi="Times New Roman" w:eastAsia="宋体" w:cs="Times New Roman"/>
          <w:color w:val="000000" w:themeColor="text1"/>
          <w:sz w:val="24"/>
          <w:szCs w:val="28"/>
          <w:highlight w:val="none"/>
          <w14:textFill>
            <w14:solidFill>
              <w14:schemeClr w14:val="tx1"/>
            </w14:solidFill>
          </w14:textFill>
        </w:rPr>
        <w:t>900-099-S07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）产生量约45.4t/a。沉淀池底泥主要污染物为SS，属于I类一般固废，送至废石堆场暂存，后期用于矿山土地复垦。采取上述措施后对项目周围环境影响较小。</w:t>
      </w:r>
    </w:p>
    <w:p w14:paraId="1D08B4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（4）污水处理站底泥</w:t>
      </w:r>
    </w:p>
    <w:p w14:paraId="5292B13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本项目运营期污水处理站会产生底泥，根据建设单位现有工程经验，产生量约3.5t/a。污水处理站底泥（代码：</w:t>
      </w:r>
      <w:r>
        <w:rPr>
          <w:rFonts w:hint="default" w:ascii="Times New Roman" w:hAnsi="Times New Roman" w:eastAsia="宋体" w:cs="Times New Roman"/>
          <w:color w:val="000000" w:themeColor="text1"/>
          <w:sz w:val="24"/>
          <w:szCs w:val="28"/>
          <w:highlight w:val="none"/>
          <w14:textFill>
            <w14:solidFill>
              <w14:schemeClr w14:val="tx1"/>
            </w14:solidFill>
          </w14:textFill>
        </w:rPr>
        <w:t>900-099-S07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补充压滤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，定期拉运至雅满苏镇生活垃圾填埋场填埋处置。采取上述措施后对项目周围环境影响较小。</w:t>
      </w:r>
    </w:p>
    <w:p w14:paraId="4BB75D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（5）危险废物</w:t>
      </w:r>
    </w:p>
    <w:p w14:paraId="3EB8B31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本项目产生的危险废物为废矿物油</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危废类别HW08</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900-21</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、废油桶</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危废类别HW08</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900-2</w:t>
      </w:r>
      <w:r>
        <w:rPr>
          <w:rFonts w:hint="eastAsia" w:cs="Times New Roman"/>
          <w:color w:val="000000" w:themeColor="text1"/>
          <w:sz w:val="24"/>
          <w:szCs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，经估算，本项目产生危险废物量约2t/a，统一收集至矿区防渗</w:t>
      </w:r>
      <w:r>
        <w:rPr>
          <w:rFonts w:hint="eastAsia" w:cs="Times New Roman"/>
          <w:color w:val="000000" w:themeColor="text1"/>
          <w:sz w:val="24"/>
          <w:szCs w:val="24"/>
          <w:lang w:val="en-US" w:eastAsia="zh-CN"/>
          <w14:textFill>
            <w14:solidFill>
              <w14:schemeClr w14:val="tx1"/>
            </w14:solidFill>
          </w14:textFill>
        </w:rPr>
        <w:t>危废贮存点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，委托具有相应危险废物处置资质的单位定期进行处置，严禁外排。采取上述措施后对项目周围环境影响较小。</w:t>
      </w:r>
    </w:p>
    <w:p w14:paraId="0B9D672F">
      <w:pPr>
        <w:pStyle w:val="5"/>
        <w:numPr>
          <w:ilvl w:val="3"/>
          <w:numId w:val="0"/>
        </w:numPr>
        <w:spacing w:before="0" w:after="0" w:line="520" w:lineRule="exact"/>
        <w:ind w:firstLine="482" w:firstLineChars="200"/>
        <w:jc w:val="both"/>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5.2.5.2闭矿期固体废物环境影响分析</w:t>
      </w:r>
    </w:p>
    <w:p w14:paraId="4DCC4C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设备分拆下来后，会产生一定量的废弃物，这些废弃物主要为各设备的零部件，油纱布、破损的设备碎块及一些小设备，故建议工作人员在工作过程中，注意被遗弃的设备零部件，破损的设备碎块、小设备的收集，使得资源能够得到充分</w:t>
      </w:r>
      <w:r>
        <w:rPr>
          <w:rFonts w:hint="eastAsia" w:cs="Times New Roman"/>
          <w:color w:val="000000" w:themeColor="text1"/>
          <w:sz w:val="24"/>
          <w:szCs w:val="24"/>
          <w:lang w:val="en-US" w:eastAsia="zh-CN"/>
          <w14:textFill>
            <w14:solidFill>
              <w14:schemeClr w14:val="tx1"/>
            </w14:solidFill>
          </w14:textFill>
        </w:rPr>
        <w:t>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利用。</w:t>
      </w:r>
    </w:p>
    <w:p w14:paraId="1775C8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（2）构筑物在拆除的过程中，会产生一定量的砖、石、渣土等建筑垃圾，拆除的建筑垃圾均运至当地</w:t>
      </w:r>
      <w:r>
        <w:rPr>
          <w:rFonts w:hint="eastAsia" w:cs="Times New Roman"/>
          <w:color w:val="000000" w:themeColor="text1"/>
          <w:sz w:val="24"/>
          <w:szCs w:val="24"/>
          <w:lang w:val="en-US" w:eastAsia="zh-CN"/>
          <w14:textFill>
            <w14:solidFill>
              <w14:schemeClr w14:val="tx1"/>
            </w14:solidFill>
          </w14:textFill>
        </w:rPr>
        <w:t>环卫部门指定场所处置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0978275">
      <w:pPr>
        <w:pStyle w:val="4"/>
        <w:spacing w:before="60" w:after="60" w:line="480" w:lineRule="exact"/>
        <w:rPr>
          <w:color w:val="000000" w:themeColor="text1"/>
          <w14:textFill>
            <w14:solidFill>
              <w14:schemeClr w14:val="tx1"/>
            </w14:solidFill>
          </w14:textFill>
        </w:rPr>
      </w:pPr>
      <w:bookmarkStart w:id="441" w:name="_Toc23231"/>
      <w:r>
        <w:rPr>
          <w:rFonts w:hint="eastAsia"/>
          <w:color w:val="000000" w:themeColor="text1"/>
          <w:kern w:val="2"/>
          <w14:textFill>
            <w14:solidFill>
              <w14:schemeClr w14:val="tx1"/>
            </w14:solidFill>
          </w14:textFill>
        </w:rPr>
        <w:t>5.2.6</w:t>
      </w:r>
      <w:r>
        <w:rPr>
          <w:color w:val="000000" w:themeColor="text1"/>
          <w14:textFill>
            <w14:solidFill>
              <w14:schemeClr w14:val="tx1"/>
            </w14:solidFill>
          </w14:textFill>
        </w:rPr>
        <w:t>土壤环境影响分析</w:t>
      </w:r>
      <w:bookmarkEnd w:id="441"/>
    </w:p>
    <w:p w14:paraId="29FCC59F">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5.2.6.1</w:t>
      </w:r>
      <w:r>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t>土壤环境的影响识别</w:t>
      </w:r>
    </w:p>
    <w:p w14:paraId="2ADE5BA2">
      <w:pPr>
        <w:pStyle w:val="924"/>
        <w:keepNext w:val="0"/>
        <w:keepLines w:val="0"/>
        <w:pageBreakBefore w:val="0"/>
        <w:widowControl w:val="0"/>
        <w:numPr>
          <w:ilvl w:val="0"/>
          <w:numId w:val="0"/>
        </w:numPr>
        <w:tabs>
          <w:tab w:val="left" w:pos="1388"/>
        </w:tabs>
        <w:kinsoku/>
        <w:wordWrap/>
        <w:overflowPunct/>
        <w:topLinePunct w:val="0"/>
        <w:autoSpaceDE/>
        <w:autoSpaceDN/>
        <w:bidi w:val="0"/>
        <w:adjustRightInd/>
        <w:snapToGrid/>
        <w:spacing w:after="0" w:line="480" w:lineRule="exact"/>
        <w:ind w:left="0" w:leftChars="0" w:right="0" w:rightChars="0" w:firstLine="480" w:firstLineChars="200"/>
        <w:jc w:val="both"/>
        <w:textAlignment w:val="auto"/>
        <w:rPr>
          <w:rFonts w:hint="default" w:ascii="Times New Roman" w:hAnsi="Times New Roman" w:cs="Times New Roman"/>
          <w:b w:val="0"/>
          <w:bCs/>
          <w:color w:val="000000" w:themeColor="text1"/>
          <w:w w:val="100"/>
          <w:kern w:val="0"/>
          <w:sz w:val="24"/>
          <w14:textFill>
            <w14:solidFill>
              <w14:schemeClr w14:val="tx1"/>
            </w14:solidFill>
          </w14:textFill>
        </w:rPr>
      </w:pPr>
      <w:r>
        <w:rPr>
          <w:rFonts w:hint="default" w:ascii="Times New Roman" w:hAnsi="Times New Roman" w:cs="Times New Roman"/>
          <w:b w:val="0"/>
          <w:bCs/>
          <w:color w:val="000000" w:themeColor="text1"/>
          <w:w w:val="100"/>
          <w:kern w:val="0"/>
          <w:sz w:val="24"/>
          <w:lang w:eastAsia="zh-CN"/>
          <w14:textFill>
            <w14:solidFill>
              <w14:schemeClr w14:val="tx1"/>
            </w14:solidFill>
          </w14:textFill>
        </w:rPr>
        <w:t>（1）</w:t>
      </w:r>
      <w:r>
        <w:rPr>
          <w:rFonts w:hint="default" w:ascii="Times New Roman" w:hAnsi="Times New Roman" w:cs="Times New Roman"/>
          <w:b w:val="0"/>
          <w:bCs/>
          <w:color w:val="000000" w:themeColor="text1"/>
          <w:w w:val="100"/>
          <w:kern w:val="0"/>
          <w:sz w:val="24"/>
          <w14:textFill>
            <w14:solidFill>
              <w14:schemeClr w14:val="tx1"/>
            </w14:solidFill>
          </w14:textFill>
        </w:rPr>
        <w:t>建设项目所属行业识别</w:t>
      </w:r>
    </w:p>
    <w:p w14:paraId="7B81E4C0">
      <w:pPr>
        <w:pStyle w:val="29"/>
        <w:keepNext w:val="0"/>
        <w:keepLines w:val="0"/>
        <w:pageBreakBefore w:val="0"/>
        <w:widowControl w:val="0"/>
        <w:kinsoku/>
        <w:wordWrap/>
        <w:overflowPunct/>
        <w:topLinePunct w:val="0"/>
        <w:autoSpaceDE/>
        <w:autoSpaceDN/>
        <w:bidi w:val="0"/>
        <w:adjustRightInd/>
        <w:snapToGrid/>
        <w:spacing w:after="0" w:line="480" w:lineRule="exact"/>
        <w:ind w:left="0" w:firstLine="480" w:firstLineChars="200"/>
        <w:jc w:val="both"/>
        <w:textAlignment w:val="auto"/>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本项目</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铁矿</w:t>
      </w:r>
      <w:r>
        <w:rPr>
          <w:rFonts w:hint="default" w:ascii="Times New Roman" w:hAnsi="Times New Roman" w:eastAsia="宋体" w:cs="Times New Roman"/>
          <w:bCs/>
          <w:color w:val="000000" w:themeColor="text1"/>
          <w:sz w:val="24"/>
          <w:szCs w:val="24"/>
          <w:lang w:eastAsia="zh-CN"/>
          <w14:textFill>
            <w14:solidFill>
              <w14:schemeClr w14:val="tx1"/>
            </w14:solidFill>
          </w14:textFill>
        </w:rPr>
        <w:t>开采</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，根据《环境影响评价技术导则 土壤环境（试行）》（HJ964-2018）附录A，为I类项目。</w:t>
      </w:r>
    </w:p>
    <w:p w14:paraId="3419CE0F">
      <w:pPr>
        <w:pStyle w:val="924"/>
        <w:keepNext w:val="0"/>
        <w:keepLines w:val="0"/>
        <w:pageBreakBefore w:val="0"/>
        <w:widowControl w:val="0"/>
        <w:numPr>
          <w:ilvl w:val="0"/>
          <w:numId w:val="0"/>
        </w:numPr>
        <w:tabs>
          <w:tab w:val="left" w:pos="1388"/>
        </w:tabs>
        <w:kinsoku/>
        <w:wordWrap/>
        <w:overflowPunct/>
        <w:topLinePunct w:val="0"/>
        <w:autoSpaceDE/>
        <w:autoSpaceDN/>
        <w:bidi w:val="0"/>
        <w:adjustRightInd/>
        <w:snapToGrid/>
        <w:spacing w:after="0" w:line="480" w:lineRule="exact"/>
        <w:ind w:left="0" w:leftChars="0" w:right="0" w:rightChars="0" w:firstLine="480" w:firstLineChars="200"/>
        <w:jc w:val="both"/>
        <w:textAlignment w:val="auto"/>
        <w:rPr>
          <w:rFonts w:hint="default" w:ascii="Times New Roman" w:hAnsi="Times New Roman" w:eastAsia="宋体" w:cs="Times New Roman"/>
          <w:b w:val="0"/>
          <w:bCs/>
          <w:color w:val="000000" w:themeColor="text1"/>
          <w:w w:val="100"/>
          <w:kern w:val="0"/>
          <w:sz w:val="24"/>
          <w:lang w:val="en-US" w:eastAsia="zh-CN"/>
          <w14:textFill>
            <w14:solidFill>
              <w14:schemeClr w14:val="tx1"/>
            </w14:solidFill>
          </w14:textFill>
        </w:rPr>
      </w:pPr>
      <w:r>
        <w:rPr>
          <w:rFonts w:hint="default" w:ascii="Times New Roman" w:hAnsi="Times New Roman" w:cs="Times New Roman"/>
          <w:b w:val="0"/>
          <w:bCs/>
          <w:color w:val="000000" w:themeColor="text1"/>
          <w:w w:val="100"/>
          <w:kern w:val="0"/>
          <w:sz w:val="24"/>
          <w:lang w:eastAsia="zh-CN"/>
          <w14:textFill>
            <w14:solidFill>
              <w14:schemeClr w14:val="tx1"/>
            </w14:solidFill>
          </w14:textFill>
        </w:rPr>
        <w:t>（2）</w:t>
      </w:r>
      <w:r>
        <w:rPr>
          <w:rFonts w:hint="default" w:ascii="Times New Roman" w:hAnsi="Times New Roman" w:eastAsia="宋体" w:cs="Times New Roman"/>
          <w:b w:val="0"/>
          <w:bCs/>
          <w:color w:val="000000" w:themeColor="text1"/>
          <w:w w:val="100"/>
          <w:kern w:val="0"/>
          <w:sz w:val="24"/>
          <w:lang w:val="en-US" w:eastAsia="zh-CN"/>
          <w14:textFill>
            <w14:solidFill>
              <w14:schemeClr w14:val="tx1"/>
            </w14:solidFill>
          </w14:textFill>
        </w:rPr>
        <w:t>土壤环境影响类型、影响途径、影响源与影响因子识别</w:t>
      </w:r>
    </w:p>
    <w:p w14:paraId="2CD224C2">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通过对项目工程分析，根据《环境影响评价技术导则</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lang w:eastAsia="zh-CN"/>
          <w14:textFill>
            <w14:solidFill>
              <w14:schemeClr w14:val="tx1"/>
            </w14:solidFill>
          </w14:textFill>
        </w:rPr>
        <w:t>土壤环境（试行）》（HJ964-2018）附录B表B.1，为生态影响型</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污染影响型兼有项目</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085D0116">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根据工程组成，可分为建设期、运营期两个阶段对土壤的环境影响。</w:t>
      </w:r>
    </w:p>
    <w:p w14:paraId="344AA5DD">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①污染影响型</w:t>
      </w:r>
    </w:p>
    <w:p w14:paraId="490D4819">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施工期环境影响识别主要针对施工过程中施工机械在使用过程中，施工人员在施工生活过程中，固体废物在临时储存过程中对土壤产生的影响等。</w:t>
      </w:r>
    </w:p>
    <w:p w14:paraId="22FC0A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运营期环境影响识别主要针对排放的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废气</w:t>
      </w:r>
      <w:r>
        <w:rPr>
          <w:rFonts w:hint="default" w:ascii="Times New Roman" w:hAnsi="Times New Roman" w:cs="Times New Roman"/>
          <w:color w:val="000000" w:themeColor="text1"/>
          <w:sz w:val="24"/>
          <w:szCs w:val="24"/>
          <w:highlight w:val="none"/>
          <w:lang w:eastAsia="zh-CN"/>
          <w14:textFill>
            <w14:solidFill>
              <w14:schemeClr w14:val="tx1"/>
            </w14:solidFill>
          </w14:textFill>
        </w:rPr>
        <w:t>、废水</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废石</w:t>
      </w:r>
      <w:r>
        <w:rPr>
          <w:rFonts w:hint="default" w:ascii="Times New Roman" w:hAnsi="Times New Roman" w:cs="Times New Roman"/>
          <w:color w:val="000000" w:themeColor="text1"/>
          <w:sz w:val="24"/>
          <w:szCs w:val="24"/>
          <w:highlight w:val="none"/>
          <w:lang w:eastAsia="zh-CN"/>
          <w14:textFill>
            <w14:solidFill>
              <w14:schemeClr w14:val="tx1"/>
            </w14:solidFill>
          </w14:textFill>
        </w:rPr>
        <w:t>等，</w:t>
      </w:r>
      <w:r>
        <w:rPr>
          <w:rFonts w:hint="eastAsia" w:ascii="Times New Roman" w:hAnsi="Times New Roman" w:cs="Times New Roman"/>
          <w:color w:val="000000" w:themeColor="text1"/>
          <w:sz w:val="24"/>
          <w:szCs w:val="24"/>
          <w:highlight w:val="none"/>
          <w:lang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土壤环境影响</w:t>
      </w:r>
      <w:r>
        <w:rPr>
          <w:rFonts w:hint="default" w:ascii="Times New Roman" w:hAnsi="Times New Roman" w:cs="Times New Roman"/>
          <w:color w:val="000000" w:themeColor="text1"/>
          <w:sz w:val="24"/>
          <w:szCs w:val="24"/>
          <w:highlight w:val="none"/>
          <w:lang w:eastAsia="zh-CN"/>
          <w14:textFill>
            <w14:solidFill>
              <w14:schemeClr w14:val="tx1"/>
            </w14:solidFill>
          </w14:textFill>
        </w:rPr>
        <w:t>主要</w:t>
      </w:r>
      <w:r>
        <w:rPr>
          <w:rFonts w:hint="eastAsia" w:cs="Times New Roman"/>
          <w:color w:val="000000" w:themeColor="text1"/>
          <w:sz w:val="24"/>
          <w:szCs w:val="24"/>
          <w:highlight w:val="none"/>
          <w:lang w:val="en-US" w:eastAsia="zh-CN"/>
          <w14:textFill>
            <w14:solidFill>
              <w14:schemeClr w14:val="tx1"/>
            </w14:solidFill>
          </w14:textFill>
        </w:rPr>
        <w:t>是废石堆场</w:t>
      </w:r>
      <w:r>
        <w:rPr>
          <w:rFonts w:hint="default" w:ascii="Times New Roman" w:hAnsi="Times New Roman" w:cs="Times New Roman"/>
          <w:color w:val="000000" w:themeColor="text1"/>
          <w:sz w:val="24"/>
          <w:szCs w:val="24"/>
          <w:highlight w:val="none"/>
          <w:lang w:eastAsia="zh-CN"/>
          <w14:textFill>
            <w14:solidFill>
              <w14:schemeClr w14:val="tx1"/>
            </w14:solidFill>
          </w14:textFill>
        </w:rPr>
        <w:t>等生产运营过程中对土壤产生的影响</w:t>
      </w:r>
      <w:r>
        <w:rPr>
          <w:rFonts w:hint="eastAsia" w:cs="Times New Roman"/>
          <w:color w:val="000000" w:themeColor="text1"/>
          <w:sz w:val="24"/>
          <w:szCs w:val="24"/>
          <w:highlight w:val="none"/>
          <w:lang w:eastAsia="zh-CN"/>
          <w14:textFill>
            <w14:solidFill>
              <w14:schemeClr w14:val="tx1"/>
            </w14:solidFill>
          </w14:textFill>
        </w:rPr>
        <w:t>。</w:t>
      </w:r>
    </w:p>
    <w:p w14:paraId="49C8907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②生态影响型</w:t>
      </w:r>
    </w:p>
    <w:p w14:paraId="73E69C0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采矿过程中不使用酸碱试剂，不会导致土壤酸化、碱化，但掘进过程中，地下水水位的变化会导致土壤盐化</w:t>
      </w:r>
      <w:r>
        <w:rPr>
          <w:rFonts w:hint="eastAsia" w:cs="Times New Roman"/>
          <w:color w:val="000000" w:themeColor="text1"/>
          <w:sz w:val="24"/>
          <w:szCs w:val="24"/>
          <w:lang w:val="en-US" w:eastAsia="zh-CN"/>
          <w14:textFill>
            <w14:solidFill>
              <w14:schemeClr w14:val="tx1"/>
            </w14:solidFill>
          </w14:textFill>
        </w:rPr>
        <w:t>。</w:t>
      </w:r>
    </w:p>
    <w:p w14:paraId="7116382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本项目对土壤的影响类型和途径及影响因子见表5.2-1</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至5.2-</w:t>
      </w:r>
      <w:r>
        <w:rPr>
          <w:rFonts w:hint="eastAsia"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0897B4B">
      <w:pPr>
        <w:keepNext w:val="0"/>
        <w:keepLines w:val="0"/>
        <w:pageBreakBefore w:val="0"/>
        <w:widowControl w:val="0"/>
        <w:tabs>
          <w:tab w:val="left" w:pos="1214"/>
        </w:tabs>
        <w:kinsoku/>
        <w:wordWrap/>
        <w:overflowPunct/>
        <w:topLinePunct w:val="0"/>
        <w:autoSpaceDE w:val="0"/>
        <w:autoSpaceDN/>
        <w:bidi w:val="0"/>
        <w:adjustRightInd/>
        <w:snapToGrid/>
        <w:spacing w:line="480" w:lineRule="exact"/>
        <w:ind w:left="0" w:leftChars="0" w:right="0" w:rightChars="0" w:firstLine="0"/>
        <w:jc w:val="center"/>
        <w:textAlignment w:val="auto"/>
        <w:outlineLvl w:val="9"/>
        <w:rPr>
          <w:rFonts w:hint="default" w:ascii="Times New Roman" w:hAnsi="Times New Roman" w:eastAsia="宋体" w:cs="Times New Roman"/>
          <w:b/>
          <w:color w:val="000000" w:themeColor="text1"/>
          <w:spacing w:val="0"/>
          <w:sz w:val="24"/>
          <w:highlight w:val="none"/>
          <w14:textFill>
            <w14:solidFill>
              <w14:schemeClr w14:val="tx1"/>
            </w14:solidFill>
          </w14:textFill>
        </w:rPr>
      </w:pPr>
      <w:r>
        <w:rPr>
          <w:rFonts w:hint="default" w:ascii="Times New Roman" w:hAnsi="Times New Roman" w:eastAsia="宋体" w:cs="Times New Roman"/>
          <w:b/>
          <w:color w:val="000000" w:themeColor="text1"/>
          <w:spacing w:val="0"/>
          <w:sz w:val="24"/>
          <w:highlight w:val="none"/>
          <w14:textFill>
            <w14:solidFill>
              <w14:schemeClr w14:val="tx1"/>
            </w14:solidFill>
          </w14:textFill>
        </w:rPr>
        <w:t>表</w:t>
      </w:r>
      <w:r>
        <w:rPr>
          <w:rFonts w:hint="eastAsia" w:cs="Times New Roman"/>
          <w:b/>
          <w:color w:val="000000" w:themeColor="text1"/>
          <w:spacing w:val="0"/>
          <w:sz w:val="24"/>
          <w:highlight w:val="none"/>
          <w:lang w:val="en-US" w:eastAsia="zh-CN"/>
          <w14:textFill>
            <w14:solidFill>
              <w14:schemeClr w14:val="tx1"/>
            </w14:solidFill>
          </w14:textFill>
        </w:rPr>
        <w:t>5.2-19</w:t>
      </w:r>
      <w:r>
        <w:rPr>
          <w:rFonts w:hint="default" w:ascii="Times New Roman" w:hAnsi="Times New Roman" w:eastAsia="宋体" w:cs="Times New Roman"/>
          <w:b/>
          <w:color w:val="000000" w:themeColor="text1"/>
          <w:spacing w:val="0"/>
          <w:sz w:val="24"/>
          <w:highlight w:val="none"/>
          <w:lang w:val="en-US" w:eastAsia="zh-CN"/>
          <w14:textFill>
            <w14:solidFill>
              <w14:schemeClr w14:val="tx1"/>
            </w14:solidFill>
          </w14:textFill>
        </w:rPr>
        <w:t xml:space="preserve">   </w:t>
      </w:r>
      <w:r>
        <w:rPr>
          <w:rFonts w:hint="eastAsia" w:cs="Times New Roman"/>
          <w:b/>
          <w:color w:val="000000" w:themeColor="text1"/>
          <w:spacing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sz w:val="24"/>
          <w:highlight w:val="none"/>
          <w14:textFill>
            <w14:solidFill>
              <w14:schemeClr w14:val="tx1"/>
            </w14:solidFill>
          </w14:textFill>
        </w:rPr>
        <w:t>土壤环境影响类型与影响途径表</w:t>
      </w:r>
    </w:p>
    <w:tbl>
      <w:tblPr>
        <w:tblStyle w:val="79"/>
        <w:tblW w:w="50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82"/>
        <w:gridCol w:w="1106"/>
        <w:gridCol w:w="1276"/>
        <w:gridCol w:w="1033"/>
        <w:gridCol w:w="1028"/>
        <w:gridCol w:w="736"/>
        <w:gridCol w:w="738"/>
        <w:gridCol w:w="733"/>
        <w:gridCol w:w="740"/>
        <w:gridCol w:w="811"/>
      </w:tblGrid>
      <w:tr w14:paraId="339D35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70" w:hRule="atLeast"/>
          <w:tblHeader/>
          <w:jc w:val="center"/>
        </w:trPr>
        <w:tc>
          <w:tcPr>
            <w:tcW w:w="818" w:type="pct"/>
            <w:gridSpan w:val="2"/>
            <w:vMerge w:val="restart"/>
            <w:tcBorders>
              <w:tl2br w:val="nil"/>
              <w:tr2bl w:val="nil"/>
            </w:tcBorders>
            <w:vAlign w:val="center"/>
          </w:tcPr>
          <w:p w14:paraId="68109344">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不同时段</w:t>
            </w:r>
          </w:p>
        </w:tc>
        <w:tc>
          <w:tcPr>
            <w:tcW w:w="2401" w:type="pct"/>
            <w:gridSpan w:val="4"/>
            <w:tcBorders>
              <w:tl2br w:val="nil"/>
              <w:tr2bl w:val="nil"/>
            </w:tcBorders>
            <w:vAlign w:val="center"/>
          </w:tcPr>
          <w:p w14:paraId="70C8FB85">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污染影响型</w:t>
            </w:r>
          </w:p>
        </w:tc>
        <w:tc>
          <w:tcPr>
            <w:tcW w:w="1779" w:type="pct"/>
            <w:gridSpan w:val="4"/>
            <w:tcBorders>
              <w:tl2br w:val="nil"/>
              <w:tr2bl w:val="nil"/>
            </w:tcBorders>
            <w:vAlign w:val="center"/>
          </w:tcPr>
          <w:p w14:paraId="7C07BD3D">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生态影响型</w:t>
            </w:r>
          </w:p>
        </w:tc>
      </w:tr>
      <w:tr w14:paraId="327213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blHeader/>
          <w:jc w:val="center"/>
        </w:trPr>
        <w:tc>
          <w:tcPr>
            <w:tcW w:w="818" w:type="pct"/>
            <w:gridSpan w:val="2"/>
            <w:vMerge w:val="continue"/>
            <w:tcBorders>
              <w:tl2br w:val="nil"/>
              <w:tr2bl w:val="nil"/>
            </w:tcBorders>
            <w:vAlign w:val="center"/>
          </w:tcPr>
          <w:p w14:paraId="35AA7ED1">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p>
        </w:tc>
        <w:tc>
          <w:tcPr>
            <w:tcW w:w="752" w:type="pct"/>
            <w:tcBorders>
              <w:tl2br w:val="nil"/>
              <w:tr2bl w:val="nil"/>
            </w:tcBorders>
            <w:vAlign w:val="center"/>
          </w:tcPr>
          <w:p w14:paraId="30D83E04">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大气沉降</w:t>
            </w:r>
          </w:p>
        </w:tc>
        <w:tc>
          <w:tcPr>
            <w:tcW w:w="609" w:type="pct"/>
            <w:tcBorders>
              <w:tl2br w:val="nil"/>
              <w:tr2bl w:val="nil"/>
            </w:tcBorders>
            <w:vAlign w:val="center"/>
          </w:tcPr>
          <w:p w14:paraId="7869AAB0">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地面漫流</w:t>
            </w:r>
          </w:p>
        </w:tc>
        <w:tc>
          <w:tcPr>
            <w:tcW w:w="606" w:type="pct"/>
            <w:tcBorders>
              <w:tl2br w:val="nil"/>
              <w:tr2bl w:val="nil"/>
            </w:tcBorders>
            <w:vAlign w:val="center"/>
          </w:tcPr>
          <w:p w14:paraId="2F754355">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垂直入渗</w:t>
            </w:r>
          </w:p>
        </w:tc>
        <w:tc>
          <w:tcPr>
            <w:tcW w:w="431" w:type="pct"/>
            <w:tcBorders>
              <w:tl2br w:val="nil"/>
              <w:tr2bl w:val="nil"/>
            </w:tcBorders>
            <w:vAlign w:val="center"/>
          </w:tcPr>
          <w:p w14:paraId="75803100">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其他</w:t>
            </w:r>
          </w:p>
        </w:tc>
        <w:tc>
          <w:tcPr>
            <w:tcW w:w="435" w:type="pct"/>
            <w:tcBorders>
              <w:tl2br w:val="nil"/>
              <w:tr2bl w:val="nil"/>
            </w:tcBorders>
            <w:vAlign w:val="center"/>
          </w:tcPr>
          <w:p w14:paraId="169DBA06">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盐化</w:t>
            </w:r>
          </w:p>
        </w:tc>
        <w:tc>
          <w:tcPr>
            <w:tcW w:w="432" w:type="pct"/>
            <w:tcBorders>
              <w:tl2br w:val="nil"/>
              <w:tr2bl w:val="nil"/>
            </w:tcBorders>
            <w:vAlign w:val="center"/>
          </w:tcPr>
          <w:p w14:paraId="31ED1659">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碱化</w:t>
            </w:r>
          </w:p>
        </w:tc>
        <w:tc>
          <w:tcPr>
            <w:tcW w:w="436" w:type="pct"/>
            <w:tcBorders>
              <w:tl2br w:val="nil"/>
              <w:tr2bl w:val="nil"/>
            </w:tcBorders>
            <w:vAlign w:val="center"/>
          </w:tcPr>
          <w:p w14:paraId="7C2B0A9B">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酸化</w:t>
            </w:r>
          </w:p>
        </w:tc>
        <w:tc>
          <w:tcPr>
            <w:tcW w:w="474" w:type="pct"/>
            <w:tcBorders>
              <w:tl2br w:val="nil"/>
              <w:tr2bl w:val="nil"/>
            </w:tcBorders>
            <w:vAlign w:val="center"/>
          </w:tcPr>
          <w:p w14:paraId="4AC9A131">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其他</w:t>
            </w:r>
          </w:p>
        </w:tc>
      </w:tr>
      <w:tr w14:paraId="211930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818" w:type="pct"/>
            <w:gridSpan w:val="2"/>
            <w:tcBorders>
              <w:tl2br w:val="nil"/>
              <w:tr2bl w:val="nil"/>
            </w:tcBorders>
            <w:vAlign w:val="center"/>
          </w:tcPr>
          <w:p w14:paraId="59982974">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建设期</w:t>
            </w:r>
          </w:p>
        </w:tc>
        <w:tc>
          <w:tcPr>
            <w:tcW w:w="752" w:type="pct"/>
            <w:tcBorders>
              <w:tl2br w:val="nil"/>
              <w:tr2bl w:val="nil"/>
            </w:tcBorders>
            <w:vAlign w:val="center"/>
          </w:tcPr>
          <w:p w14:paraId="523509BA">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w:t>
            </w:r>
          </w:p>
        </w:tc>
        <w:tc>
          <w:tcPr>
            <w:tcW w:w="609" w:type="pct"/>
            <w:tcBorders>
              <w:tl2br w:val="nil"/>
              <w:tr2bl w:val="nil"/>
            </w:tcBorders>
            <w:vAlign w:val="center"/>
          </w:tcPr>
          <w:p w14:paraId="7152CFEF">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606" w:type="pct"/>
            <w:tcBorders>
              <w:tl2br w:val="nil"/>
              <w:tr2bl w:val="nil"/>
            </w:tcBorders>
            <w:vAlign w:val="center"/>
          </w:tcPr>
          <w:p w14:paraId="44FF4EC0">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w:t>
            </w:r>
          </w:p>
        </w:tc>
        <w:tc>
          <w:tcPr>
            <w:tcW w:w="431" w:type="pct"/>
            <w:tcBorders>
              <w:tl2br w:val="nil"/>
              <w:tr2bl w:val="nil"/>
            </w:tcBorders>
            <w:vAlign w:val="center"/>
          </w:tcPr>
          <w:p w14:paraId="0179302D">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5" w:type="pct"/>
            <w:tcBorders>
              <w:tl2br w:val="nil"/>
              <w:tr2bl w:val="nil"/>
            </w:tcBorders>
            <w:vAlign w:val="center"/>
          </w:tcPr>
          <w:p w14:paraId="4D5E4E7F">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2" w:type="pct"/>
            <w:tcBorders>
              <w:tl2br w:val="nil"/>
              <w:tr2bl w:val="nil"/>
            </w:tcBorders>
            <w:vAlign w:val="center"/>
          </w:tcPr>
          <w:p w14:paraId="048CE66E">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6" w:type="pct"/>
            <w:tcBorders>
              <w:tl2br w:val="nil"/>
              <w:tr2bl w:val="nil"/>
            </w:tcBorders>
            <w:vAlign w:val="center"/>
          </w:tcPr>
          <w:p w14:paraId="1EF9FFB5">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74" w:type="pct"/>
            <w:tcBorders>
              <w:tl2br w:val="nil"/>
              <w:tr2bl w:val="nil"/>
            </w:tcBorders>
            <w:vAlign w:val="center"/>
          </w:tcPr>
          <w:p w14:paraId="71492C3D">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r>
      <w:tr w14:paraId="41F43A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6" w:type="pct"/>
            <w:vMerge w:val="restart"/>
            <w:tcBorders>
              <w:tl2br w:val="nil"/>
              <w:tr2bl w:val="nil"/>
            </w:tcBorders>
            <w:vAlign w:val="center"/>
          </w:tcPr>
          <w:p w14:paraId="2DBCCC58">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运营期</w:t>
            </w:r>
          </w:p>
        </w:tc>
        <w:tc>
          <w:tcPr>
            <w:tcW w:w="651" w:type="pct"/>
            <w:tcBorders>
              <w:tl2br w:val="nil"/>
              <w:tr2bl w:val="nil"/>
            </w:tcBorders>
            <w:vAlign w:val="center"/>
          </w:tcPr>
          <w:p w14:paraId="77C93EFC">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采矿区</w:t>
            </w:r>
          </w:p>
        </w:tc>
        <w:tc>
          <w:tcPr>
            <w:tcW w:w="752" w:type="pct"/>
            <w:tcBorders>
              <w:tl2br w:val="nil"/>
              <w:tr2bl w:val="nil"/>
            </w:tcBorders>
            <w:vAlign w:val="center"/>
          </w:tcPr>
          <w:p w14:paraId="498284D4">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609" w:type="pct"/>
            <w:tcBorders>
              <w:tl2br w:val="nil"/>
              <w:tr2bl w:val="nil"/>
            </w:tcBorders>
            <w:vAlign w:val="center"/>
          </w:tcPr>
          <w:p w14:paraId="6693ABED">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606" w:type="pct"/>
            <w:tcBorders>
              <w:tl2br w:val="nil"/>
              <w:tr2bl w:val="nil"/>
            </w:tcBorders>
            <w:vAlign w:val="center"/>
          </w:tcPr>
          <w:p w14:paraId="08DA7EC3">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1" w:type="pct"/>
            <w:tcBorders>
              <w:tl2br w:val="nil"/>
              <w:tr2bl w:val="nil"/>
            </w:tcBorders>
            <w:vAlign w:val="center"/>
          </w:tcPr>
          <w:p w14:paraId="311E4014">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5" w:type="pct"/>
            <w:tcBorders>
              <w:tl2br w:val="nil"/>
              <w:tr2bl w:val="nil"/>
            </w:tcBorders>
            <w:vAlign w:val="center"/>
          </w:tcPr>
          <w:p w14:paraId="2D170B1B">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w:t>
            </w:r>
          </w:p>
        </w:tc>
        <w:tc>
          <w:tcPr>
            <w:tcW w:w="432" w:type="pct"/>
            <w:tcBorders>
              <w:tl2br w:val="nil"/>
              <w:tr2bl w:val="nil"/>
            </w:tcBorders>
            <w:vAlign w:val="center"/>
          </w:tcPr>
          <w:p w14:paraId="6E907897">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6" w:type="pct"/>
            <w:tcBorders>
              <w:tl2br w:val="nil"/>
              <w:tr2bl w:val="nil"/>
            </w:tcBorders>
            <w:vAlign w:val="center"/>
          </w:tcPr>
          <w:p w14:paraId="5A7CAA26">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74" w:type="pct"/>
            <w:tcBorders>
              <w:tl2br w:val="nil"/>
              <w:tr2bl w:val="nil"/>
            </w:tcBorders>
            <w:vAlign w:val="center"/>
          </w:tcPr>
          <w:p w14:paraId="24A59591">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r>
      <w:tr w14:paraId="3959B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6" w:type="pct"/>
            <w:vMerge w:val="continue"/>
            <w:tcBorders>
              <w:tl2br w:val="nil"/>
              <w:tr2bl w:val="nil"/>
            </w:tcBorders>
            <w:vAlign w:val="center"/>
          </w:tcPr>
          <w:p w14:paraId="41A23D4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651" w:type="pct"/>
            <w:tcBorders>
              <w:tl2br w:val="nil"/>
              <w:tr2bl w:val="nil"/>
            </w:tcBorders>
            <w:vAlign w:val="center"/>
          </w:tcPr>
          <w:p w14:paraId="6DADA13D">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废石</w:t>
            </w:r>
            <w:r>
              <w:rPr>
                <w:rFonts w:hint="eastAsia" w:ascii="Times New Roman" w:hAnsi="Times New Roman" w:cs="Times New Roman"/>
                <w:b w:val="0"/>
                <w:color w:val="000000" w:themeColor="text1"/>
                <w:w w:val="100"/>
                <w:kern w:val="0"/>
                <w:sz w:val="21"/>
                <w:szCs w:val="21"/>
                <w:highlight w:val="none"/>
                <w:lang w:eastAsia="zh-CN"/>
                <w14:textFill>
                  <w14:solidFill>
                    <w14:schemeClr w14:val="tx1"/>
                  </w14:solidFill>
                </w14:textFill>
              </w:rPr>
              <w:t>堆</w:t>
            </w: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场</w:t>
            </w:r>
          </w:p>
        </w:tc>
        <w:tc>
          <w:tcPr>
            <w:tcW w:w="752" w:type="pct"/>
            <w:tcBorders>
              <w:tl2br w:val="nil"/>
              <w:tr2bl w:val="nil"/>
            </w:tcBorders>
            <w:vAlign w:val="center"/>
          </w:tcPr>
          <w:p w14:paraId="3C2F7787">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w:t>
            </w:r>
          </w:p>
        </w:tc>
        <w:tc>
          <w:tcPr>
            <w:tcW w:w="609" w:type="pct"/>
            <w:tcBorders>
              <w:tl2br w:val="nil"/>
              <w:tr2bl w:val="nil"/>
            </w:tcBorders>
            <w:vAlign w:val="center"/>
          </w:tcPr>
          <w:p w14:paraId="75A87AA8">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w:t>
            </w:r>
          </w:p>
        </w:tc>
        <w:tc>
          <w:tcPr>
            <w:tcW w:w="606" w:type="pct"/>
            <w:tcBorders>
              <w:tl2br w:val="nil"/>
              <w:tr2bl w:val="nil"/>
            </w:tcBorders>
            <w:vAlign w:val="center"/>
          </w:tcPr>
          <w:p w14:paraId="694324F7">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1" w:type="pct"/>
            <w:tcBorders>
              <w:tl2br w:val="nil"/>
              <w:tr2bl w:val="nil"/>
            </w:tcBorders>
            <w:vAlign w:val="center"/>
          </w:tcPr>
          <w:p w14:paraId="7300B1DC">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5" w:type="pct"/>
            <w:tcBorders>
              <w:tl2br w:val="nil"/>
              <w:tr2bl w:val="nil"/>
            </w:tcBorders>
            <w:vAlign w:val="center"/>
          </w:tcPr>
          <w:p w14:paraId="2DCE0070">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2" w:type="pct"/>
            <w:tcBorders>
              <w:tl2br w:val="nil"/>
              <w:tr2bl w:val="nil"/>
            </w:tcBorders>
            <w:vAlign w:val="center"/>
          </w:tcPr>
          <w:p w14:paraId="793ECCC6">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6" w:type="pct"/>
            <w:tcBorders>
              <w:tl2br w:val="nil"/>
              <w:tr2bl w:val="nil"/>
            </w:tcBorders>
            <w:vAlign w:val="center"/>
          </w:tcPr>
          <w:p w14:paraId="304E3DEF">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74" w:type="pct"/>
            <w:tcBorders>
              <w:tl2br w:val="nil"/>
              <w:tr2bl w:val="nil"/>
            </w:tcBorders>
            <w:vAlign w:val="center"/>
          </w:tcPr>
          <w:p w14:paraId="744ED67E">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r>
      <w:tr w14:paraId="3C9BD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66" w:type="pct"/>
            <w:vMerge w:val="continue"/>
            <w:tcBorders>
              <w:tl2br w:val="nil"/>
              <w:tr2bl w:val="nil"/>
            </w:tcBorders>
            <w:vAlign w:val="center"/>
          </w:tcPr>
          <w:p w14:paraId="2A0E57D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651" w:type="pct"/>
            <w:tcBorders>
              <w:tl2br w:val="nil"/>
              <w:tr2bl w:val="nil"/>
            </w:tcBorders>
            <w:vAlign w:val="center"/>
          </w:tcPr>
          <w:p w14:paraId="6BCCE709">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color w:val="000000" w:themeColor="text1"/>
                <w:w w:val="100"/>
                <w:kern w:val="0"/>
                <w:sz w:val="21"/>
                <w:szCs w:val="21"/>
                <w:highlight w:val="none"/>
                <w:lang w:val="en-US" w:eastAsia="zh-CN"/>
                <w14:textFill>
                  <w14:solidFill>
                    <w14:schemeClr w14:val="tx1"/>
                  </w14:solidFill>
                </w14:textFill>
              </w:rPr>
            </w:pPr>
            <w:r>
              <w:rPr>
                <w:rFonts w:hint="eastAsia" w:eastAsia="宋体" w:cs="Times New Roman"/>
                <w:b w:val="0"/>
                <w:color w:val="000000" w:themeColor="text1"/>
                <w:w w:val="100"/>
                <w:kern w:val="0"/>
                <w:sz w:val="21"/>
                <w:szCs w:val="21"/>
                <w:lang w:val="en-US" w:eastAsia="zh-CN"/>
                <w14:textFill>
                  <w14:solidFill>
                    <w14:schemeClr w14:val="tx1"/>
                  </w14:solidFill>
                </w14:textFill>
              </w:rPr>
              <w:t>工业场地</w:t>
            </w:r>
          </w:p>
        </w:tc>
        <w:tc>
          <w:tcPr>
            <w:tcW w:w="752" w:type="pct"/>
            <w:tcBorders>
              <w:tl2br w:val="nil"/>
              <w:tr2bl w:val="nil"/>
            </w:tcBorders>
            <w:vAlign w:val="center"/>
          </w:tcPr>
          <w:p w14:paraId="5D1D1CF0">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609" w:type="pct"/>
            <w:tcBorders>
              <w:tl2br w:val="nil"/>
              <w:tr2bl w:val="nil"/>
            </w:tcBorders>
            <w:vAlign w:val="center"/>
          </w:tcPr>
          <w:p w14:paraId="53C67639">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w:t>
            </w:r>
          </w:p>
        </w:tc>
        <w:tc>
          <w:tcPr>
            <w:tcW w:w="606" w:type="pct"/>
            <w:tcBorders>
              <w:tl2br w:val="nil"/>
              <w:tr2bl w:val="nil"/>
            </w:tcBorders>
            <w:vAlign w:val="center"/>
          </w:tcPr>
          <w:p w14:paraId="06F9DDAB">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1" w:type="pct"/>
            <w:tcBorders>
              <w:tl2br w:val="nil"/>
              <w:tr2bl w:val="nil"/>
            </w:tcBorders>
            <w:vAlign w:val="center"/>
          </w:tcPr>
          <w:p w14:paraId="61A69618">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5" w:type="pct"/>
            <w:tcBorders>
              <w:tl2br w:val="nil"/>
              <w:tr2bl w:val="nil"/>
            </w:tcBorders>
            <w:vAlign w:val="center"/>
          </w:tcPr>
          <w:p w14:paraId="17F8B69B">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2" w:type="pct"/>
            <w:tcBorders>
              <w:tl2br w:val="nil"/>
              <w:tr2bl w:val="nil"/>
            </w:tcBorders>
            <w:vAlign w:val="center"/>
          </w:tcPr>
          <w:p w14:paraId="185FDE91">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6" w:type="pct"/>
            <w:tcBorders>
              <w:tl2br w:val="nil"/>
              <w:tr2bl w:val="nil"/>
            </w:tcBorders>
            <w:vAlign w:val="center"/>
          </w:tcPr>
          <w:p w14:paraId="6C2227A5">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74" w:type="pct"/>
            <w:tcBorders>
              <w:tl2br w:val="nil"/>
              <w:tr2bl w:val="nil"/>
            </w:tcBorders>
            <w:vAlign w:val="center"/>
          </w:tcPr>
          <w:p w14:paraId="6F693465">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r>
      <w:tr w14:paraId="0F5963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818" w:type="pct"/>
            <w:gridSpan w:val="2"/>
            <w:tcBorders>
              <w:tl2br w:val="nil"/>
              <w:tr2bl w:val="nil"/>
            </w:tcBorders>
            <w:vAlign w:val="center"/>
          </w:tcPr>
          <w:p w14:paraId="356AA2E2">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color w:val="000000" w:themeColor="text1"/>
                <w:w w:val="100"/>
                <w:kern w:val="0"/>
                <w:sz w:val="21"/>
                <w:szCs w:val="21"/>
                <w:highlight w:val="none"/>
                <w:lang w:val="en-US" w:eastAsia="zh-CN"/>
                <w14:textFill>
                  <w14:solidFill>
                    <w14:schemeClr w14:val="tx1"/>
                  </w14:solidFill>
                </w14:textFill>
              </w:rPr>
            </w:pPr>
            <w:r>
              <w:rPr>
                <w:rFonts w:hint="eastAsia" w:eastAsia="宋体" w:cs="Times New Roman"/>
                <w:b w:val="0"/>
                <w:color w:val="000000" w:themeColor="text1"/>
                <w:w w:val="100"/>
                <w:kern w:val="0"/>
                <w:sz w:val="21"/>
                <w:szCs w:val="21"/>
                <w:lang w:val="en-US" w:eastAsia="zh-CN"/>
                <w14:textFill>
                  <w14:solidFill>
                    <w14:schemeClr w14:val="tx1"/>
                  </w14:solidFill>
                </w14:textFill>
              </w:rPr>
              <w:t>闭矿期</w:t>
            </w:r>
          </w:p>
        </w:tc>
        <w:tc>
          <w:tcPr>
            <w:tcW w:w="752" w:type="pct"/>
            <w:tcBorders>
              <w:tl2br w:val="nil"/>
              <w:tr2bl w:val="nil"/>
            </w:tcBorders>
            <w:vAlign w:val="center"/>
          </w:tcPr>
          <w:p w14:paraId="40E8D60E">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609" w:type="pct"/>
            <w:tcBorders>
              <w:tl2br w:val="nil"/>
              <w:tr2bl w:val="nil"/>
            </w:tcBorders>
            <w:vAlign w:val="center"/>
          </w:tcPr>
          <w:p w14:paraId="3EFC3B6F">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606" w:type="pct"/>
            <w:tcBorders>
              <w:tl2br w:val="nil"/>
              <w:tr2bl w:val="nil"/>
            </w:tcBorders>
            <w:vAlign w:val="center"/>
          </w:tcPr>
          <w:p w14:paraId="75066944">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1" w:type="pct"/>
            <w:tcBorders>
              <w:tl2br w:val="nil"/>
              <w:tr2bl w:val="nil"/>
            </w:tcBorders>
            <w:vAlign w:val="center"/>
          </w:tcPr>
          <w:p w14:paraId="7127959A">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5" w:type="pct"/>
            <w:tcBorders>
              <w:tl2br w:val="nil"/>
              <w:tr2bl w:val="nil"/>
            </w:tcBorders>
            <w:vAlign w:val="center"/>
          </w:tcPr>
          <w:p w14:paraId="0061BD4B">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w:t>
            </w:r>
          </w:p>
        </w:tc>
        <w:tc>
          <w:tcPr>
            <w:tcW w:w="432" w:type="pct"/>
            <w:tcBorders>
              <w:tl2br w:val="nil"/>
              <w:tr2bl w:val="nil"/>
            </w:tcBorders>
            <w:vAlign w:val="center"/>
          </w:tcPr>
          <w:p w14:paraId="1D3305C3">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36" w:type="pct"/>
            <w:tcBorders>
              <w:tl2br w:val="nil"/>
              <w:tr2bl w:val="nil"/>
            </w:tcBorders>
            <w:vAlign w:val="center"/>
          </w:tcPr>
          <w:p w14:paraId="7073E444">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c>
          <w:tcPr>
            <w:tcW w:w="474" w:type="pct"/>
            <w:tcBorders>
              <w:tl2br w:val="nil"/>
              <w:tr2bl w:val="nil"/>
            </w:tcBorders>
            <w:vAlign w:val="center"/>
          </w:tcPr>
          <w:p w14:paraId="0BA055D3">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p>
        </w:tc>
      </w:tr>
      <w:tr w14:paraId="17843C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5000" w:type="pct"/>
            <w:gridSpan w:val="10"/>
            <w:tcBorders>
              <w:tl2br w:val="nil"/>
              <w:tr2bl w:val="nil"/>
            </w:tcBorders>
            <w:vAlign w:val="center"/>
          </w:tcPr>
          <w:p w14:paraId="271ECE29">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left"/>
              <w:textAlignment w:val="auto"/>
              <w:outlineLvl w:val="9"/>
              <w:rPr>
                <w:rFonts w:hint="default" w:ascii="Times New Roman" w:hAnsi="Times New Roman" w:eastAsia="宋体" w:cs="Times New Roman"/>
                <w:b w:val="0"/>
                <w:color w:val="000000" w:themeColor="text1"/>
                <w:w w:val="100"/>
                <w:kern w:val="0"/>
                <w:sz w:val="21"/>
                <w:szCs w:val="21"/>
                <w:highlight w:val="none"/>
                <w:lang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注：在可能产生的土壤环境影响类型处打</w:t>
            </w:r>
            <w:r>
              <w:rPr>
                <w:rFonts w:hint="default" w:ascii="Times New Roman" w:hAnsi="Times New Roman" w:cs="Times New Roman"/>
                <w:b w:val="0"/>
                <w:color w:val="000000" w:themeColor="text1"/>
                <w:w w:val="100"/>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w:t>
            </w:r>
            <w:r>
              <w:rPr>
                <w:rFonts w:hint="default" w:ascii="Times New Roman" w:hAnsi="Times New Roman" w:cs="Times New Roman"/>
                <w:b w:val="0"/>
                <w:color w:val="000000" w:themeColor="text1"/>
                <w:w w:val="100"/>
                <w:kern w:val="0"/>
                <w:sz w:val="21"/>
                <w:szCs w:val="21"/>
                <w:highlight w:val="none"/>
                <w:lang w:eastAsia="zh-CN"/>
                <w14:textFill>
                  <w14:solidFill>
                    <w14:schemeClr w14:val="tx1"/>
                  </w14:solidFill>
                </w14:textFill>
              </w:rPr>
              <w:t>”</w:t>
            </w:r>
          </w:p>
        </w:tc>
      </w:tr>
    </w:tbl>
    <w:p w14:paraId="7B81BBF7">
      <w:pPr>
        <w:keepNext w:val="0"/>
        <w:keepLines w:val="0"/>
        <w:pageBreakBefore w:val="0"/>
        <w:widowControl w:val="0"/>
        <w:tabs>
          <w:tab w:val="left" w:pos="1214"/>
        </w:tabs>
        <w:kinsoku/>
        <w:wordWrap/>
        <w:overflowPunct/>
        <w:topLinePunct w:val="0"/>
        <w:autoSpaceDE w:val="0"/>
        <w:autoSpaceDN/>
        <w:bidi w:val="0"/>
        <w:adjustRightInd/>
        <w:snapToGrid/>
        <w:spacing w:line="520" w:lineRule="exact"/>
        <w:ind w:left="0" w:right="0" w:firstLine="0"/>
        <w:jc w:val="center"/>
        <w:textAlignment w:val="auto"/>
        <w:rPr>
          <w:rFonts w:hint="default" w:ascii="Times New Roman" w:hAnsi="Times New Roman" w:eastAsia="宋体" w:cs="Times New Roman"/>
          <w:b/>
          <w:color w:val="000000" w:themeColor="text1"/>
          <w:spacing w:val="0"/>
          <w:sz w:val="24"/>
          <w:highlight w:val="none"/>
          <w14:textFill>
            <w14:solidFill>
              <w14:schemeClr w14:val="tx1"/>
            </w14:solidFill>
          </w14:textFill>
        </w:rPr>
      </w:pPr>
      <w:r>
        <w:rPr>
          <w:rFonts w:hint="default" w:ascii="Times New Roman" w:hAnsi="Times New Roman" w:eastAsia="宋体" w:cs="Times New Roman"/>
          <w:b/>
          <w:color w:val="000000" w:themeColor="text1"/>
          <w:spacing w:val="0"/>
          <w:sz w:val="24"/>
          <w:highlight w:val="none"/>
          <w14:textFill>
            <w14:solidFill>
              <w14:schemeClr w14:val="tx1"/>
            </w14:solidFill>
          </w14:textFill>
        </w:rPr>
        <w:t>表</w:t>
      </w:r>
      <w:r>
        <w:rPr>
          <w:rFonts w:hint="eastAsia" w:cs="Times New Roman"/>
          <w:b/>
          <w:color w:val="000000" w:themeColor="text1"/>
          <w:spacing w:val="0"/>
          <w:sz w:val="24"/>
          <w:highlight w:val="none"/>
          <w:lang w:val="en-US" w:eastAsia="zh-CN"/>
          <w14:textFill>
            <w14:solidFill>
              <w14:schemeClr w14:val="tx1"/>
            </w14:solidFill>
          </w14:textFill>
        </w:rPr>
        <w:t>5.2-20</w:t>
      </w:r>
      <w:r>
        <w:rPr>
          <w:rFonts w:hint="default" w:ascii="Times New Roman" w:hAnsi="Times New Roman" w:eastAsia="宋体" w:cs="Times New Roman"/>
          <w:b/>
          <w:color w:val="000000" w:themeColor="text1"/>
          <w:spacing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sz w:val="24"/>
          <w:highlight w:val="none"/>
          <w14:textFill>
            <w14:solidFill>
              <w14:schemeClr w14:val="tx1"/>
            </w14:solidFill>
          </w14:textFill>
        </w:rPr>
        <w:t>污染影响型建设项目土壤影响源及影响因子识别表</w:t>
      </w:r>
    </w:p>
    <w:tbl>
      <w:tblPr>
        <w:tblStyle w:val="79"/>
        <w:tblW w:w="507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48"/>
        <w:gridCol w:w="1605"/>
        <w:gridCol w:w="2185"/>
        <w:gridCol w:w="2552"/>
        <w:gridCol w:w="968"/>
      </w:tblGrid>
      <w:tr w14:paraId="032AD2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8" w:type="pct"/>
            <w:tcBorders>
              <w:tl2br w:val="nil"/>
              <w:tr2bl w:val="nil"/>
            </w:tcBorders>
            <w:vAlign w:val="center"/>
          </w:tcPr>
          <w:p w14:paraId="4D52274E">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污染源</w:t>
            </w:r>
          </w:p>
        </w:tc>
        <w:tc>
          <w:tcPr>
            <w:tcW w:w="948" w:type="pct"/>
            <w:tcBorders>
              <w:tl2br w:val="nil"/>
              <w:tr2bl w:val="nil"/>
            </w:tcBorders>
            <w:vAlign w:val="center"/>
          </w:tcPr>
          <w:p w14:paraId="45A0448E">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工艺流程/节点</w:t>
            </w:r>
          </w:p>
        </w:tc>
        <w:tc>
          <w:tcPr>
            <w:tcW w:w="1291" w:type="pct"/>
            <w:tcBorders>
              <w:tl2br w:val="nil"/>
              <w:tr2bl w:val="nil"/>
            </w:tcBorders>
            <w:vAlign w:val="center"/>
          </w:tcPr>
          <w:p w14:paraId="01C23F5A">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污染途径</w:t>
            </w:r>
          </w:p>
        </w:tc>
        <w:tc>
          <w:tcPr>
            <w:tcW w:w="1508" w:type="pct"/>
            <w:tcBorders>
              <w:tl2br w:val="nil"/>
              <w:tr2bl w:val="nil"/>
            </w:tcBorders>
            <w:vAlign w:val="center"/>
          </w:tcPr>
          <w:p w14:paraId="71BE92FF">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全部污染物指标</w:t>
            </w:r>
          </w:p>
        </w:tc>
        <w:tc>
          <w:tcPr>
            <w:tcW w:w="572" w:type="pct"/>
            <w:tcBorders>
              <w:tl2br w:val="nil"/>
              <w:tr2bl w:val="nil"/>
            </w:tcBorders>
            <w:vAlign w:val="center"/>
          </w:tcPr>
          <w:p w14:paraId="7008F631">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highlight w:val="none"/>
                <w14:textFill>
                  <w14:solidFill>
                    <w14:schemeClr w14:val="tx1"/>
                  </w14:solidFill>
                </w14:textFill>
              </w:rPr>
              <w:t>特征因子</w:t>
            </w:r>
          </w:p>
        </w:tc>
      </w:tr>
      <w:tr w14:paraId="100D1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8" w:type="pct"/>
            <w:tcBorders>
              <w:tl2br w:val="nil"/>
              <w:tr2bl w:val="nil"/>
            </w:tcBorders>
            <w:vAlign w:val="center"/>
          </w:tcPr>
          <w:p w14:paraId="34B29ABA">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废石</w:t>
            </w:r>
            <w:r>
              <w:rPr>
                <w:rFonts w:hint="eastAsia" w:ascii="Times New Roman" w:hAnsi="Times New Roman" w:eastAsia="宋体" w:cs="Times New Roman"/>
                <w:b w:val="0"/>
                <w:color w:val="000000" w:themeColor="text1"/>
                <w:w w:val="100"/>
                <w:kern w:val="0"/>
                <w:sz w:val="21"/>
                <w:szCs w:val="21"/>
                <w:highlight w:val="none"/>
                <w:lang w:eastAsia="zh-CN"/>
                <w14:textFill>
                  <w14:solidFill>
                    <w14:schemeClr w14:val="tx1"/>
                  </w14:solidFill>
                </w14:textFill>
              </w:rPr>
              <w:t>堆</w:t>
            </w: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场</w:t>
            </w:r>
          </w:p>
        </w:tc>
        <w:tc>
          <w:tcPr>
            <w:tcW w:w="948" w:type="pct"/>
            <w:tcBorders>
              <w:tl2br w:val="nil"/>
              <w:tr2bl w:val="nil"/>
            </w:tcBorders>
            <w:vAlign w:val="center"/>
          </w:tcPr>
          <w:p w14:paraId="1B6C27D0">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废石堆存过程中淋溶液</w:t>
            </w:r>
          </w:p>
        </w:tc>
        <w:tc>
          <w:tcPr>
            <w:tcW w:w="1291" w:type="pct"/>
            <w:tcBorders>
              <w:tl2br w:val="nil"/>
              <w:tr2bl w:val="nil"/>
            </w:tcBorders>
            <w:vAlign w:val="center"/>
          </w:tcPr>
          <w:p w14:paraId="61776F14">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w w:val="100"/>
                <w:kern w:val="0"/>
                <w:sz w:val="21"/>
                <w:szCs w:val="21"/>
                <w:lang w:val="en-US" w:eastAsia="zh-CN"/>
                <w14:textFill>
                  <w14:solidFill>
                    <w14:schemeClr w14:val="tx1"/>
                  </w14:solidFill>
                </w14:textFill>
              </w:rPr>
              <w:t>大气沉降、</w:t>
            </w:r>
            <w:r>
              <w:rPr>
                <w:rFonts w:hint="default" w:ascii="Times New Roman" w:hAnsi="Times New Roman" w:eastAsia="宋体" w:cs="Times New Roman"/>
                <w:b w:val="0"/>
                <w:color w:val="000000" w:themeColor="text1"/>
                <w:w w:val="100"/>
                <w:kern w:val="0"/>
                <w:sz w:val="21"/>
                <w:szCs w:val="21"/>
                <w:lang w:val="en-US" w:eastAsia="zh-CN"/>
                <w14:textFill>
                  <w14:solidFill>
                    <w14:schemeClr w14:val="tx1"/>
                  </w14:solidFill>
                </w14:textFill>
              </w:rPr>
              <w:t>地表漫流</w:t>
            </w:r>
          </w:p>
        </w:tc>
        <w:tc>
          <w:tcPr>
            <w:tcW w:w="1508" w:type="pct"/>
            <w:tcBorders>
              <w:tl2br w:val="nil"/>
              <w:tr2bl w:val="nil"/>
            </w:tcBorders>
            <w:vAlign w:val="center"/>
          </w:tcPr>
          <w:p w14:paraId="067E186B">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highlight w:val="none"/>
                <w:lang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highlight w:val="none"/>
                <w14:textFill>
                  <w14:solidFill>
                    <w14:schemeClr w14:val="tx1"/>
                  </w14:solidFill>
                </w14:textFill>
              </w:rPr>
              <w:t>砷、镉、铬（六价）、铜、铅、汞、镍、锌、</w:t>
            </w:r>
            <w:r>
              <w:rPr>
                <w:rFonts w:hint="default" w:ascii="Times New Roman" w:hAnsi="Times New Roman" w:eastAsia="宋体" w:cs="Times New Roman"/>
                <w:b w:val="0"/>
                <w:color w:val="000000" w:themeColor="text1"/>
                <w:w w:val="100"/>
                <w:kern w:val="0"/>
                <w:sz w:val="21"/>
                <w:szCs w:val="21"/>
                <w:highlight w:val="none"/>
                <w:lang w:eastAsia="zh-CN"/>
                <w14:textFill>
                  <w14:solidFill>
                    <w14:schemeClr w14:val="tx1"/>
                  </w14:solidFill>
                </w14:textFill>
              </w:rPr>
              <w:t>pH</w:t>
            </w:r>
          </w:p>
        </w:tc>
        <w:tc>
          <w:tcPr>
            <w:tcW w:w="572" w:type="pct"/>
            <w:tcBorders>
              <w:tl2br w:val="nil"/>
              <w:tr2bl w:val="nil"/>
            </w:tcBorders>
            <w:vAlign w:val="center"/>
          </w:tcPr>
          <w:p w14:paraId="2B1963FF">
            <w:pPr>
              <w:pStyle w:val="679"/>
              <w:keepNext w:val="0"/>
              <w:keepLines w:val="0"/>
              <w:pageBreakBefore w:val="0"/>
              <w:widowControl w:val="0"/>
              <w:suppressLineNumbers w:val="0"/>
              <w:kinsoku/>
              <w:wordWrap/>
              <w:overflowPunct/>
              <w:topLinePunct w:val="0"/>
              <w:autoSpaceDE w:val="0"/>
              <w:autoSpaceDN/>
              <w:bidi w:val="0"/>
              <w:adjustRightInd/>
              <w:snapToGrid/>
              <w:spacing w:before="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color w:val="000000" w:themeColor="text1"/>
                <w:w w:val="100"/>
                <w:kern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w w:val="100"/>
                <w:kern w:val="0"/>
                <w:sz w:val="21"/>
                <w:szCs w:val="21"/>
                <w:highlight w:val="none"/>
                <w:lang w:val="en-US" w:eastAsia="zh-CN"/>
                <w14:textFill>
                  <w14:solidFill>
                    <w14:schemeClr w14:val="tx1"/>
                  </w14:solidFill>
                </w14:textFill>
              </w:rPr>
              <w:t>砷</w:t>
            </w:r>
          </w:p>
        </w:tc>
      </w:tr>
    </w:tbl>
    <w:p w14:paraId="193FA562">
      <w:pPr>
        <w:keepNext w:val="0"/>
        <w:keepLines w:val="0"/>
        <w:pageBreakBefore w:val="0"/>
        <w:widowControl w:val="0"/>
        <w:tabs>
          <w:tab w:val="left" w:pos="1214"/>
        </w:tabs>
        <w:kinsoku/>
        <w:wordWrap/>
        <w:overflowPunct/>
        <w:topLinePunct w:val="0"/>
        <w:autoSpaceDE/>
        <w:autoSpaceDN/>
        <w:bidi w:val="0"/>
        <w:adjustRightInd/>
        <w:snapToGrid/>
        <w:spacing w:line="520" w:lineRule="exact"/>
        <w:ind w:left="0" w:right="0" w:firstLine="0"/>
        <w:jc w:val="center"/>
        <w:textAlignment w:val="auto"/>
        <w:rPr>
          <w:rFonts w:hint="default" w:ascii="Times New Roman" w:hAnsi="Times New Roman" w:eastAsia="宋体" w:cs="Times New Roman"/>
          <w:b/>
          <w:color w:val="000000" w:themeColor="text1"/>
          <w:spacing w:val="0"/>
          <w:sz w:val="24"/>
          <w14:textFill>
            <w14:solidFill>
              <w14:schemeClr w14:val="tx1"/>
            </w14:solidFill>
          </w14:textFill>
        </w:rPr>
      </w:pPr>
      <w:r>
        <w:rPr>
          <w:rFonts w:hint="default" w:ascii="Times New Roman" w:hAnsi="Times New Roman" w:eastAsia="宋体" w:cs="Times New Roman"/>
          <w:b/>
          <w:color w:val="000000" w:themeColor="text1"/>
          <w:spacing w:val="0"/>
          <w:sz w:val="24"/>
          <w14:textFill>
            <w14:solidFill>
              <w14:schemeClr w14:val="tx1"/>
            </w14:solidFill>
          </w14:textFill>
        </w:rPr>
        <w:t>表5.2-</w:t>
      </w:r>
      <w:r>
        <w:rPr>
          <w:rFonts w:hint="eastAsia" w:cs="Times New Roman"/>
          <w:b/>
          <w:color w:val="000000" w:themeColor="text1"/>
          <w:spacing w:val="0"/>
          <w:sz w:val="24"/>
          <w:lang w:val="en-US" w:eastAsia="zh-CN"/>
          <w14:textFill>
            <w14:solidFill>
              <w14:schemeClr w14:val="tx1"/>
            </w14:solidFill>
          </w14:textFill>
        </w:rPr>
        <w:t>21</w:t>
      </w:r>
      <w:r>
        <w:rPr>
          <w:rFonts w:hint="default" w:ascii="Times New Roman" w:hAnsi="Times New Roman" w:eastAsia="宋体" w:cs="Times New Roman"/>
          <w:b/>
          <w:color w:val="000000" w:themeColor="text1"/>
          <w:spacing w:val="0"/>
          <w:sz w:val="24"/>
          <w14:textFill>
            <w14:solidFill>
              <w14:schemeClr w14:val="tx1"/>
            </w14:solidFill>
          </w14:textFill>
        </w:rPr>
        <w:t xml:space="preserve"> </w:t>
      </w:r>
      <w:r>
        <w:rPr>
          <w:rFonts w:hint="default" w:ascii="Times New Roman" w:hAnsi="Times New Roman" w:eastAsia="宋体" w:cs="Times New Roman"/>
          <w:b/>
          <w:color w:val="000000" w:themeColor="text1"/>
          <w:spacing w:val="0"/>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sz w:val="24"/>
          <w14:textFill>
            <w14:solidFill>
              <w14:schemeClr w14:val="tx1"/>
            </w14:solidFill>
          </w14:textFill>
        </w:rPr>
        <w:t>生态影响型建设项目土壤环境影响途径识别表</w:t>
      </w:r>
    </w:p>
    <w:tbl>
      <w:tblPr>
        <w:tblStyle w:val="79"/>
        <w:tblW w:w="5064"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249"/>
        <w:gridCol w:w="2333"/>
        <w:gridCol w:w="2414"/>
        <w:gridCol w:w="2447"/>
      </w:tblGrid>
      <w:tr w14:paraId="62C1D2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jc w:val="center"/>
        </w:trPr>
        <w:tc>
          <w:tcPr>
            <w:tcW w:w="739" w:type="pct"/>
            <w:tcBorders>
              <w:bottom w:val="single" w:color="000000" w:sz="4" w:space="0"/>
              <w:right w:val="single" w:color="000000" w:sz="4" w:space="0"/>
            </w:tcBorders>
            <w:noWrap w:val="0"/>
            <w:vAlign w:val="center"/>
          </w:tcPr>
          <w:p w14:paraId="1E890492">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影响结果</w:t>
            </w:r>
          </w:p>
        </w:tc>
        <w:tc>
          <w:tcPr>
            <w:tcW w:w="1381" w:type="pct"/>
            <w:tcBorders>
              <w:left w:val="single" w:color="000000" w:sz="4" w:space="0"/>
              <w:bottom w:val="single" w:color="000000" w:sz="4" w:space="0"/>
              <w:right w:val="single" w:color="000000" w:sz="4" w:space="0"/>
            </w:tcBorders>
            <w:noWrap w:val="0"/>
            <w:vAlign w:val="center"/>
          </w:tcPr>
          <w:p w14:paraId="02B2D990">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影响途径</w:t>
            </w:r>
          </w:p>
        </w:tc>
        <w:tc>
          <w:tcPr>
            <w:tcW w:w="1429" w:type="pct"/>
            <w:tcBorders>
              <w:left w:val="single" w:color="000000" w:sz="4" w:space="0"/>
              <w:bottom w:val="single" w:color="000000" w:sz="4" w:space="0"/>
              <w:right w:val="single" w:color="000000" w:sz="4" w:space="0"/>
            </w:tcBorders>
            <w:noWrap w:val="0"/>
            <w:vAlign w:val="center"/>
          </w:tcPr>
          <w:p w14:paraId="7BAD3BEE">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具体指标</w:t>
            </w:r>
          </w:p>
        </w:tc>
        <w:tc>
          <w:tcPr>
            <w:tcW w:w="1448" w:type="pct"/>
            <w:tcBorders>
              <w:left w:val="single" w:color="000000" w:sz="4" w:space="0"/>
              <w:bottom w:val="single" w:color="000000" w:sz="4" w:space="0"/>
            </w:tcBorders>
            <w:noWrap w:val="0"/>
            <w:vAlign w:val="center"/>
          </w:tcPr>
          <w:p w14:paraId="7D318EE9">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szCs w:val="21"/>
                <w14:textFill>
                  <w14:solidFill>
                    <w14:schemeClr w14:val="tx1"/>
                  </w14:solidFill>
                </w14:textFill>
              </w:rPr>
            </w:pPr>
            <w:r>
              <w:rPr>
                <w:rFonts w:hint="default" w:ascii="Times New Roman" w:hAnsi="Times New Roman" w:eastAsia="宋体" w:cs="Times New Roman"/>
                <w:b/>
                <w:bCs/>
                <w:color w:val="000000" w:themeColor="text1"/>
                <w:w w:val="100"/>
                <w:kern w:val="0"/>
                <w:sz w:val="21"/>
                <w:szCs w:val="21"/>
                <w14:textFill>
                  <w14:solidFill>
                    <w14:schemeClr w14:val="tx1"/>
                  </w14:solidFill>
                </w14:textFill>
              </w:rPr>
              <w:t>土壤环境敏感目标</w:t>
            </w:r>
          </w:p>
        </w:tc>
      </w:tr>
      <w:tr w14:paraId="598FE7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jc w:val="center"/>
        </w:trPr>
        <w:tc>
          <w:tcPr>
            <w:tcW w:w="739" w:type="pct"/>
            <w:tcBorders>
              <w:top w:val="single" w:color="000000" w:sz="4" w:space="0"/>
              <w:right w:val="single" w:color="000000" w:sz="4" w:space="0"/>
            </w:tcBorders>
            <w:noWrap w:val="0"/>
            <w:vAlign w:val="center"/>
          </w:tcPr>
          <w:p w14:paraId="69C4155B">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14:textFill>
                  <w14:solidFill>
                    <w14:schemeClr w14:val="tx1"/>
                  </w14:solidFill>
                </w14:textFill>
              </w:rPr>
              <w:t>其他</w:t>
            </w:r>
          </w:p>
        </w:tc>
        <w:tc>
          <w:tcPr>
            <w:tcW w:w="1381" w:type="pct"/>
            <w:tcBorders>
              <w:top w:val="single" w:color="000000" w:sz="4" w:space="0"/>
              <w:left w:val="single" w:color="000000" w:sz="4" w:space="0"/>
              <w:right w:val="single" w:color="000000" w:sz="4" w:space="0"/>
            </w:tcBorders>
            <w:noWrap w:val="0"/>
            <w:vAlign w:val="center"/>
          </w:tcPr>
          <w:p w14:paraId="410CD74E">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14:textFill>
                  <w14:solidFill>
                    <w14:schemeClr w14:val="tx1"/>
                  </w14:solidFill>
                </w14:textFill>
              </w:rPr>
              <w:t>水位变化</w:t>
            </w:r>
          </w:p>
        </w:tc>
        <w:tc>
          <w:tcPr>
            <w:tcW w:w="1429" w:type="pct"/>
            <w:tcBorders>
              <w:top w:val="single" w:color="000000" w:sz="4" w:space="0"/>
              <w:left w:val="single" w:color="000000" w:sz="4" w:space="0"/>
              <w:right w:val="single" w:color="000000" w:sz="4" w:space="0"/>
            </w:tcBorders>
            <w:noWrap w:val="0"/>
            <w:vAlign w:val="center"/>
          </w:tcPr>
          <w:p w14:paraId="1AC15E7D">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14:textFill>
                  <w14:solidFill>
                    <w14:schemeClr w14:val="tx1"/>
                  </w14:solidFill>
                </w14:textFill>
              </w:rPr>
            </w:pPr>
            <w:r>
              <w:rPr>
                <w:rFonts w:hint="default" w:ascii="Times New Roman" w:hAnsi="Times New Roman" w:eastAsia="宋体" w:cs="Times New Roman"/>
                <w:b w:val="0"/>
                <w:color w:val="000000" w:themeColor="text1"/>
                <w:w w:val="100"/>
                <w:kern w:val="0"/>
                <w:sz w:val="21"/>
                <w:szCs w:val="21"/>
                <w14:textFill>
                  <w14:solidFill>
                    <w14:schemeClr w14:val="tx1"/>
                  </w14:solidFill>
                </w14:textFill>
              </w:rPr>
              <w:t>土壤盐化</w:t>
            </w:r>
          </w:p>
        </w:tc>
        <w:tc>
          <w:tcPr>
            <w:tcW w:w="1448" w:type="pct"/>
            <w:tcBorders>
              <w:top w:val="single" w:color="000000" w:sz="4" w:space="0"/>
              <w:left w:val="single" w:color="000000" w:sz="4" w:space="0"/>
            </w:tcBorders>
            <w:noWrap w:val="0"/>
            <w:vAlign w:val="center"/>
          </w:tcPr>
          <w:p w14:paraId="35688F76">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szCs w:val="21"/>
                <w:lang w:val="en-US" w:eastAsia="zh-CN"/>
                <w14:textFill>
                  <w14:solidFill>
                    <w14:schemeClr w14:val="tx1"/>
                  </w14:solidFill>
                </w14:textFill>
              </w:rPr>
            </w:pPr>
            <w:r>
              <w:rPr>
                <w:rFonts w:hint="eastAsia" w:ascii="Times New Roman" w:hAnsi="Times New Roman" w:eastAsia="宋体" w:cs="Times New Roman"/>
                <w:b w:val="0"/>
                <w:color w:val="000000" w:themeColor="text1"/>
                <w:w w:val="100"/>
                <w:kern w:val="0"/>
                <w:sz w:val="21"/>
                <w:szCs w:val="21"/>
                <w:lang w:val="en-US" w:eastAsia="zh-CN"/>
                <w14:textFill>
                  <w14:solidFill>
                    <w14:schemeClr w14:val="tx1"/>
                  </w14:solidFill>
                </w14:textFill>
              </w:rPr>
              <w:t>采矿区土壤</w:t>
            </w:r>
          </w:p>
        </w:tc>
      </w:tr>
    </w:tbl>
    <w:p w14:paraId="624DCFD3">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w:t>
      </w:r>
      <w:r>
        <w:rPr>
          <w:rFonts w:hint="eastAsia" w:ascii="Times New Roman" w:hAnsi="Times New Roman" w:cs="Times New Roman"/>
          <w:b/>
          <w:bCs w:val="0"/>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.2预测评价范围、时段和预测情景设置</w:t>
      </w:r>
    </w:p>
    <w:p w14:paraId="68E4A95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442" w:name="_Toc29997"/>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项目的预测评价范围与调查评价范围一致，生态影响型评价时段为运营期和服务期满后；污染影响型评价时段为运营期。按项目正常运营和事故状态两种情形为预测情景。重点考虑废石中重金属等物质通过</w:t>
      </w:r>
      <w:r>
        <w:rPr>
          <w:rFonts w:hint="eastAsia" w:cs="Times New Roman"/>
          <w:color w:val="000000" w:themeColor="text1"/>
          <w:sz w:val="24"/>
          <w:szCs w:val="24"/>
          <w:lang w:val="en-US" w:eastAsia="zh-CN"/>
          <w14:textFill>
            <w14:solidFill>
              <w14:schemeClr w14:val="tx1"/>
            </w14:solidFill>
          </w14:textFill>
        </w:rPr>
        <w:t>大气沉降、地表漫流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w:t>
      </w:r>
      <w:r>
        <w:rPr>
          <w:rFonts w:hint="eastAsia" w:cs="Times New Roman"/>
          <w:color w:val="000000" w:themeColor="text1"/>
          <w:sz w:val="24"/>
          <w:szCs w:val="24"/>
          <w:lang w:val="en-US" w:eastAsia="zh-CN"/>
          <w14:textFill>
            <w14:solidFill>
              <w14:schemeClr w14:val="tx1"/>
            </w14:solidFill>
          </w14:textFill>
        </w:rPr>
        <w:t>污染途径对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周边土壤</w:t>
      </w:r>
      <w:r>
        <w:rPr>
          <w:rFonts w:hint="eastAsia" w:cs="Times New Roman"/>
          <w:color w:val="000000" w:themeColor="text1"/>
          <w:sz w:val="24"/>
          <w:szCs w:val="24"/>
          <w:lang w:val="en-US" w:eastAsia="zh-CN"/>
          <w14:textFill>
            <w14:solidFill>
              <w14:schemeClr w14:val="tx1"/>
            </w14:solidFill>
          </w14:textFill>
        </w:rPr>
        <w:t>环境的污染影响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DEF48DE">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bookmarkStart w:id="443" w:name="5.2.5.3预测评价因子"/>
      <w:bookmarkEnd w:id="443"/>
      <w:bookmarkStart w:id="444" w:name="5.2.5.3预测评价因子"/>
      <w:bookmarkEnd w:id="444"/>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w:t>
      </w:r>
      <w:r>
        <w:rPr>
          <w:rFonts w:hint="eastAsia" w:ascii="Times New Roman" w:hAnsi="Times New Roman" w:cs="Times New Roman"/>
          <w:b/>
          <w:bCs w:val="0"/>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kern w:val="0"/>
          <w:sz w:val="24"/>
          <w:szCs w:val="24"/>
          <w:highlight w:val="none"/>
          <w:lang w:val="en-US" w:eastAsia="zh-CN"/>
          <w14:textFill>
            <w14:solidFill>
              <w14:schemeClr w14:val="tx1"/>
            </w14:solidFill>
          </w14:textFill>
        </w:rPr>
        <w:t>3预测评价因子</w:t>
      </w:r>
    </w:p>
    <w:p w14:paraId="043C8B7F">
      <w:pPr>
        <w:pStyle w:val="29"/>
        <w:keepNext w:val="0"/>
        <w:keepLines w:val="0"/>
        <w:pageBreakBefore w:val="0"/>
        <w:widowControl w:val="0"/>
        <w:kinsoku/>
        <w:wordWrap/>
        <w:overflowPunct w:val="0"/>
        <w:topLinePunct/>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生态影响型预测因子：全盐量。</w:t>
      </w:r>
    </w:p>
    <w:p w14:paraId="47AE41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污染影响型</w:t>
      </w:r>
      <w:r>
        <w:rPr>
          <w:rFonts w:hint="default" w:ascii="Times New Roman" w:hAnsi="Times New Roman" w:cs="Times New Roman"/>
          <w:color w:val="000000" w:themeColor="text1"/>
          <w:sz w:val="24"/>
          <w:szCs w:val="24"/>
          <w:highlight w:val="none"/>
          <w:lang w:eastAsia="zh-CN"/>
          <w14:textFill>
            <w14:solidFill>
              <w14:schemeClr w14:val="tx1"/>
            </w14:solidFill>
          </w14:textFill>
        </w:rPr>
        <w:t>预测因子：</w:t>
      </w:r>
      <w:r>
        <w:rPr>
          <w:rFonts w:hint="eastAsia" w:cs="Times New Roman"/>
          <w:color w:val="000000" w:themeColor="text1"/>
          <w:sz w:val="24"/>
          <w:szCs w:val="24"/>
          <w:lang w:val="en-US" w:eastAsia="zh-CN"/>
          <w14:textFill>
            <w14:solidFill>
              <w14:schemeClr w14:val="tx1"/>
            </w14:solidFill>
          </w14:textFill>
        </w:rPr>
        <w:t>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0710198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污染影响型</w:t>
      </w:r>
      <w:r>
        <w:rPr>
          <w:rFonts w:hint="default" w:ascii="Times New Roman" w:hAnsi="Times New Roman" w:cs="Times New Roman"/>
          <w:color w:val="000000" w:themeColor="text1"/>
          <w:sz w:val="24"/>
          <w:szCs w:val="24"/>
          <w:highlight w:val="none"/>
          <w:lang w:eastAsia="zh-CN"/>
          <w14:textFill>
            <w14:solidFill>
              <w14:schemeClr w14:val="tx1"/>
            </w14:solidFill>
          </w14:textFill>
        </w:rPr>
        <w:t>预测因子</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确定过程：根据《环境影响评价技术导则 土壤环境（试行）》，根据环境影响识别出的特征因子选取关键预测因子。根据固废浸出毒性检测报告，对比</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《危险废物鉴别标准-浸出毒性鉴别》（GB5085.3-2007）中的标准</w:t>
      </w:r>
      <w:r>
        <w:rPr>
          <w:rFonts w:hint="eastAsia" w:ascii="Times New Roman" w:hAnsi="Times New Roman" w:eastAsia="宋体" w:cs="Times New Roman"/>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《污水综合排放标准》（GB8978-1996）中最高允许排放浓度</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限值，二者的</w:t>
      </w:r>
      <w:r>
        <w:rPr>
          <w:rFonts w:hint="eastAsia" w:cs="Times New Roman"/>
          <w:color w:val="000000" w:themeColor="text1"/>
          <w:sz w:val="24"/>
          <w:szCs w:val="24"/>
          <w:lang w:val="en-US" w:eastAsia="zh-CN"/>
          <w14:textFill>
            <w14:solidFill>
              <w14:schemeClr w14:val="tx1"/>
            </w14:solidFill>
          </w14:textFill>
        </w:rPr>
        <w:t>砷</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的标准指数高，且</w:t>
      </w:r>
      <w:r>
        <w:rPr>
          <w:rFonts w:hint="eastAsia" w:cs="Times New Roman"/>
          <w:color w:val="000000" w:themeColor="text1"/>
          <w:sz w:val="24"/>
          <w:szCs w:val="24"/>
          <w:lang w:val="en-US" w:eastAsia="zh-CN"/>
          <w14:textFill>
            <w14:solidFill>
              <w14:schemeClr w14:val="tx1"/>
            </w14:solidFill>
          </w14:textFill>
        </w:rPr>
        <w:t>砷</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对土壤环境危害大，因此将</w:t>
      </w:r>
      <w:r>
        <w:rPr>
          <w:rFonts w:hint="eastAsia" w:cs="Times New Roman"/>
          <w:color w:val="000000" w:themeColor="text1"/>
          <w:sz w:val="24"/>
          <w:szCs w:val="24"/>
          <w:lang w:val="en-US" w:eastAsia="zh-CN"/>
          <w14:textFill>
            <w14:solidFill>
              <w14:schemeClr w14:val="tx1"/>
            </w14:solidFill>
          </w14:textFill>
        </w:rPr>
        <w:t>砷</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确定为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关键预测因子。</w:t>
      </w:r>
    </w:p>
    <w:p w14:paraId="07264977">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5.2.6</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4污染影响型</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预测评价方法及结果分析</w:t>
      </w:r>
    </w:p>
    <w:p w14:paraId="30F2503C">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地面漫流土壤污染影响分析</w:t>
      </w:r>
    </w:p>
    <w:p w14:paraId="3143525F">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本项目地表漫流对土壤的影响主要为</w:t>
      </w:r>
      <w:r>
        <w:rPr>
          <w:rFonts w:hint="eastAsia" w:cs="Times New Roman"/>
          <w:color w:val="000000" w:themeColor="text1"/>
          <w:sz w:val="24"/>
          <w:szCs w:val="24"/>
          <w:highlight w:val="none"/>
          <w:lang w:val="en-US" w:eastAsia="zh-CN"/>
          <w14:textFill>
            <w14:solidFill>
              <w14:schemeClr w14:val="tx1"/>
            </w14:solidFill>
          </w14:textFill>
        </w:rPr>
        <w:t>废石堆场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淋溶水地表漫流。</w:t>
      </w:r>
    </w:p>
    <w:p w14:paraId="3FEA54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根据土壤环境质量现状监测结果，矿区范围内土壤</w:t>
      </w:r>
      <w:r>
        <w:rPr>
          <w:rFonts w:hint="eastAsia" w:cs="Times New Roman"/>
          <w:color w:val="000000" w:themeColor="text1"/>
          <w:sz w:val="24"/>
          <w:szCs w:val="24"/>
          <w:highlight w:val="none"/>
          <w:lang w:val="en-US" w:eastAsia="zh-CN"/>
          <w14:textFill>
            <w14:solidFill>
              <w14:schemeClr w14:val="tx1"/>
            </w14:solidFill>
          </w14:textFill>
        </w:rPr>
        <w:t>砷含量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本底值</w:t>
      </w:r>
      <w:r>
        <w:rPr>
          <w:rFonts w:hint="eastAsia" w:cs="Times New Roman"/>
          <w:color w:val="000000" w:themeColor="text1"/>
          <w:sz w:val="24"/>
          <w:szCs w:val="24"/>
          <w:highlight w:val="none"/>
          <w:lang w:val="en-US" w:eastAsia="zh-CN"/>
          <w14:textFill>
            <w14:solidFill>
              <w14:schemeClr w14:val="tx1"/>
            </w14:solidFill>
          </w14:textFill>
        </w:rPr>
        <w:t>为5.47~17.7mg/kg，废石中的砷含量远</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低于区域本底值，因此废石地表漫流不会对土壤造成</w:t>
      </w:r>
      <w:r>
        <w:rPr>
          <w:rFonts w:hint="eastAsia" w:cs="Times New Roman"/>
          <w:color w:val="000000" w:themeColor="text1"/>
          <w:sz w:val="24"/>
          <w:szCs w:val="24"/>
          <w:highlight w:val="none"/>
          <w:lang w:val="en-US" w:eastAsia="zh-CN"/>
          <w14:textFill>
            <w14:solidFill>
              <w14:schemeClr w14:val="tx1"/>
            </w14:solidFill>
          </w14:textFill>
        </w:rPr>
        <w:t>砷</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污染。</w:t>
      </w:r>
    </w:p>
    <w:p w14:paraId="659E3E0D">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大气沉降预测评价</w:t>
      </w:r>
    </w:p>
    <w:p w14:paraId="4316E587">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本次评价选取《环境影响评价技术导则 土壤环境（试行）》（HJ964-2018）中附录E推荐土壤环境影响预测方法一，该方法适用于某种物质可概化为以面源形式进入土壤环境的影响预测，包括大气沉降物质进入土壤环境引起的影响，较为符合本项目可能发生的土壤污染途径分析结果。具体方法如下：</w:t>
      </w:r>
    </w:p>
    <w:p w14:paraId="330000A1">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①单位质量土壤中某种物质的增量可用下式计算：</w:t>
      </w:r>
    </w:p>
    <w:p w14:paraId="66829DA3">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△S=n（Is-Ls-Rs）/（ρb×A×D）</w:t>
      </w:r>
    </w:p>
    <w:p w14:paraId="62F86D7B">
      <w:pPr>
        <w:pStyle w:val="29"/>
        <w:keepNext w:val="0"/>
        <w:keepLines w:val="0"/>
        <w:pageBreakBefore w:val="0"/>
        <w:widowControl w:val="0"/>
        <w:kinsoku/>
        <w:wordWrap/>
        <w:overflowPunct w:val="0"/>
        <w:topLinePunct/>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式中：△S——单位质量表层土壤中某种物质的增量，g/kg；</w:t>
      </w:r>
    </w:p>
    <w:p w14:paraId="286682B1">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Is——预测评价范围内单位年份表层土壤中某种物质的输入量，g；</w:t>
      </w:r>
    </w:p>
    <w:p w14:paraId="2544282B">
      <w:pPr>
        <w:pStyle w:val="29"/>
        <w:keepNext w:val="0"/>
        <w:keepLines w:val="0"/>
        <w:pageBreakBefore w:val="0"/>
        <w:widowControl w:val="0"/>
        <w:kinsoku/>
        <w:wordWrap/>
        <w:overflowPunct/>
        <w:topLinePunct w:val="0"/>
        <w:autoSpaceDE/>
        <w:autoSpaceDN/>
        <w:bidi w:val="0"/>
        <w:adjustRightInd/>
        <w:snapToGrid/>
        <w:spacing w:after="0" w:line="480" w:lineRule="exact"/>
        <w:ind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Ls——预测评价范围内单位年份土壤中某种物质经淋溶排出的量，g；</w:t>
      </w:r>
    </w:p>
    <w:p w14:paraId="1550D350">
      <w:pPr>
        <w:pStyle w:val="29"/>
        <w:keepNext w:val="0"/>
        <w:keepLines w:val="0"/>
        <w:pageBreakBefore w:val="0"/>
        <w:widowControl w:val="0"/>
        <w:kinsoku/>
        <w:wordWrap/>
        <w:overflowPunct/>
        <w:topLinePunct w:val="0"/>
        <w:autoSpaceDE/>
        <w:autoSpaceDN/>
        <w:bidi w:val="0"/>
        <w:adjustRightInd/>
        <w:snapToGrid/>
        <w:spacing w:after="0" w:line="480" w:lineRule="exact"/>
        <w:ind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Rs——预测评价范围内单位年份表层土壤中某种物质经径流排出的量，g；</w:t>
      </w:r>
    </w:p>
    <w:p w14:paraId="530E6336">
      <w:pPr>
        <w:pStyle w:val="29"/>
        <w:keepNext w:val="0"/>
        <w:keepLines w:val="0"/>
        <w:pageBreakBefore w:val="0"/>
        <w:widowControl w:val="0"/>
        <w:kinsoku/>
        <w:wordWrap/>
        <w:overflowPunct/>
        <w:topLinePunct w:val="0"/>
        <w:autoSpaceDE/>
        <w:autoSpaceDN/>
        <w:bidi w:val="0"/>
        <w:adjustRightInd/>
        <w:snapToGrid/>
        <w:spacing w:after="0" w:line="480" w:lineRule="exact"/>
        <w:ind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ρ</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b</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——表层土壤容重，kg/m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0B5AA7B8">
      <w:pPr>
        <w:pStyle w:val="29"/>
        <w:keepNext w:val="0"/>
        <w:keepLines w:val="0"/>
        <w:pageBreakBefore w:val="0"/>
        <w:widowControl w:val="0"/>
        <w:kinsoku/>
        <w:wordWrap/>
        <w:overflowPunct/>
        <w:topLinePunct w:val="0"/>
        <w:autoSpaceDE/>
        <w:autoSpaceDN/>
        <w:bidi w:val="0"/>
        <w:adjustRightInd/>
        <w:snapToGrid/>
        <w:spacing w:after="0" w:line="480" w:lineRule="exact"/>
        <w:ind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A——预测评价范围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01939CA5">
      <w:pPr>
        <w:pStyle w:val="29"/>
        <w:keepNext w:val="0"/>
        <w:keepLines w:val="0"/>
        <w:pageBreakBefore w:val="0"/>
        <w:widowControl w:val="0"/>
        <w:kinsoku/>
        <w:wordWrap/>
        <w:overflowPunct/>
        <w:topLinePunct w:val="0"/>
        <w:autoSpaceDE/>
        <w:autoSpaceDN/>
        <w:bidi w:val="0"/>
        <w:adjustRightInd/>
        <w:snapToGrid/>
        <w:spacing w:after="0" w:line="480" w:lineRule="exact"/>
        <w:ind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D——表层土壤深度，一般取0.2m，可根据实际情况适当调整；</w:t>
      </w:r>
    </w:p>
    <w:p w14:paraId="49C640A3">
      <w:pPr>
        <w:pStyle w:val="29"/>
        <w:keepNext w:val="0"/>
        <w:keepLines w:val="0"/>
        <w:pageBreakBefore w:val="0"/>
        <w:widowControl w:val="0"/>
        <w:kinsoku/>
        <w:wordWrap/>
        <w:overflowPunct/>
        <w:topLinePunct w:val="0"/>
        <w:autoSpaceDE/>
        <w:autoSpaceDN/>
        <w:bidi w:val="0"/>
        <w:adjustRightInd/>
        <w:snapToGrid/>
        <w:spacing w:after="0" w:line="480" w:lineRule="exact"/>
        <w:ind w:right="0" w:rightChars="0"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——持续年份，a。</w:t>
      </w:r>
    </w:p>
    <w:p w14:paraId="3F6ED8F0">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②单位质量土壤中某种物质的预测值可根据其增量叠加现状值进行计算，如式：</w:t>
      </w:r>
    </w:p>
    <w:p w14:paraId="6E1F5D96">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S=S</w:t>
      </w:r>
      <w:r>
        <w:rPr>
          <w:rFonts w:hint="eastAsia" w:ascii="Times New Roman" w:hAnsi="Times New Roman" w:cs="Times New Roman"/>
          <w:color w:val="000000" w:themeColor="text1"/>
          <w:sz w:val="24"/>
          <w:szCs w:val="24"/>
          <w:highlight w:val="none"/>
          <w:vertAlign w:val="subscript"/>
          <w:lang w:val="en-US" w:eastAsia="zh-CN"/>
          <w14:textFill>
            <w14:solidFill>
              <w14:schemeClr w14:val="tx1"/>
            </w14:solidFill>
          </w14:textFill>
        </w:rPr>
        <w:t>b</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w:t>
      </w:r>
    </w:p>
    <w:p w14:paraId="5AC81A77">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式中：S</w:t>
      </w:r>
      <w:r>
        <w:rPr>
          <w:rFonts w:hint="eastAsia" w:ascii="Times New Roman" w:hAnsi="Times New Roman" w:cs="Times New Roman"/>
          <w:color w:val="000000" w:themeColor="text1"/>
          <w:sz w:val="24"/>
          <w:szCs w:val="24"/>
          <w:highlight w:val="none"/>
          <w:vertAlign w:val="subscript"/>
          <w:lang w:val="en-US" w:eastAsia="zh-CN"/>
          <w14:textFill>
            <w14:solidFill>
              <w14:schemeClr w14:val="tx1"/>
            </w14:solidFill>
          </w14:textFill>
        </w:rPr>
        <w:t>b</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——单位质量土壤中某种物质的现状值，g/kg；</w:t>
      </w:r>
    </w:p>
    <w:p w14:paraId="63F59AEA">
      <w:pPr>
        <w:pStyle w:val="29"/>
        <w:keepNext w:val="0"/>
        <w:keepLines w:val="0"/>
        <w:pageBreakBefore w:val="0"/>
        <w:widowControl w:val="0"/>
        <w:kinsoku/>
        <w:wordWrap/>
        <w:overflowPunct/>
        <w:topLinePunct w:val="0"/>
        <w:autoSpaceDE/>
        <w:autoSpaceDN/>
        <w:bidi w:val="0"/>
        <w:adjustRightInd/>
        <w:snapToGrid/>
        <w:spacing w:after="0" w:line="480" w:lineRule="exact"/>
        <w:ind w:right="0" w:rightChars="0" w:firstLine="480" w:firstLineChars="200"/>
        <w:jc w:val="both"/>
        <w:textAlignment w:val="auto"/>
        <w:outlineLvl w:val="9"/>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S——单位质量土壤中某种物质的预测值，g/kg。</w:t>
      </w:r>
    </w:p>
    <w:p w14:paraId="3B2F13EF">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③模型参数</w:t>
      </w:r>
    </w:p>
    <w:p w14:paraId="4216CD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模型参数选取见表5.2-</w:t>
      </w:r>
      <w:r>
        <w:rPr>
          <w:rFonts w:hint="eastAsia" w:cs="Times New Roman"/>
          <w:color w:val="000000" w:themeColor="text1"/>
          <w:sz w:val="24"/>
          <w:szCs w:val="24"/>
          <w:highlight w:val="none"/>
          <w:lang w:val="en-US" w:eastAsia="zh-CN"/>
          <w14:textFill>
            <w14:solidFill>
              <w14:schemeClr w14:val="tx1"/>
            </w14:solidFill>
          </w14:textFill>
        </w:rPr>
        <w:t>22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23DB90B0">
      <w:pPr>
        <w:keepNext w:val="0"/>
        <w:keepLines w:val="0"/>
        <w:pageBreakBefore w:val="0"/>
        <w:widowControl w:val="0"/>
        <w:tabs>
          <w:tab w:val="left" w:pos="1214"/>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宋体" w:cs="Times New Roman"/>
          <w:b/>
          <w:color w:val="000000" w:themeColor="text1"/>
          <w:spacing w:val="0"/>
          <w:sz w:val="24"/>
          <w:lang w:val="en-US" w:eastAsia="zh-CN"/>
          <w14:textFill>
            <w14:solidFill>
              <w14:schemeClr w14:val="tx1"/>
            </w14:solidFill>
          </w14:textFill>
        </w:rPr>
      </w:pPr>
      <w:r>
        <w:rPr>
          <w:rFonts w:hint="eastAsia" w:ascii="Times New Roman" w:hAnsi="Times New Roman" w:eastAsia="宋体" w:cs="Times New Roman"/>
          <w:b/>
          <w:color w:val="000000" w:themeColor="text1"/>
          <w:spacing w:val="0"/>
          <w:sz w:val="24"/>
          <w:lang w:val="en-US" w:eastAsia="zh-CN"/>
          <w14:textFill>
            <w14:solidFill>
              <w14:schemeClr w14:val="tx1"/>
            </w14:solidFill>
          </w14:textFill>
        </w:rPr>
        <w:t>表5.2-</w:t>
      </w:r>
      <w:r>
        <w:rPr>
          <w:rFonts w:hint="eastAsia" w:cs="Times New Roman"/>
          <w:b/>
          <w:color w:val="000000" w:themeColor="text1"/>
          <w:spacing w:val="0"/>
          <w:sz w:val="24"/>
          <w:lang w:val="en-US" w:eastAsia="zh-CN"/>
          <w14:textFill>
            <w14:solidFill>
              <w14:schemeClr w14:val="tx1"/>
            </w14:solidFill>
          </w14:textFill>
        </w:rPr>
        <w:t>22</w:t>
      </w:r>
      <w:r>
        <w:rPr>
          <w:rFonts w:hint="eastAsia" w:ascii="Times New Roman" w:hAnsi="Times New Roman" w:eastAsia="宋体" w:cs="Times New Roman"/>
          <w:b/>
          <w:color w:val="000000" w:themeColor="text1"/>
          <w:spacing w:val="0"/>
          <w:sz w:val="24"/>
          <w:lang w:val="en-US" w:eastAsia="zh-CN"/>
          <w14:textFill>
            <w14:solidFill>
              <w14:schemeClr w14:val="tx1"/>
            </w14:solidFill>
          </w14:textFill>
        </w:rPr>
        <w:t xml:space="preserve">    土壤环境影响预测参数选择</w:t>
      </w:r>
    </w:p>
    <w:tbl>
      <w:tblPr>
        <w:tblStyle w:val="8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716"/>
        <w:gridCol w:w="917"/>
        <w:gridCol w:w="1004"/>
        <w:gridCol w:w="5200"/>
      </w:tblGrid>
      <w:tr w14:paraId="34019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0" w:type="pct"/>
            <w:tcBorders>
              <w:tl2br w:val="nil"/>
              <w:tr2bl w:val="nil"/>
            </w:tcBorders>
            <w:noWrap w:val="0"/>
            <w:vAlign w:val="center"/>
          </w:tcPr>
          <w:p w14:paraId="2F6F0E52">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t>序号</w:t>
            </w:r>
          </w:p>
        </w:tc>
        <w:tc>
          <w:tcPr>
            <w:tcW w:w="420" w:type="pct"/>
            <w:tcBorders>
              <w:tl2br w:val="nil"/>
              <w:tr2bl w:val="nil"/>
            </w:tcBorders>
            <w:noWrap w:val="0"/>
            <w:vAlign w:val="center"/>
          </w:tcPr>
          <w:p w14:paraId="0C8FCBAD">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t>参数</w:t>
            </w:r>
          </w:p>
        </w:tc>
        <w:tc>
          <w:tcPr>
            <w:tcW w:w="538" w:type="pct"/>
            <w:tcBorders>
              <w:tl2br w:val="nil"/>
              <w:tr2bl w:val="nil"/>
            </w:tcBorders>
            <w:noWrap w:val="0"/>
            <w:vAlign w:val="center"/>
          </w:tcPr>
          <w:p w14:paraId="01B21C55">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t>单位</w:t>
            </w:r>
          </w:p>
        </w:tc>
        <w:tc>
          <w:tcPr>
            <w:tcW w:w="589" w:type="pct"/>
            <w:tcBorders>
              <w:tl2br w:val="nil"/>
              <w:tr2bl w:val="nil"/>
            </w:tcBorders>
            <w:noWrap w:val="0"/>
            <w:vAlign w:val="center"/>
          </w:tcPr>
          <w:p w14:paraId="7E538C26">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t>取值</w:t>
            </w:r>
          </w:p>
        </w:tc>
        <w:tc>
          <w:tcPr>
            <w:tcW w:w="3051" w:type="pct"/>
            <w:tcBorders>
              <w:tl2br w:val="nil"/>
              <w:tr2bl w:val="nil"/>
            </w:tcBorders>
            <w:noWrap w:val="0"/>
            <w:vAlign w:val="center"/>
          </w:tcPr>
          <w:p w14:paraId="07AD00C4">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vertAlign w:val="baseline"/>
                <w:lang w:eastAsia="zh-CN"/>
                <w14:textFill>
                  <w14:solidFill>
                    <w14:schemeClr w14:val="tx1"/>
                  </w14:solidFill>
                </w14:textFill>
              </w:rPr>
              <w:t>来源</w:t>
            </w:r>
          </w:p>
        </w:tc>
      </w:tr>
      <w:tr w14:paraId="222F5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noWrap w:val="0"/>
            <w:vAlign w:val="center"/>
          </w:tcPr>
          <w:p w14:paraId="67693397">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1</w:t>
            </w:r>
          </w:p>
        </w:tc>
        <w:tc>
          <w:tcPr>
            <w:tcW w:w="420" w:type="pct"/>
            <w:tcBorders>
              <w:tl2br w:val="nil"/>
              <w:tr2bl w:val="nil"/>
            </w:tcBorders>
            <w:noWrap w:val="0"/>
            <w:vAlign w:val="center"/>
          </w:tcPr>
          <w:p w14:paraId="088B6E87">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i/>
                <w:iCs/>
                <w:color w:val="000000" w:themeColor="text1"/>
                <w:spacing w:val="-1"/>
                <w:sz w:val="21"/>
                <w:szCs w:val="21"/>
                <w:highlight w:val="none"/>
                <w:vertAlign w:val="baseline"/>
                <w:lang w:val="en-US" w:eastAsia="zh-CN"/>
                <w14:textFill>
                  <w14:solidFill>
                    <w14:schemeClr w14:val="tx1"/>
                  </w14:solidFill>
                </w14:textFill>
              </w:rPr>
              <w:t>I</w:t>
            </w:r>
            <w:r>
              <w:rPr>
                <w:rFonts w:hint="default" w:ascii="Times New Roman" w:hAnsi="Times New Roman" w:eastAsia="宋体" w:cs="Times New Roman"/>
                <w:i/>
                <w:iCs/>
                <w:color w:val="000000" w:themeColor="text1"/>
                <w:spacing w:val="-1"/>
                <w:sz w:val="21"/>
                <w:szCs w:val="21"/>
                <w:highlight w:val="none"/>
                <w:vertAlign w:val="subscript"/>
                <w:lang w:val="en-US" w:eastAsia="zh-CN"/>
                <w14:textFill>
                  <w14:solidFill>
                    <w14:schemeClr w14:val="tx1"/>
                  </w14:solidFill>
                </w14:textFill>
              </w:rPr>
              <w:t>S</w:t>
            </w:r>
          </w:p>
        </w:tc>
        <w:tc>
          <w:tcPr>
            <w:tcW w:w="538" w:type="pct"/>
            <w:tcBorders>
              <w:tl2br w:val="nil"/>
              <w:tr2bl w:val="nil"/>
            </w:tcBorders>
            <w:noWrap w:val="0"/>
            <w:vAlign w:val="center"/>
          </w:tcPr>
          <w:p w14:paraId="022C1148">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g</w:t>
            </w:r>
          </w:p>
        </w:tc>
        <w:tc>
          <w:tcPr>
            <w:tcW w:w="589" w:type="pct"/>
            <w:tcBorders>
              <w:tl2br w:val="nil"/>
              <w:tr2bl w:val="nil"/>
            </w:tcBorders>
            <w:noWrap w:val="0"/>
            <w:vAlign w:val="center"/>
          </w:tcPr>
          <w:p w14:paraId="148E69A9">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0.1825</w:t>
            </w:r>
          </w:p>
        </w:tc>
        <w:tc>
          <w:tcPr>
            <w:tcW w:w="3051" w:type="pct"/>
            <w:tcBorders>
              <w:tl2br w:val="nil"/>
              <w:tr2bl w:val="nil"/>
            </w:tcBorders>
            <w:noWrap w:val="0"/>
            <w:vAlign w:val="center"/>
          </w:tcPr>
          <w:p w14:paraId="5F99FF73">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废石</w:t>
            </w: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中</w:t>
            </w: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砷</w:t>
            </w: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含量</w:t>
            </w: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预测范围单位年份渗透量</w:t>
            </w:r>
          </w:p>
          <w:p w14:paraId="25B788A2">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废石</w:t>
            </w: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中</w:t>
            </w: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砷</w:t>
            </w: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含量</w:t>
            </w: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0.</w:t>
            </w: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0002</w:t>
            </w: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mg/L，每日渗水量按废水量的5%损耗率计算</w:t>
            </w: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全年365d</w:t>
            </w:r>
          </w:p>
        </w:tc>
      </w:tr>
      <w:tr w14:paraId="3978F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noWrap w:val="0"/>
            <w:vAlign w:val="center"/>
          </w:tcPr>
          <w:p w14:paraId="1F7339A6">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2</w:t>
            </w:r>
          </w:p>
        </w:tc>
        <w:tc>
          <w:tcPr>
            <w:tcW w:w="420" w:type="pct"/>
            <w:tcBorders>
              <w:tl2br w:val="nil"/>
              <w:tr2bl w:val="nil"/>
            </w:tcBorders>
            <w:noWrap w:val="0"/>
            <w:vAlign w:val="center"/>
          </w:tcPr>
          <w:p w14:paraId="715B570A">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i/>
                <w:iCs/>
                <w:color w:val="000000" w:themeColor="text1"/>
                <w:spacing w:val="-1"/>
                <w:sz w:val="21"/>
                <w:szCs w:val="21"/>
                <w:highlight w:val="none"/>
                <w:vertAlign w:val="baseline"/>
                <w:lang w:val="en-US" w:eastAsia="zh-CN"/>
                <w14:textFill>
                  <w14:solidFill>
                    <w14:schemeClr w14:val="tx1"/>
                  </w14:solidFill>
                </w14:textFill>
              </w:rPr>
              <w:t>L</w:t>
            </w:r>
            <w:r>
              <w:rPr>
                <w:rFonts w:hint="default" w:ascii="Times New Roman" w:hAnsi="Times New Roman" w:eastAsia="宋体" w:cs="Times New Roman"/>
                <w:i/>
                <w:iCs/>
                <w:color w:val="000000" w:themeColor="text1"/>
                <w:spacing w:val="-1"/>
                <w:sz w:val="21"/>
                <w:szCs w:val="21"/>
                <w:highlight w:val="none"/>
                <w:vertAlign w:val="subscript"/>
                <w:lang w:val="en-US" w:eastAsia="zh-CN"/>
                <w14:textFill>
                  <w14:solidFill>
                    <w14:schemeClr w14:val="tx1"/>
                  </w14:solidFill>
                </w14:textFill>
              </w:rPr>
              <w:t>S</w:t>
            </w:r>
          </w:p>
        </w:tc>
        <w:tc>
          <w:tcPr>
            <w:tcW w:w="538" w:type="pct"/>
            <w:tcBorders>
              <w:tl2br w:val="nil"/>
              <w:tr2bl w:val="nil"/>
            </w:tcBorders>
            <w:noWrap w:val="0"/>
            <w:vAlign w:val="center"/>
          </w:tcPr>
          <w:p w14:paraId="4F77AAC9">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g</w:t>
            </w:r>
          </w:p>
        </w:tc>
        <w:tc>
          <w:tcPr>
            <w:tcW w:w="589" w:type="pct"/>
            <w:tcBorders>
              <w:tl2br w:val="nil"/>
              <w:tr2bl w:val="nil"/>
            </w:tcBorders>
            <w:noWrap w:val="0"/>
            <w:vAlign w:val="center"/>
          </w:tcPr>
          <w:p w14:paraId="69F719DB">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0</w:t>
            </w:r>
          </w:p>
        </w:tc>
        <w:tc>
          <w:tcPr>
            <w:tcW w:w="3051" w:type="pct"/>
            <w:tcBorders>
              <w:tl2br w:val="nil"/>
              <w:tr2bl w:val="nil"/>
            </w:tcBorders>
            <w:noWrap w:val="0"/>
            <w:vAlign w:val="center"/>
          </w:tcPr>
          <w:p w14:paraId="32E4E24F">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按最不利情景，不考虑排出量</w:t>
            </w:r>
          </w:p>
        </w:tc>
      </w:tr>
      <w:tr w14:paraId="60999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noWrap w:val="0"/>
            <w:vAlign w:val="center"/>
          </w:tcPr>
          <w:p w14:paraId="37C07CC4">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3</w:t>
            </w:r>
          </w:p>
        </w:tc>
        <w:tc>
          <w:tcPr>
            <w:tcW w:w="420" w:type="pct"/>
            <w:tcBorders>
              <w:tl2br w:val="nil"/>
              <w:tr2bl w:val="nil"/>
            </w:tcBorders>
            <w:noWrap w:val="0"/>
            <w:vAlign w:val="center"/>
          </w:tcPr>
          <w:p w14:paraId="6997B1FC">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i/>
                <w:iCs/>
                <w:color w:val="000000" w:themeColor="text1"/>
                <w:spacing w:val="-1"/>
                <w:sz w:val="21"/>
                <w:szCs w:val="21"/>
                <w:highlight w:val="none"/>
                <w:vertAlign w:val="baseline"/>
                <w:lang w:val="en-US" w:eastAsia="zh-CN"/>
                <w14:textFill>
                  <w14:solidFill>
                    <w14:schemeClr w14:val="tx1"/>
                  </w14:solidFill>
                </w14:textFill>
              </w:rPr>
              <w:t>R</w:t>
            </w:r>
            <w:r>
              <w:rPr>
                <w:rFonts w:hint="default" w:ascii="Times New Roman" w:hAnsi="Times New Roman" w:eastAsia="宋体" w:cs="Times New Roman"/>
                <w:i/>
                <w:iCs/>
                <w:color w:val="000000" w:themeColor="text1"/>
                <w:spacing w:val="-1"/>
                <w:sz w:val="21"/>
                <w:szCs w:val="21"/>
                <w:highlight w:val="none"/>
                <w:vertAlign w:val="subscript"/>
                <w:lang w:val="en-US" w:eastAsia="zh-CN"/>
                <w14:textFill>
                  <w14:solidFill>
                    <w14:schemeClr w14:val="tx1"/>
                  </w14:solidFill>
                </w14:textFill>
              </w:rPr>
              <w:t>S</w:t>
            </w:r>
          </w:p>
        </w:tc>
        <w:tc>
          <w:tcPr>
            <w:tcW w:w="538" w:type="pct"/>
            <w:tcBorders>
              <w:tl2br w:val="nil"/>
              <w:tr2bl w:val="nil"/>
            </w:tcBorders>
            <w:noWrap w:val="0"/>
            <w:vAlign w:val="center"/>
          </w:tcPr>
          <w:p w14:paraId="1B08EB2F">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g</w:t>
            </w:r>
          </w:p>
        </w:tc>
        <w:tc>
          <w:tcPr>
            <w:tcW w:w="589" w:type="pct"/>
            <w:tcBorders>
              <w:tl2br w:val="nil"/>
              <w:tr2bl w:val="nil"/>
            </w:tcBorders>
            <w:noWrap w:val="0"/>
            <w:vAlign w:val="center"/>
          </w:tcPr>
          <w:p w14:paraId="2FA5786B">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0</w:t>
            </w:r>
          </w:p>
        </w:tc>
        <w:tc>
          <w:tcPr>
            <w:tcW w:w="3051" w:type="pct"/>
            <w:tcBorders>
              <w:tl2br w:val="nil"/>
              <w:tr2bl w:val="nil"/>
            </w:tcBorders>
            <w:noWrap w:val="0"/>
            <w:vAlign w:val="center"/>
          </w:tcPr>
          <w:p w14:paraId="0B6D9307">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按最不利情景，不考虑排出量</w:t>
            </w:r>
          </w:p>
        </w:tc>
      </w:tr>
      <w:tr w14:paraId="290BE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noWrap w:val="0"/>
            <w:vAlign w:val="center"/>
          </w:tcPr>
          <w:p w14:paraId="4227F158">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4</w:t>
            </w:r>
          </w:p>
        </w:tc>
        <w:tc>
          <w:tcPr>
            <w:tcW w:w="420" w:type="pct"/>
            <w:tcBorders>
              <w:tl2br w:val="nil"/>
              <w:tr2bl w:val="nil"/>
            </w:tcBorders>
            <w:noWrap w:val="0"/>
            <w:vAlign w:val="center"/>
          </w:tcPr>
          <w:p w14:paraId="4D1EC937">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i/>
                <w:iCs/>
                <w:color w:val="000000" w:themeColor="text1"/>
                <w:spacing w:val="-1"/>
                <w:sz w:val="21"/>
                <w:szCs w:val="21"/>
                <w:highlight w:val="none"/>
                <w:vertAlign w:val="baseline"/>
                <w:lang w:eastAsia="zh-CN"/>
                <w14:textFill>
                  <w14:solidFill>
                    <w14:schemeClr w14:val="tx1"/>
                  </w14:solidFill>
                </w14:textFill>
              </w:rPr>
              <w:t>ρ</w:t>
            </w:r>
            <w:r>
              <w:rPr>
                <w:rFonts w:hint="default" w:ascii="Times New Roman" w:hAnsi="Times New Roman" w:eastAsia="宋体" w:cs="Times New Roman"/>
                <w:i/>
                <w:iCs/>
                <w:color w:val="000000" w:themeColor="text1"/>
                <w:spacing w:val="-1"/>
                <w:sz w:val="21"/>
                <w:szCs w:val="21"/>
                <w:highlight w:val="none"/>
                <w:vertAlign w:val="subscript"/>
                <w:lang w:val="en-US" w:eastAsia="zh-CN"/>
                <w14:textFill>
                  <w14:solidFill>
                    <w14:schemeClr w14:val="tx1"/>
                  </w14:solidFill>
                </w14:textFill>
              </w:rPr>
              <w:t>b</w:t>
            </w:r>
          </w:p>
        </w:tc>
        <w:tc>
          <w:tcPr>
            <w:tcW w:w="538" w:type="pct"/>
            <w:tcBorders>
              <w:tl2br w:val="nil"/>
              <w:tr2bl w:val="nil"/>
            </w:tcBorders>
            <w:noWrap w:val="0"/>
            <w:vAlign w:val="center"/>
          </w:tcPr>
          <w:p w14:paraId="61697A63">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kg/m</w:t>
            </w:r>
            <w:r>
              <w:rPr>
                <w:rFonts w:hint="default"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3</w:t>
            </w:r>
          </w:p>
        </w:tc>
        <w:tc>
          <w:tcPr>
            <w:tcW w:w="589" w:type="pct"/>
            <w:tcBorders>
              <w:tl2br w:val="nil"/>
              <w:tr2bl w:val="nil"/>
            </w:tcBorders>
            <w:noWrap w:val="0"/>
            <w:vAlign w:val="center"/>
          </w:tcPr>
          <w:p w14:paraId="7E44247E">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1</w:t>
            </w: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590</w:t>
            </w:r>
          </w:p>
        </w:tc>
        <w:tc>
          <w:tcPr>
            <w:tcW w:w="3051" w:type="pct"/>
            <w:tcBorders>
              <w:tl2br w:val="nil"/>
              <w:tr2bl w:val="nil"/>
            </w:tcBorders>
            <w:noWrap w:val="0"/>
            <w:vAlign w:val="center"/>
          </w:tcPr>
          <w:p w14:paraId="4565D63A">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新疆盐渍化土壤容重在</w:t>
            </w: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1.56~1.59</w:t>
            </w: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g/cm</w:t>
            </w:r>
            <w:r>
              <w:rPr>
                <w:rFonts w:hint="default" w:ascii="Times New Roman" w:hAnsi="Times New Roman" w:eastAsia="宋体" w:cs="Times New Roman"/>
                <w:color w:val="000000" w:themeColor="text1"/>
                <w:spacing w:val="-1"/>
                <w:sz w:val="21"/>
                <w:szCs w:val="21"/>
                <w:highlight w:val="none"/>
                <w:vertAlign w:val="superscript"/>
                <w:lang w:val="en-US" w:eastAsia="zh-CN"/>
                <w14:textFill>
                  <w14:solidFill>
                    <w14:schemeClr w14:val="tx1"/>
                  </w14:solidFill>
                </w14:textFill>
              </w:rPr>
              <w:t>3</w:t>
            </w:r>
          </w:p>
        </w:tc>
      </w:tr>
      <w:tr w14:paraId="3C3B9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noWrap w:val="0"/>
            <w:vAlign w:val="center"/>
          </w:tcPr>
          <w:p w14:paraId="21AF3887">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5</w:t>
            </w:r>
          </w:p>
        </w:tc>
        <w:tc>
          <w:tcPr>
            <w:tcW w:w="420" w:type="pct"/>
            <w:tcBorders>
              <w:tl2br w:val="nil"/>
              <w:tr2bl w:val="nil"/>
            </w:tcBorders>
            <w:noWrap w:val="0"/>
            <w:vAlign w:val="center"/>
          </w:tcPr>
          <w:p w14:paraId="10673E14">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i/>
                <w:iCs/>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i/>
                <w:iCs/>
                <w:color w:val="000000" w:themeColor="text1"/>
                <w:spacing w:val="-1"/>
                <w:sz w:val="21"/>
                <w:szCs w:val="21"/>
                <w:highlight w:val="none"/>
                <w:vertAlign w:val="baseline"/>
                <w:lang w:val="en-US" w:eastAsia="zh-CN"/>
                <w14:textFill>
                  <w14:solidFill>
                    <w14:schemeClr w14:val="tx1"/>
                  </w14:solidFill>
                </w14:textFill>
              </w:rPr>
              <w:t>A</w:t>
            </w:r>
          </w:p>
        </w:tc>
        <w:tc>
          <w:tcPr>
            <w:tcW w:w="538" w:type="pct"/>
            <w:tcBorders>
              <w:tl2br w:val="nil"/>
              <w:tr2bl w:val="nil"/>
            </w:tcBorders>
            <w:noWrap w:val="0"/>
            <w:vAlign w:val="center"/>
          </w:tcPr>
          <w:p w14:paraId="164B5D41">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p>
        </w:tc>
        <w:tc>
          <w:tcPr>
            <w:tcW w:w="589" w:type="pct"/>
            <w:tcBorders>
              <w:tl2br w:val="nil"/>
              <w:tr2bl w:val="nil"/>
            </w:tcBorders>
            <w:noWrap w:val="0"/>
            <w:vAlign w:val="center"/>
          </w:tcPr>
          <w:p w14:paraId="66ED70D5">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31200</w:t>
            </w:r>
          </w:p>
        </w:tc>
        <w:tc>
          <w:tcPr>
            <w:tcW w:w="3051" w:type="pct"/>
            <w:tcBorders>
              <w:tl2br w:val="nil"/>
              <w:tr2bl w:val="nil"/>
            </w:tcBorders>
            <w:noWrap w:val="0"/>
            <w:vAlign w:val="center"/>
          </w:tcPr>
          <w:p w14:paraId="160CAB74">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最大面积</w:t>
            </w: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废石堆场</w:t>
            </w: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占地范围</w:t>
            </w:r>
          </w:p>
        </w:tc>
      </w:tr>
      <w:tr w14:paraId="7C1B4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noWrap w:val="0"/>
            <w:vAlign w:val="center"/>
          </w:tcPr>
          <w:p w14:paraId="17C6611A">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6</w:t>
            </w:r>
          </w:p>
        </w:tc>
        <w:tc>
          <w:tcPr>
            <w:tcW w:w="420" w:type="pct"/>
            <w:tcBorders>
              <w:tl2br w:val="nil"/>
              <w:tr2bl w:val="nil"/>
            </w:tcBorders>
            <w:noWrap w:val="0"/>
            <w:vAlign w:val="center"/>
          </w:tcPr>
          <w:p w14:paraId="4117F1F1">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i/>
                <w:iCs/>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i/>
                <w:iCs/>
                <w:color w:val="000000" w:themeColor="text1"/>
                <w:spacing w:val="-1"/>
                <w:sz w:val="21"/>
                <w:szCs w:val="21"/>
                <w:highlight w:val="none"/>
                <w:vertAlign w:val="baseline"/>
                <w:lang w:val="en-US" w:eastAsia="zh-CN"/>
                <w14:textFill>
                  <w14:solidFill>
                    <w14:schemeClr w14:val="tx1"/>
                  </w14:solidFill>
                </w14:textFill>
              </w:rPr>
              <w:t>D</w:t>
            </w:r>
          </w:p>
        </w:tc>
        <w:tc>
          <w:tcPr>
            <w:tcW w:w="538" w:type="pct"/>
            <w:tcBorders>
              <w:tl2br w:val="nil"/>
              <w:tr2bl w:val="nil"/>
            </w:tcBorders>
            <w:noWrap w:val="0"/>
            <w:vAlign w:val="center"/>
          </w:tcPr>
          <w:p w14:paraId="692E8A95">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p>
        </w:tc>
        <w:tc>
          <w:tcPr>
            <w:tcW w:w="589" w:type="pct"/>
            <w:tcBorders>
              <w:tl2br w:val="nil"/>
              <w:tr2bl w:val="nil"/>
            </w:tcBorders>
            <w:noWrap w:val="0"/>
            <w:vAlign w:val="center"/>
          </w:tcPr>
          <w:p w14:paraId="55508BDA">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0.2</w:t>
            </w:r>
          </w:p>
        </w:tc>
        <w:tc>
          <w:tcPr>
            <w:tcW w:w="3051" w:type="pct"/>
            <w:tcBorders>
              <w:tl2br w:val="nil"/>
              <w:tr2bl w:val="nil"/>
            </w:tcBorders>
            <w:noWrap w:val="0"/>
            <w:vAlign w:val="center"/>
          </w:tcPr>
          <w:p w14:paraId="04F28A2C">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一般取值</w:t>
            </w:r>
          </w:p>
        </w:tc>
      </w:tr>
      <w:tr w14:paraId="19CE3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noWrap w:val="0"/>
            <w:vAlign w:val="center"/>
          </w:tcPr>
          <w:p w14:paraId="4F4EC937">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7</w:t>
            </w:r>
          </w:p>
        </w:tc>
        <w:tc>
          <w:tcPr>
            <w:tcW w:w="420" w:type="pct"/>
            <w:tcBorders>
              <w:tl2br w:val="nil"/>
              <w:tr2bl w:val="nil"/>
            </w:tcBorders>
            <w:noWrap w:val="0"/>
            <w:vAlign w:val="center"/>
          </w:tcPr>
          <w:p w14:paraId="3A36F1EA">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i/>
                <w:iCs/>
                <w:color w:val="000000" w:themeColor="text1"/>
                <w:spacing w:val="-1"/>
                <w:sz w:val="21"/>
                <w:szCs w:val="21"/>
                <w:highlight w:val="none"/>
                <w:vertAlign w:val="baseline"/>
                <w:lang w:val="en-US" w:eastAsia="zh-CN"/>
                <w14:textFill>
                  <w14:solidFill>
                    <w14:schemeClr w14:val="tx1"/>
                  </w14:solidFill>
                </w14:textFill>
              </w:rPr>
              <w:t>S</w:t>
            </w:r>
            <w:r>
              <w:rPr>
                <w:rFonts w:hint="default" w:ascii="Times New Roman" w:hAnsi="Times New Roman" w:eastAsia="宋体" w:cs="Times New Roman"/>
                <w:i/>
                <w:iCs/>
                <w:color w:val="000000" w:themeColor="text1"/>
                <w:spacing w:val="-1"/>
                <w:sz w:val="21"/>
                <w:szCs w:val="21"/>
                <w:highlight w:val="none"/>
                <w:vertAlign w:val="subscript"/>
                <w:lang w:val="en-US" w:eastAsia="zh-CN"/>
                <w14:textFill>
                  <w14:solidFill>
                    <w14:schemeClr w14:val="tx1"/>
                  </w14:solidFill>
                </w14:textFill>
              </w:rPr>
              <w:t>b</w:t>
            </w:r>
          </w:p>
        </w:tc>
        <w:tc>
          <w:tcPr>
            <w:tcW w:w="538" w:type="pct"/>
            <w:tcBorders>
              <w:tl2br w:val="nil"/>
              <w:tr2bl w:val="nil"/>
            </w:tcBorders>
            <w:noWrap w:val="0"/>
            <w:vAlign w:val="center"/>
          </w:tcPr>
          <w:p w14:paraId="18D9D854">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g/kg</w:t>
            </w:r>
          </w:p>
        </w:tc>
        <w:tc>
          <w:tcPr>
            <w:tcW w:w="589" w:type="pct"/>
            <w:tcBorders>
              <w:tl2br w:val="nil"/>
              <w:tr2bl w:val="nil"/>
            </w:tcBorders>
            <w:noWrap w:val="0"/>
            <w:vAlign w:val="center"/>
          </w:tcPr>
          <w:p w14:paraId="05E2AE62">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0.0177</w:t>
            </w:r>
          </w:p>
        </w:tc>
        <w:tc>
          <w:tcPr>
            <w:tcW w:w="3051" w:type="pct"/>
            <w:tcBorders>
              <w:tl2br w:val="nil"/>
              <w:tr2bl w:val="nil"/>
            </w:tcBorders>
            <w:noWrap w:val="0"/>
            <w:vAlign w:val="center"/>
          </w:tcPr>
          <w:p w14:paraId="6CF23BB0">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取此次现状监测</w:t>
            </w:r>
            <w:r>
              <w:rPr>
                <w:rFonts w:hint="eastAsia" w:ascii="Times New Roman" w:hAnsi="Times New Roman" w:cs="Times New Roman"/>
                <w:color w:val="000000" w:themeColor="text1"/>
                <w:spacing w:val="-1"/>
                <w:sz w:val="21"/>
                <w:szCs w:val="21"/>
                <w:highlight w:val="none"/>
                <w:vertAlign w:val="baseline"/>
                <w:lang w:val="en-US" w:eastAsia="zh-CN"/>
                <w14:textFill>
                  <w14:solidFill>
                    <w14:schemeClr w14:val="tx1"/>
                  </w14:solidFill>
                </w14:textFill>
              </w:rPr>
              <w:t>砷</w:t>
            </w:r>
            <w:r>
              <w:rPr>
                <w:rFonts w:hint="default" w:ascii="Times New Roman" w:hAnsi="Times New Roman" w:eastAsia="宋体" w:cs="Times New Roman"/>
                <w:color w:val="000000" w:themeColor="text1"/>
                <w:spacing w:val="-1"/>
                <w:sz w:val="21"/>
                <w:szCs w:val="21"/>
                <w:highlight w:val="none"/>
                <w:vertAlign w:val="baseline"/>
                <w:lang w:eastAsia="zh-CN"/>
                <w14:textFill>
                  <w14:solidFill>
                    <w14:schemeClr w14:val="tx1"/>
                  </w14:solidFill>
                </w14:textFill>
              </w:rPr>
              <w:t>含量最大值</w:t>
            </w:r>
          </w:p>
        </w:tc>
      </w:tr>
    </w:tbl>
    <w:p w14:paraId="28C58B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预测结果</w:t>
      </w:r>
    </w:p>
    <w:p w14:paraId="4898338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w:t>
      </w:r>
      <w:r>
        <w:rPr>
          <w:rFonts w:hint="eastAsia" w:cs="Times New Roman"/>
          <w:color w:val="000000" w:themeColor="text1"/>
          <w:sz w:val="24"/>
          <w:szCs w:val="24"/>
          <w:lang w:val="en-US" w:eastAsia="zh-CN"/>
          <w14:textFill>
            <w14:solidFill>
              <w14:schemeClr w14:val="tx1"/>
            </w14:solidFill>
          </w14:textFill>
        </w:rPr>
        <w:t>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通过入渗途径的土壤影响预测结果，见表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5.2-2</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6EB12B9">
      <w:pPr>
        <w:pageBreakBefore w:val="0"/>
        <w:wordWrap/>
        <w:topLinePunct w:val="0"/>
        <w:autoSpaceDE w:val="0"/>
        <w:bidi w:val="0"/>
        <w:adjustRightInd w:val="0"/>
        <w:snapToGrid w:val="0"/>
        <w:spacing w:before="157" w:beforeLines="50" w:line="240" w:lineRule="auto"/>
        <w:ind w:left="0" w:leftChars="0" w:firstLine="0" w:firstLineChars="0"/>
        <w:jc w:val="center"/>
        <w:rPr>
          <w:rFonts w:hint="default" w:ascii="Times New Roman" w:hAnsi="Times New Roman" w:eastAsia="宋体" w:cs="Times New Roman"/>
          <w:b/>
          <w:bCs w:val="0"/>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4"/>
          <w:highlight w:val="none"/>
          <w:lang w:val="en-US" w:eastAsia="zh-CN"/>
          <w14:textFill>
            <w14:solidFill>
              <w14:schemeClr w14:val="tx1"/>
            </w14:solidFill>
          </w14:textFill>
        </w:rPr>
        <w:t>表</w:t>
      </w:r>
      <w:r>
        <w:rPr>
          <w:rFonts w:hint="eastAsia" w:cs="Times New Roman"/>
          <w:b/>
          <w:bCs w:val="0"/>
          <w:snapToGrid w:val="0"/>
          <w:color w:val="000000" w:themeColor="text1"/>
          <w:kern w:val="0"/>
          <w:sz w:val="24"/>
          <w:highlight w:val="none"/>
          <w:lang w:val="en-US" w:eastAsia="zh-CN"/>
          <w14:textFill>
            <w14:solidFill>
              <w14:schemeClr w14:val="tx1"/>
            </w14:solidFill>
          </w14:textFill>
        </w:rPr>
        <w:t>5.2</w:t>
      </w:r>
      <w:r>
        <w:rPr>
          <w:rFonts w:hint="default" w:ascii="Times New Roman" w:hAnsi="Times New Roman" w:eastAsia="宋体" w:cs="Times New Roman"/>
          <w:b/>
          <w:bCs w:val="0"/>
          <w:snapToGrid w:val="0"/>
          <w:color w:val="000000" w:themeColor="text1"/>
          <w:kern w:val="0"/>
          <w:sz w:val="24"/>
          <w:highlight w:val="none"/>
          <w:lang w:val="en-US" w:eastAsia="zh-CN"/>
          <w14:textFill>
            <w14:solidFill>
              <w14:schemeClr w14:val="tx1"/>
            </w14:solidFill>
          </w14:textFill>
        </w:rPr>
        <w:t>-</w:t>
      </w:r>
      <w:r>
        <w:rPr>
          <w:rFonts w:hint="eastAsia" w:cs="Times New Roman"/>
          <w:b/>
          <w:bCs w:val="0"/>
          <w:snapToGrid w:val="0"/>
          <w:color w:val="000000" w:themeColor="text1"/>
          <w:kern w:val="0"/>
          <w:sz w:val="24"/>
          <w:highlight w:val="none"/>
          <w:lang w:val="en-US" w:eastAsia="zh-CN"/>
          <w14:textFill>
            <w14:solidFill>
              <w14:schemeClr w14:val="tx1"/>
            </w14:solidFill>
          </w14:textFill>
        </w:rPr>
        <w:t>23</w:t>
      </w:r>
      <w:r>
        <w:rPr>
          <w:rFonts w:hint="default" w:ascii="Times New Roman" w:hAnsi="Times New Roman" w:eastAsia="宋体" w:cs="Times New Roman"/>
          <w:b/>
          <w:bCs w:val="0"/>
          <w:snapToGrid w:val="0"/>
          <w:color w:val="000000" w:themeColor="text1"/>
          <w:kern w:val="0"/>
          <w:sz w:val="24"/>
          <w:highlight w:val="none"/>
          <w:lang w:val="en-US" w:eastAsia="zh-CN"/>
          <w14:textFill>
            <w14:solidFill>
              <w14:schemeClr w14:val="tx1"/>
            </w14:solidFill>
          </w14:textFill>
        </w:rPr>
        <w:t xml:space="preserve">   </w:t>
      </w:r>
      <w:r>
        <w:rPr>
          <w:rFonts w:hint="eastAsia" w:cs="Times New Roman"/>
          <w:b/>
          <w:bCs w:val="0"/>
          <w:snapToGrid w:val="0"/>
          <w:color w:val="000000" w:themeColor="text1"/>
          <w:kern w:val="0"/>
          <w:sz w:val="24"/>
          <w:highlight w:val="none"/>
          <w:lang w:val="en-US" w:eastAsia="zh-CN"/>
          <w14:textFill>
            <w14:solidFill>
              <w14:schemeClr w14:val="tx1"/>
            </w14:solidFill>
          </w14:textFill>
        </w:rPr>
        <w:t xml:space="preserve"> 废石堆场</w:t>
      </w:r>
      <w:r>
        <w:rPr>
          <w:rFonts w:hint="default" w:ascii="Times New Roman" w:hAnsi="Times New Roman" w:eastAsia="宋体" w:cs="Times New Roman"/>
          <w:b/>
          <w:bCs w:val="0"/>
          <w:snapToGrid w:val="0"/>
          <w:color w:val="000000" w:themeColor="text1"/>
          <w:kern w:val="0"/>
          <w:sz w:val="24"/>
          <w:highlight w:val="none"/>
          <w:lang w:val="en-US" w:eastAsia="zh-CN"/>
          <w14:textFill>
            <w14:solidFill>
              <w14:schemeClr w14:val="tx1"/>
            </w14:solidFill>
          </w14:textFill>
        </w:rPr>
        <w:t>中砷通过入渗途径的土壤影响预测结果</w:t>
      </w:r>
    </w:p>
    <w:tbl>
      <w:tblPr>
        <w:tblStyle w:val="8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35"/>
        <w:gridCol w:w="5184"/>
      </w:tblGrid>
      <w:tr w14:paraId="43B21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7" w:type="pct"/>
            <w:tcBorders>
              <w:tl2br w:val="nil"/>
              <w:tr2bl w:val="nil"/>
            </w:tcBorders>
            <w:noWrap w:val="0"/>
            <w:vAlign w:val="top"/>
          </w:tcPr>
          <w:p w14:paraId="1BF1ECEC">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pacing w:val="-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pacing w:val="-1"/>
                <w:szCs w:val="21"/>
                <w:highlight w:val="none"/>
                <w:vertAlign w:val="baseline"/>
                <w:lang w:eastAsia="zh-CN"/>
                <w14:textFill>
                  <w14:solidFill>
                    <w14:schemeClr w14:val="tx1"/>
                  </w14:solidFill>
                </w14:textFill>
              </w:rPr>
              <w:t>年份</w:t>
            </w:r>
          </w:p>
        </w:tc>
        <w:tc>
          <w:tcPr>
            <w:tcW w:w="3042" w:type="pct"/>
            <w:tcBorders>
              <w:tl2br w:val="nil"/>
              <w:tr2bl w:val="nil"/>
            </w:tcBorders>
            <w:noWrap w:val="0"/>
            <w:vAlign w:val="top"/>
          </w:tcPr>
          <w:p w14:paraId="5E876010">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pacing w:val="-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pacing w:val="-1"/>
                <w:szCs w:val="21"/>
                <w:highlight w:val="none"/>
                <w:vertAlign w:val="baseline"/>
                <w:lang w:eastAsia="zh-CN"/>
                <w14:textFill>
                  <w14:solidFill>
                    <w14:schemeClr w14:val="tx1"/>
                  </w14:solidFill>
                </w14:textFill>
              </w:rPr>
              <w:t>单位质量表层土壤中</w:t>
            </w:r>
            <w:r>
              <w:rPr>
                <w:rFonts w:hint="eastAsia" w:ascii="Times New Roman" w:hAnsi="Times New Roman" w:eastAsia="宋体" w:cs="Times New Roman"/>
                <w:b/>
                <w:bCs/>
                <w:color w:val="000000" w:themeColor="text1"/>
                <w:spacing w:val="-1"/>
                <w:szCs w:val="21"/>
                <w:highlight w:val="none"/>
                <w:vertAlign w:val="baseline"/>
                <w:lang w:val="en-US" w:eastAsia="zh-CN"/>
                <w14:textFill>
                  <w14:solidFill>
                    <w14:schemeClr w14:val="tx1"/>
                  </w14:solidFill>
                </w14:textFill>
              </w:rPr>
              <w:t>砷</w:t>
            </w:r>
            <w:r>
              <w:rPr>
                <w:rFonts w:hint="default" w:ascii="Times New Roman" w:hAnsi="Times New Roman" w:eastAsia="宋体" w:cs="Times New Roman"/>
                <w:b/>
                <w:bCs/>
                <w:color w:val="000000" w:themeColor="text1"/>
                <w:spacing w:val="-1"/>
                <w:szCs w:val="21"/>
                <w:highlight w:val="none"/>
                <w:vertAlign w:val="baseline"/>
                <w:lang w:eastAsia="zh-CN"/>
                <w14:textFill>
                  <w14:solidFill>
                    <w14:schemeClr w14:val="tx1"/>
                  </w14:solidFill>
                </w14:textFill>
              </w:rPr>
              <w:t>的增量（g/kg）</w:t>
            </w:r>
          </w:p>
        </w:tc>
      </w:tr>
      <w:tr w14:paraId="3CE3F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7" w:type="pct"/>
            <w:tcBorders>
              <w:tl2br w:val="nil"/>
              <w:tr2bl w:val="nil"/>
            </w:tcBorders>
            <w:noWrap w:val="0"/>
            <w:vAlign w:val="top"/>
          </w:tcPr>
          <w:p w14:paraId="42DAA593">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1</w:t>
            </w:r>
          </w:p>
        </w:tc>
        <w:tc>
          <w:tcPr>
            <w:tcW w:w="3042" w:type="pct"/>
            <w:tcBorders>
              <w:tl2br w:val="nil"/>
              <w:tr2bl w:val="nil"/>
            </w:tcBorders>
            <w:noWrap w:val="0"/>
            <w:vAlign w:val="top"/>
          </w:tcPr>
          <w:p w14:paraId="4FC32DD1">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Cs w:val="21"/>
                <w:highlight w:val="none"/>
                <w:vertAlign w:val="baseline"/>
                <w:lang w:val="en-US" w:eastAsia="zh-CN"/>
                <w14:textFill>
                  <w14:solidFill>
                    <w14:schemeClr w14:val="tx1"/>
                  </w14:solidFill>
                </w14:textFill>
              </w:rPr>
              <w:t>1.84</w:t>
            </w: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pacing w:val="-1"/>
                <w:szCs w:val="21"/>
                <w:highlight w:val="none"/>
                <w:vertAlign w:val="superscript"/>
                <w:lang w:val="en-US" w:eastAsia="zh-CN"/>
                <w14:textFill>
                  <w14:solidFill>
                    <w14:schemeClr w14:val="tx1"/>
                  </w14:solidFill>
                </w14:textFill>
              </w:rPr>
              <w:t>-</w:t>
            </w:r>
            <w:r>
              <w:rPr>
                <w:rFonts w:hint="eastAsia" w:ascii="Times New Roman" w:hAnsi="Times New Roman" w:cs="Times New Roman"/>
                <w:color w:val="000000" w:themeColor="text1"/>
                <w:spacing w:val="-1"/>
                <w:szCs w:val="21"/>
                <w:highlight w:val="none"/>
                <w:vertAlign w:val="superscript"/>
                <w:lang w:val="en-US" w:eastAsia="zh-CN"/>
                <w14:textFill>
                  <w14:solidFill>
                    <w14:schemeClr w14:val="tx1"/>
                  </w14:solidFill>
                </w14:textFill>
              </w:rPr>
              <w:t>8</w:t>
            </w:r>
          </w:p>
        </w:tc>
      </w:tr>
      <w:tr w14:paraId="04F1D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7" w:type="pct"/>
            <w:tcBorders>
              <w:tl2br w:val="nil"/>
              <w:tr2bl w:val="nil"/>
            </w:tcBorders>
            <w:noWrap w:val="0"/>
            <w:vAlign w:val="top"/>
          </w:tcPr>
          <w:p w14:paraId="046C6E58">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2</w:t>
            </w:r>
          </w:p>
        </w:tc>
        <w:tc>
          <w:tcPr>
            <w:tcW w:w="3042" w:type="pct"/>
            <w:tcBorders>
              <w:tl2br w:val="nil"/>
              <w:tr2bl w:val="nil"/>
            </w:tcBorders>
            <w:noWrap w:val="0"/>
            <w:vAlign w:val="top"/>
          </w:tcPr>
          <w:p w14:paraId="75423D8B">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Cs w:val="21"/>
                <w:highlight w:val="none"/>
                <w:vertAlign w:val="baseline"/>
                <w:lang w:val="en-US" w:eastAsia="zh-CN"/>
                <w14:textFill>
                  <w14:solidFill>
                    <w14:schemeClr w14:val="tx1"/>
                  </w14:solidFill>
                </w14:textFill>
              </w:rPr>
              <w:t>3.68</w:t>
            </w: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pacing w:val="-1"/>
                <w:szCs w:val="21"/>
                <w:highlight w:val="none"/>
                <w:vertAlign w:val="superscript"/>
                <w:lang w:val="en-US" w:eastAsia="zh-CN"/>
                <w14:textFill>
                  <w14:solidFill>
                    <w14:schemeClr w14:val="tx1"/>
                  </w14:solidFill>
                </w14:textFill>
              </w:rPr>
              <w:t>-</w:t>
            </w:r>
            <w:r>
              <w:rPr>
                <w:rFonts w:hint="eastAsia" w:ascii="Times New Roman" w:hAnsi="Times New Roman" w:cs="Times New Roman"/>
                <w:color w:val="000000" w:themeColor="text1"/>
                <w:spacing w:val="-1"/>
                <w:szCs w:val="21"/>
                <w:highlight w:val="none"/>
                <w:vertAlign w:val="superscript"/>
                <w:lang w:val="en-US" w:eastAsia="zh-CN"/>
                <w14:textFill>
                  <w14:solidFill>
                    <w14:schemeClr w14:val="tx1"/>
                  </w14:solidFill>
                </w14:textFill>
              </w:rPr>
              <w:t>8</w:t>
            </w:r>
          </w:p>
        </w:tc>
      </w:tr>
      <w:tr w14:paraId="04E0C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7" w:type="pct"/>
            <w:tcBorders>
              <w:tl2br w:val="nil"/>
              <w:tr2bl w:val="nil"/>
            </w:tcBorders>
            <w:noWrap w:val="0"/>
            <w:vAlign w:val="top"/>
          </w:tcPr>
          <w:p w14:paraId="3FD189C4">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5</w:t>
            </w:r>
          </w:p>
        </w:tc>
        <w:tc>
          <w:tcPr>
            <w:tcW w:w="3042" w:type="pct"/>
            <w:tcBorders>
              <w:tl2br w:val="nil"/>
              <w:tr2bl w:val="nil"/>
            </w:tcBorders>
            <w:noWrap w:val="0"/>
            <w:vAlign w:val="top"/>
          </w:tcPr>
          <w:p w14:paraId="77D294E5">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Cs w:val="21"/>
                <w:highlight w:val="none"/>
                <w:vertAlign w:val="baseline"/>
                <w:lang w:val="en-US" w:eastAsia="zh-CN"/>
                <w14:textFill>
                  <w14:solidFill>
                    <w14:schemeClr w14:val="tx1"/>
                  </w14:solidFill>
                </w14:textFill>
              </w:rPr>
              <w:t>9.20</w:t>
            </w: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pacing w:val="-1"/>
                <w:szCs w:val="21"/>
                <w:highlight w:val="none"/>
                <w:vertAlign w:val="superscript"/>
                <w:lang w:val="en-US" w:eastAsia="zh-CN"/>
                <w14:textFill>
                  <w14:solidFill>
                    <w14:schemeClr w14:val="tx1"/>
                  </w14:solidFill>
                </w14:textFill>
              </w:rPr>
              <w:t>-</w:t>
            </w:r>
            <w:r>
              <w:rPr>
                <w:rFonts w:hint="eastAsia" w:ascii="Times New Roman" w:hAnsi="Times New Roman" w:cs="Times New Roman"/>
                <w:color w:val="000000" w:themeColor="text1"/>
                <w:spacing w:val="-1"/>
                <w:szCs w:val="21"/>
                <w:highlight w:val="none"/>
                <w:vertAlign w:val="superscript"/>
                <w:lang w:val="en-US" w:eastAsia="zh-CN"/>
                <w14:textFill>
                  <w14:solidFill>
                    <w14:schemeClr w14:val="tx1"/>
                  </w14:solidFill>
                </w14:textFill>
              </w:rPr>
              <w:t>8</w:t>
            </w:r>
          </w:p>
        </w:tc>
      </w:tr>
      <w:tr w14:paraId="6F8AC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7" w:type="pct"/>
            <w:tcBorders>
              <w:tl2br w:val="nil"/>
              <w:tr2bl w:val="nil"/>
            </w:tcBorders>
            <w:noWrap w:val="0"/>
            <w:vAlign w:val="top"/>
          </w:tcPr>
          <w:p w14:paraId="5549E635">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10</w:t>
            </w:r>
          </w:p>
        </w:tc>
        <w:tc>
          <w:tcPr>
            <w:tcW w:w="3042" w:type="pct"/>
            <w:tcBorders>
              <w:tl2br w:val="nil"/>
              <w:tr2bl w:val="nil"/>
            </w:tcBorders>
            <w:noWrap w:val="0"/>
            <w:vAlign w:val="top"/>
          </w:tcPr>
          <w:p w14:paraId="5EB359C8">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Cs w:val="21"/>
                <w:highlight w:val="none"/>
                <w:vertAlign w:val="baseline"/>
                <w:lang w:val="en-US" w:eastAsia="zh-CN"/>
                <w14:textFill>
                  <w14:solidFill>
                    <w14:schemeClr w14:val="tx1"/>
                  </w14:solidFill>
                </w14:textFill>
              </w:rPr>
              <w:t>1.84</w:t>
            </w: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pacing w:val="-1"/>
                <w:szCs w:val="21"/>
                <w:highlight w:val="none"/>
                <w:vertAlign w:val="superscript"/>
                <w:lang w:val="en-US" w:eastAsia="zh-CN"/>
                <w14:textFill>
                  <w14:solidFill>
                    <w14:schemeClr w14:val="tx1"/>
                  </w14:solidFill>
                </w14:textFill>
              </w:rPr>
              <w:t>-</w:t>
            </w:r>
            <w:r>
              <w:rPr>
                <w:rFonts w:hint="eastAsia" w:ascii="Times New Roman" w:hAnsi="Times New Roman" w:cs="Times New Roman"/>
                <w:color w:val="000000" w:themeColor="text1"/>
                <w:spacing w:val="-1"/>
                <w:szCs w:val="21"/>
                <w:highlight w:val="none"/>
                <w:vertAlign w:val="superscript"/>
                <w:lang w:val="en-US" w:eastAsia="zh-CN"/>
                <w14:textFill>
                  <w14:solidFill>
                    <w14:schemeClr w14:val="tx1"/>
                  </w14:solidFill>
                </w14:textFill>
              </w:rPr>
              <w:t>7</w:t>
            </w:r>
          </w:p>
        </w:tc>
      </w:tr>
      <w:tr w14:paraId="36121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7" w:type="pct"/>
            <w:tcBorders>
              <w:tl2br w:val="nil"/>
              <w:tr2bl w:val="nil"/>
            </w:tcBorders>
            <w:noWrap w:val="0"/>
            <w:vAlign w:val="top"/>
          </w:tcPr>
          <w:p w14:paraId="55FFEAC3">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Cs w:val="21"/>
                <w:highlight w:val="none"/>
                <w:vertAlign w:val="baseline"/>
                <w:lang w:val="en-US" w:eastAsia="zh-CN"/>
                <w14:textFill>
                  <w14:solidFill>
                    <w14:schemeClr w14:val="tx1"/>
                  </w14:solidFill>
                </w14:textFill>
              </w:rPr>
              <w:t>13.31</w:t>
            </w:r>
          </w:p>
        </w:tc>
        <w:tc>
          <w:tcPr>
            <w:tcW w:w="3042" w:type="pct"/>
            <w:tcBorders>
              <w:tl2br w:val="nil"/>
              <w:tr2bl w:val="nil"/>
            </w:tcBorders>
            <w:noWrap w:val="0"/>
            <w:vAlign w:val="top"/>
          </w:tcPr>
          <w:p w14:paraId="51EB34F5">
            <w:pPr>
              <w:pStyle w:val="679"/>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1"/>
                <w:szCs w:val="21"/>
                <w:highlight w:val="none"/>
                <w:vertAlign w:val="baseline"/>
                <w:lang w:val="en-US" w:eastAsia="zh-CN"/>
                <w14:textFill>
                  <w14:solidFill>
                    <w14:schemeClr w14:val="tx1"/>
                  </w14:solidFill>
                </w14:textFill>
              </w:rPr>
              <w:t>2.45</w:t>
            </w:r>
            <w:r>
              <w:rPr>
                <w:rFonts w:hint="default" w:ascii="Times New Roman" w:hAnsi="Times New Roman" w:eastAsia="宋体" w:cs="Times New Roman"/>
                <w:color w:val="000000" w:themeColor="text1"/>
                <w:spacing w:val="-1"/>
                <w:szCs w:val="21"/>
                <w:highlight w:val="none"/>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pacing w:val="-1"/>
                <w:szCs w:val="21"/>
                <w:highlight w:val="none"/>
                <w:vertAlign w:val="superscript"/>
                <w:lang w:val="en-US" w:eastAsia="zh-CN"/>
                <w14:textFill>
                  <w14:solidFill>
                    <w14:schemeClr w14:val="tx1"/>
                  </w14:solidFill>
                </w14:textFill>
              </w:rPr>
              <w:t>-</w:t>
            </w:r>
            <w:r>
              <w:rPr>
                <w:rFonts w:hint="eastAsia" w:ascii="Times New Roman" w:hAnsi="Times New Roman" w:cs="Times New Roman"/>
                <w:color w:val="000000" w:themeColor="text1"/>
                <w:spacing w:val="-1"/>
                <w:szCs w:val="21"/>
                <w:highlight w:val="none"/>
                <w:vertAlign w:val="superscript"/>
                <w:lang w:val="en-US" w:eastAsia="zh-CN"/>
                <w14:textFill>
                  <w14:solidFill>
                    <w14:schemeClr w14:val="tx1"/>
                  </w14:solidFill>
                </w14:textFill>
              </w:rPr>
              <w:t>7</w:t>
            </w:r>
          </w:p>
        </w:tc>
      </w:tr>
    </w:tbl>
    <w:p w14:paraId="2743AE8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预测结果</w:t>
      </w:r>
      <w:r>
        <w:rPr>
          <w:rFonts w:hint="default" w:ascii="Times New Roman" w:hAnsi="Times New Roman" w:eastAsia="宋体" w:cs="Times New Roman"/>
          <w:b w:val="0"/>
          <w:bCs/>
          <w:color w:val="000000" w:themeColor="text1"/>
          <w:w w:val="100"/>
          <w:kern w:val="0"/>
          <w:sz w:val="24"/>
          <w:highlight w:val="none"/>
          <w:lang w:val="en-US" w:eastAsia="zh-CN"/>
          <w14:textFill>
            <w14:solidFill>
              <w14:schemeClr w14:val="tx1"/>
            </w14:solidFill>
          </w14:textFill>
        </w:rPr>
        <w:t>分析</w:t>
      </w:r>
    </w:p>
    <w:p w14:paraId="5A99526C">
      <w:pPr>
        <w:pStyle w:val="29"/>
        <w:keepNext w:val="0"/>
        <w:keepLines w:val="0"/>
        <w:pageBreakBefore w:val="0"/>
        <w:widowControl w:val="0"/>
        <w:kinsoku/>
        <w:wordWrap/>
        <w:overflowPunct/>
        <w:topLinePunct w:val="0"/>
        <w:autoSpaceDE w:val="0"/>
        <w:autoSpaceDN/>
        <w:bidi w:val="0"/>
        <w:adjustRightInd/>
        <w:snapToGrid/>
        <w:spacing w:after="0" w:line="480" w:lineRule="exact"/>
        <w:ind w:left="0"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本次土壤预测选择了项目区内最大的废石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场进行预测，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非正常工况下废石淋溶水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通过入渗形式进入周边土壤，可能会造成土壤环境影响。根据情景预测结果，本项目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废石淋溶水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如持续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入渗占地范围内土壤</w:t>
      </w:r>
      <w:r>
        <w:rPr>
          <w:rFonts w:hint="eastAsia" w:cs="Times New Roman"/>
          <w:color w:val="000000" w:themeColor="text1"/>
          <w:sz w:val="24"/>
          <w:szCs w:val="24"/>
          <w:highlight w:val="none"/>
          <w:lang w:val="en-US" w:eastAsia="zh-CN"/>
          <w14:textFill>
            <w14:solidFill>
              <w14:schemeClr w14:val="tx1"/>
            </w14:solidFill>
          </w14:textFill>
        </w:rPr>
        <w:t>13.31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年，则评价范围内单位质量表层中</w:t>
      </w:r>
      <w:r>
        <w:rPr>
          <w:rFonts w:hint="eastAsia" w:cs="Times New Roman"/>
          <w:color w:val="000000" w:themeColor="text1"/>
          <w:sz w:val="24"/>
          <w:szCs w:val="24"/>
          <w:highlight w:val="none"/>
          <w:lang w:val="en-US" w:eastAsia="zh-CN"/>
          <w14:textFill>
            <w14:solidFill>
              <w14:schemeClr w14:val="tx1"/>
            </w14:solidFill>
          </w14:textFill>
        </w:rPr>
        <w:t>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的含量将为</w:t>
      </w:r>
      <w:r>
        <w:rPr>
          <w:rFonts w:hint="eastAsia" w:cs="Times New Roman"/>
          <w:color w:val="000000" w:themeColor="text1"/>
          <w:sz w:val="24"/>
          <w:szCs w:val="24"/>
          <w:highlight w:val="none"/>
          <w:lang w:val="en-US" w:eastAsia="zh-CN"/>
          <w14:textFill>
            <w14:solidFill>
              <w14:schemeClr w14:val="tx1"/>
            </w14:solidFill>
          </w14:textFill>
        </w:rPr>
        <w:t>0.017700245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g/kg，总体增量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极小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，对区域土壤环境影响较小。</w:t>
      </w:r>
    </w:p>
    <w:p w14:paraId="03E32205">
      <w:pPr>
        <w:pStyle w:val="29"/>
        <w:keepNext w:val="0"/>
        <w:keepLines w:val="0"/>
        <w:pageBreakBefore w:val="0"/>
        <w:widowControl w:val="0"/>
        <w:kinsoku/>
        <w:wordWrap/>
        <w:overflowPunct/>
        <w:topLinePunct w:val="0"/>
        <w:autoSpaceDE w:val="0"/>
        <w:autoSpaceDN/>
        <w:bidi w:val="0"/>
        <w:adjustRightInd/>
        <w:snapToGrid/>
        <w:spacing w:after="0" w:line="480" w:lineRule="exact"/>
        <w:ind w:left="0"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场进行原土夯实等防渗措施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，能有效防止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废石淋溶水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下渗而对底部及周边土壤的影响。</w:t>
      </w:r>
    </w:p>
    <w:p w14:paraId="0B085DE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现状土壤环境质量监测结果表明：本项目各监测点土壤监测指标均不超标，低于GB36600-2018第二类建设用地筛选值，项目区域土壤现状环境质量良好。</w:t>
      </w:r>
    </w:p>
    <w:p w14:paraId="34066FE7">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bookmarkStart w:id="445" w:name="5.2.5.4预测评价方法及结果分析"/>
      <w:bookmarkEnd w:id="445"/>
      <w:bookmarkStart w:id="446" w:name="5.2.5.4预测评价方法及结果分析"/>
      <w:bookmarkEnd w:id="446"/>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w:t>
      </w:r>
      <w:r>
        <w:rPr>
          <w:rFonts w:hint="eastAsia" w:ascii="Times New Roman" w:hAnsi="Times New Roman" w:cs="Times New Roman"/>
          <w:b/>
          <w:bCs w:val="0"/>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kern w:val="0"/>
          <w:sz w:val="24"/>
          <w:szCs w:val="24"/>
          <w:highlight w:val="none"/>
          <w:lang w:val="en-US" w:eastAsia="zh-CN"/>
          <w14:textFill>
            <w14:solidFill>
              <w14:schemeClr w14:val="tx1"/>
            </w14:solidFill>
          </w14:textFill>
        </w:rPr>
        <w:t>5生态影响型预测评价方法及结果分析</w:t>
      </w:r>
    </w:p>
    <w:p w14:paraId="400105E3">
      <w:pPr>
        <w:pStyle w:val="29"/>
        <w:keepNext w:val="0"/>
        <w:keepLines w:val="0"/>
        <w:pageBreakBefore w:val="0"/>
        <w:widowControl w:val="0"/>
        <w:kinsoku/>
        <w:wordWrap/>
        <w:overflowPunct/>
        <w:topLinePunct w:val="0"/>
        <w:autoSpaceDE w:val="0"/>
        <w:autoSpaceDN/>
        <w:bidi w:val="0"/>
        <w:adjustRightInd/>
        <w:snapToGrid/>
        <w:spacing w:after="0" w:line="480" w:lineRule="exact"/>
        <w:ind w:left="0" w:firstLine="480" w:firstLineChars="200"/>
        <w:jc w:val="both"/>
        <w:textAlignment w:val="auto"/>
        <w:rPr>
          <w:rFonts w:hint="default" w:ascii="Times New Roman" w:hAnsi="Times New Roman" w:eastAsia="宋体" w:cs="Times New Roman"/>
          <w:color w:val="000000" w:themeColor="text1"/>
          <w:sz w:val="24"/>
          <w:szCs w:val="24"/>
          <w:highlight w:val="none"/>
          <w:lang w:val="de-DE"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在运营期对土壤的生态型影响主要表现为矿山开采活动、车辆运输过程的碾压、施工人员践踏等活动，改变土壤的紧密度和坚实度，造成土壤板结、通透性差，使土壤持水量降低。</w:t>
      </w:r>
      <w:r>
        <w:rPr>
          <w:rFonts w:hint="eastAsia"/>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主要从对土壤的侵蚀和改变土地利用状态两个方面进行评价。</w:t>
      </w:r>
    </w:p>
    <w:p w14:paraId="23A153CE">
      <w:pPr>
        <w:pStyle w:val="29"/>
        <w:keepNext w:val="0"/>
        <w:keepLines w:val="0"/>
        <w:pageBreakBefore w:val="0"/>
        <w:widowControl w:val="0"/>
        <w:kinsoku/>
        <w:wordWrap/>
        <w:overflowPunct/>
        <w:topLinePunct w:val="0"/>
        <w:autoSpaceDE w:val="0"/>
        <w:autoSpaceDN/>
        <w:bidi w:val="0"/>
        <w:adjustRightInd/>
        <w:snapToGrid/>
        <w:spacing w:after="0" w:line="480" w:lineRule="exact"/>
        <w:ind w:left="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（1）土壤侵蚀评价</w:t>
      </w:r>
    </w:p>
    <w:p w14:paraId="6520AAC6">
      <w:pPr>
        <w:pStyle w:val="29"/>
        <w:keepNext w:val="0"/>
        <w:keepLines w:val="0"/>
        <w:pageBreakBefore w:val="0"/>
        <w:widowControl w:val="0"/>
        <w:kinsoku/>
        <w:wordWrap/>
        <w:overflowPunct/>
        <w:topLinePunct w:val="0"/>
        <w:autoSpaceDE w:val="0"/>
        <w:autoSpaceDN/>
        <w:bidi w:val="0"/>
        <w:adjustRightInd/>
        <w:snapToGrid/>
        <w:spacing w:after="0" w:line="480" w:lineRule="exact"/>
        <w:ind w:left="0" w:firstLine="480" w:firstLineChars="20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项目建设可能产生的土壤侵蚀形式见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5.2-</w:t>
      </w:r>
      <w:r>
        <w:rPr>
          <w:rFonts w:hint="eastAsia"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FE3CE18">
      <w:pPr>
        <w:pageBreakBefore w:val="0"/>
        <w:wordWrap/>
        <w:topLinePunct w:val="0"/>
        <w:autoSpaceDE w:val="0"/>
        <w:bidi w:val="0"/>
        <w:adjustRightInd w:val="0"/>
        <w:snapToGrid w:val="0"/>
        <w:spacing w:line="480" w:lineRule="exact"/>
        <w:jc w:val="center"/>
        <w:rPr>
          <w:rFonts w:hint="default" w:ascii="Times New Roman" w:hAnsi="Times New Roman" w:eastAsia="宋体" w:cs="Times New Roman"/>
          <w:b/>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b/>
          <w:color w:val="000000" w:themeColor="text1"/>
          <w:kern w:val="0"/>
          <w:sz w:val="24"/>
          <w:highlight w:val="none"/>
          <w:lang w:bidi="ar"/>
          <w14:textFill>
            <w14:solidFill>
              <w14:schemeClr w14:val="tx1"/>
            </w14:solidFill>
          </w14:textFill>
        </w:rPr>
        <w:t>表</w:t>
      </w:r>
      <w:r>
        <w:rPr>
          <w:rFonts w:hint="default" w:ascii="Times New Roman" w:hAnsi="Times New Roman" w:eastAsia="宋体" w:cs="Times New Roman"/>
          <w:b/>
          <w:color w:val="000000" w:themeColor="text1"/>
          <w:kern w:val="0"/>
          <w:sz w:val="24"/>
          <w:highlight w:val="none"/>
          <w:lang w:val="en-US" w:eastAsia="zh-CN" w:bidi="ar"/>
          <w14:textFill>
            <w14:solidFill>
              <w14:schemeClr w14:val="tx1"/>
            </w14:solidFill>
          </w14:textFill>
        </w:rPr>
        <w:t>5.2-</w:t>
      </w:r>
      <w:r>
        <w:rPr>
          <w:rFonts w:hint="eastAsia" w:cs="Times New Roman"/>
          <w:b/>
          <w:color w:val="000000" w:themeColor="text1"/>
          <w:kern w:val="0"/>
          <w:sz w:val="24"/>
          <w:highlight w:val="none"/>
          <w:lang w:val="en-US" w:eastAsia="zh-CN" w:bidi="ar"/>
          <w14:textFill>
            <w14:solidFill>
              <w14:schemeClr w14:val="tx1"/>
            </w14:solidFill>
          </w14:textFill>
        </w:rPr>
        <w:t>24</w:t>
      </w:r>
      <w:r>
        <w:rPr>
          <w:rFonts w:hint="default" w:ascii="Times New Roman" w:hAnsi="Times New Roman" w:eastAsia="宋体" w:cs="Times New Roman"/>
          <w:b/>
          <w:color w:val="000000" w:themeColor="text1"/>
          <w:kern w:val="0"/>
          <w:sz w:val="24"/>
          <w:highlight w:val="none"/>
          <w:lang w:val="en-US" w:eastAsia="zh-CN" w:bidi="ar"/>
          <w14:textFill>
            <w14:solidFill>
              <w14:schemeClr w14:val="tx1"/>
            </w14:solidFill>
          </w14:textFill>
        </w:rPr>
        <w:t xml:space="preserve">   </w:t>
      </w:r>
      <w:r>
        <w:rPr>
          <w:rFonts w:hint="default" w:ascii="Times New Roman" w:hAnsi="Times New Roman" w:eastAsia="宋体" w:cs="Times New Roman"/>
          <w:b/>
          <w:color w:val="000000" w:themeColor="text1"/>
          <w:kern w:val="0"/>
          <w:sz w:val="24"/>
          <w:highlight w:val="none"/>
          <w:lang w:bidi="ar"/>
          <w14:textFill>
            <w14:solidFill>
              <w14:schemeClr w14:val="tx1"/>
            </w14:solidFill>
          </w14:textFill>
        </w:rPr>
        <w:t xml:space="preserve"> 项目可能产生的土壤侵蚀形式</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5"/>
        <w:gridCol w:w="3374"/>
        <w:gridCol w:w="3903"/>
      </w:tblGrid>
      <w:tr w14:paraId="2C9A3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730" w:type="pct"/>
            <w:noWrap w:val="0"/>
            <w:vAlign w:val="center"/>
          </w:tcPr>
          <w:p w14:paraId="0CF077D6">
            <w:pPr>
              <w:pStyle w:val="257"/>
              <w:keepNext w:val="0"/>
              <w:keepLines w:val="0"/>
              <w:pageBreakBefore w:val="0"/>
              <w:suppressLineNumbers w:val="0"/>
              <w:tabs>
                <w:tab w:val="left" w:pos="360"/>
                <w:tab w:val="left" w:pos="1620"/>
                <w:tab w:val="clear" w:pos="1119"/>
              </w:tabs>
              <w:kinsoku/>
              <w:wordWrap/>
              <w:overflowPunct/>
              <w:topLinePunct w:val="0"/>
              <w:autoSpaceDE w:val="0"/>
              <w:autoSpaceDN/>
              <w:bidi w:val="0"/>
              <w:adjustRightInd/>
              <w:spacing w:before="0" w:beforeAutospacing="0" w:afterAutospacing="0" w:line="360" w:lineRule="exact"/>
              <w:ind w:left="0" w:leftChars="0" w:right="0" w:firstLine="0" w:firstLineChars="0"/>
              <w:jc w:val="center"/>
              <w:textAlignment w:val="baseline"/>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发生区域</w:t>
            </w:r>
          </w:p>
        </w:tc>
        <w:tc>
          <w:tcPr>
            <w:tcW w:w="1979" w:type="pct"/>
            <w:noWrap w:val="0"/>
            <w:vAlign w:val="center"/>
          </w:tcPr>
          <w:p w14:paraId="118EAD43">
            <w:pPr>
              <w:pStyle w:val="257"/>
              <w:keepNext w:val="0"/>
              <w:keepLines w:val="0"/>
              <w:pageBreakBefore w:val="0"/>
              <w:suppressLineNumbers w:val="0"/>
              <w:tabs>
                <w:tab w:val="left" w:pos="360"/>
                <w:tab w:val="left" w:pos="1620"/>
                <w:tab w:val="clear" w:pos="1119"/>
              </w:tabs>
              <w:kinsoku/>
              <w:wordWrap/>
              <w:overflowPunct/>
              <w:topLinePunct w:val="0"/>
              <w:autoSpaceDE w:val="0"/>
              <w:autoSpaceDN/>
              <w:bidi w:val="0"/>
              <w:adjustRightInd/>
              <w:spacing w:before="0" w:beforeAutospacing="0" w:afterAutospacing="0" w:line="360" w:lineRule="exact"/>
              <w:ind w:right="0" w:firstLine="0" w:firstLineChars="0"/>
              <w:jc w:val="center"/>
              <w:textAlignment w:val="baseline"/>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工程建设特点</w:t>
            </w:r>
          </w:p>
        </w:tc>
        <w:tc>
          <w:tcPr>
            <w:tcW w:w="2289" w:type="pct"/>
            <w:noWrap w:val="0"/>
            <w:vAlign w:val="center"/>
          </w:tcPr>
          <w:p w14:paraId="23502692">
            <w:pPr>
              <w:pStyle w:val="257"/>
              <w:keepNext w:val="0"/>
              <w:keepLines w:val="0"/>
              <w:pageBreakBefore w:val="0"/>
              <w:suppressLineNumbers w:val="0"/>
              <w:tabs>
                <w:tab w:val="left" w:pos="360"/>
                <w:tab w:val="left" w:pos="1620"/>
                <w:tab w:val="clear" w:pos="1119"/>
              </w:tabs>
              <w:kinsoku/>
              <w:wordWrap/>
              <w:overflowPunct/>
              <w:topLinePunct w:val="0"/>
              <w:autoSpaceDE w:val="0"/>
              <w:autoSpaceDN/>
              <w:bidi w:val="0"/>
              <w:adjustRightInd/>
              <w:spacing w:before="0" w:beforeAutospacing="0" w:afterAutospacing="0" w:line="360" w:lineRule="exact"/>
              <w:ind w:right="0" w:firstLine="0" w:firstLineChars="0"/>
              <w:jc w:val="center"/>
              <w:textAlignment w:val="baseline"/>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侵蚀形式</w:t>
            </w:r>
          </w:p>
        </w:tc>
      </w:tr>
      <w:tr w14:paraId="0001C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730" w:type="pct"/>
            <w:noWrap w:val="0"/>
            <w:vAlign w:val="center"/>
          </w:tcPr>
          <w:p w14:paraId="524B5B58">
            <w:pPr>
              <w:keepNext w:val="0"/>
              <w:keepLines w:val="0"/>
              <w:pageBreakBefore w:val="0"/>
              <w:suppressLineNumbers w:val="0"/>
              <w:kinsoku/>
              <w:wordWrap/>
              <w:overflowPunct/>
              <w:topLinePunct w:val="0"/>
              <w:autoSpaceDE w:val="0"/>
              <w:autoSpaceDN/>
              <w:bidi w:val="0"/>
              <w:adjustRightInd/>
              <w:spacing w:before="0" w:beforeAutospacing="0" w:after="0" w:afterAutospacing="0" w:line="360" w:lineRule="exact"/>
              <w:ind w:left="0" w:leftChars="0" w:right="0" w:firstLine="0" w:firstLineChars="0"/>
              <w:jc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废石堆场</w:t>
            </w:r>
          </w:p>
        </w:tc>
        <w:tc>
          <w:tcPr>
            <w:tcW w:w="1979" w:type="pct"/>
            <w:noWrap w:val="0"/>
            <w:vAlign w:val="center"/>
          </w:tcPr>
          <w:p w14:paraId="4EFA5760">
            <w:pPr>
              <w:keepNext w:val="0"/>
              <w:keepLines w:val="0"/>
              <w:pageBreakBefore w:val="0"/>
              <w:suppressLineNumbers w:val="0"/>
              <w:kinsoku/>
              <w:wordWrap/>
              <w:overflowPunct/>
              <w:topLinePunct w:val="0"/>
              <w:autoSpaceDE w:val="0"/>
              <w:autoSpaceDN/>
              <w:bidi w:val="0"/>
              <w:adjustRightInd/>
              <w:spacing w:before="0" w:beforeAutospacing="0" w:after="0" w:afterAutospacing="0" w:line="360" w:lineRule="exact"/>
              <w:ind w:left="0" w:leftChars="0" w:right="0" w:firstLine="0" w:firstLineChars="0"/>
              <w:jc w:val="center"/>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土体疏松堆放，无植被保护，边坡表面裸露</w:t>
            </w:r>
          </w:p>
        </w:tc>
        <w:tc>
          <w:tcPr>
            <w:tcW w:w="2289" w:type="pct"/>
            <w:noWrap w:val="0"/>
            <w:vAlign w:val="center"/>
          </w:tcPr>
          <w:p w14:paraId="4690A7F9">
            <w:pPr>
              <w:keepNext w:val="0"/>
              <w:keepLines w:val="0"/>
              <w:pageBreakBefore w:val="0"/>
              <w:suppressLineNumbers w:val="0"/>
              <w:kinsoku/>
              <w:wordWrap/>
              <w:overflowPunct/>
              <w:topLinePunct w:val="0"/>
              <w:autoSpaceDE w:val="0"/>
              <w:autoSpaceDN/>
              <w:bidi w:val="0"/>
              <w:adjustRightInd/>
              <w:spacing w:before="0" w:beforeAutospacing="0" w:after="0" w:afterAutospacing="0" w:line="360" w:lineRule="exact"/>
              <w:ind w:left="0" w:right="0" w:firstLine="0" w:firstLineChars="0"/>
              <w:jc w:val="center"/>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击溅、层次面蚀、沉陷侵蚀、沟蚀、重力侵蚀、滑坡</w:t>
            </w:r>
          </w:p>
        </w:tc>
      </w:tr>
    </w:tbl>
    <w:p w14:paraId="6931DFB0">
      <w:pPr>
        <w:pStyle w:val="962"/>
        <w:pageBreakBefore w:val="0"/>
        <w:wordWrap/>
        <w:topLinePunct w:val="0"/>
        <w:autoSpaceDE w:val="0"/>
        <w:bidi w:val="0"/>
        <w:spacing w:line="480" w:lineRule="exact"/>
        <w:ind w:firstLine="480"/>
        <w:jc w:val="left"/>
        <w:rPr>
          <w:rFonts w:hint="eastAsia"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矿区开采对土壤侵蚀影响较大，但随着矿区的复垦和重建，此影响将随之消失</w:t>
      </w:r>
      <w:r>
        <w:rPr>
          <w:rFonts w:hint="eastAsia" w:eastAsia="宋体" w:cs="Times New Roman"/>
          <w:color w:val="000000" w:themeColor="text1"/>
          <w:highlight w:val="none"/>
          <w:lang w:eastAsia="zh-CN"/>
          <w14:textFill>
            <w14:solidFill>
              <w14:schemeClr w14:val="tx1"/>
            </w14:solidFill>
          </w14:textFill>
        </w:rPr>
        <w:t>。</w:t>
      </w:r>
    </w:p>
    <w:p w14:paraId="7F79CB1A">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left"/>
        <w:textAlignment w:val="auto"/>
        <w:outlineLvl w:val="9"/>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）土壤盐化综合评分法</w:t>
      </w:r>
    </w:p>
    <w:p w14:paraId="77BE08D6">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left"/>
        <w:textAlignment w:val="auto"/>
        <w:outlineLvl w:val="9"/>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根据表5.2-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lang w:eastAsia="zh-CN"/>
          <w14:textFill>
            <w14:solidFill>
              <w14:schemeClr w14:val="tx1"/>
            </w14:solidFill>
          </w14:textFill>
        </w:rPr>
        <w:t>选取各项影响因素的分值与权重，采用下列公式计算土壤盐化综合评分值（Sa）。</w:t>
      </w:r>
    </w:p>
    <w:p w14:paraId="0A0D59F9">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left"/>
        <w:textAlignment w:val="auto"/>
        <w:outlineLvl w:val="9"/>
        <w:rPr>
          <w:rFonts w:hint="default" w:ascii="Times New Roman" w:hAnsi="Times New Roman" w:eastAsia="宋体" w:cs="Times New Roman"/>
          <w:i w:val="0"/>
          <w:color w:val="000000" w:themeColor="text1"/>
          <w:spacing w:val="0"/>
          <w:w w:val="100"/>
          <w:position w:val="0"/>
          <w:sz w:val="24"/>
          <w:szCs w:val="24"/>
          <w14:textFill>
            <w14:solidFill>
              <w14:schemeClr w14:val="tx1"/>
            </w14:solidFill>
          </w14:textFill>
        </w:rPr>
      </w:pPr>
      <w:r>
        <w:rPr>
          <w:rFonts w:hint="default" w:ascii="Times New Roman" w:hAnsi="Times New Roman" w:eastAsia="宋体" w:cs="Times New Roman"/>
          <w:i w:val="0"/>
          <w:color w:val="000000" w:themeColor="text1"/>
          <w:spacing w:val="0"/>
          <w:w w:val="100"/>
          <w:position w:val="0"/>
          <w:sz w:val="24"/>
          <w:szCs w:val="24"/>
          <w14:textFill>
            <w14:solidFill>
              <w14:schemeClr w14:val="tx1"/>
            </w14:solidFill>
          </w14:textFill>
        </w:rPr>
        <w:drawing>
          <wp:anchor distT="0" distB="0" distL="114300" distR="114300" simplePos="0" relativeHeight="251664384" behindDoc="0" locked="0" layoutInCell="1" allowOverlap="1">
            <wp:simplePos x="0" y="0"/>
            <wp:positionH relativeFrom="column">
              <wp:posOffset>1856740</wp:posOffset>
            </wp:positionH>
            <wp:positionV relativeFrom="paragraph">
              <wp:posOffset>1905</wp:posOffset>
            </wp:positionV>
            <wp:extent cx="1572895" cy="446405"/>
            <wp:effectExtent l="0" t="0" r="8255" b="10795"/>
            <wp:wrapTopAndBottom/>
            <wp:docPr id="122" name="图片 48" descr="1596026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8" descr="1596026319(1)"/>
                    <pic:cNvPicPr>
                      <a:picLocks noChangeAspect="1"/>
                    </pic:cNvPicPr>
                  </pic:nvPicPr>
                  <pic:blipFill>
                    <a:blip r:embed="rId62"/>
                    <a:stretch>
                      <a:fillRect/>
                    </a:stretch>
                  </pic:blipFill>
                  <pic:spPr>
                    <a:xfrm>
                      <a:off x="0" y="0"/>
                      <a:ext cx="1572895" cy="446405"/>
                    </a:xfrm>
                    <a:prstGeom prst="rect">
                      <a:avLst/>
                    </a:prstGeom>
                    <a:noFill/>
                    <a:ln>
                      <a:noFill/>
                    </a:ln>
                  </pic:spPr>
                </pic:pic>
              </a:graphicData>
            </a:graphic>
          </wp:anchor>
        </w:drawing>
      </w:r>
      <w:r>
        <w:rPr>
          <w:rFonts w:hint="default" w:ascii="Times New Roman" w:hAnsi="Times New Roman" w:eastAsia="宋体" w:cs="Times New Roman"/>
          <w:i w:val="0"/>
          <w:color w:val="000000" w:themeColor="text1"/>
          <w:spacing w:val="0"/>
          <w:w w:val="100"/>
          <w:position w:val="0"/>
          <w:sz w:val="24"/>
          <w:szCs w:val="24"/>
          <w14:textFill>
            <w14:solidFill>
              <w14:schemeClr w14:val="tx1"/>
            </w14:solidFill>
          </w14:textFill>
        </w:rPr>
        <w:t>式中：n</w:t>
      </w:r>
      <w:r>
        <w:rPr>
          <w:rFonts w:hint="eastAsia" w:cs="Times New Roman"/>
          <w:i w:val="0"/>
          <w:color w:val="000000" w:themeColor="text1"/>
          <w:spacing w:val="0"/>
          <w:w w:val="100"/>
          <w:position w:val="0"/>
          <w:sz w:val="24"/>
          <w:szCs w:val="24"/>
          <w:lang w:val="en-US" w:eastAsia="zh-CN"/>
          <w14:textFill>
            <w14:solidFill>
              <w14:schemeClr w14:val="tx1"/>
            </w14:solidFill>
          </w14:textFill>
        </w:rPr>
        <w:t>——</w:t>
      </w:r>
      <w:r>
        <w:rPr>
          <w:rFonts w:hint="default" w:ascii="Times New Roman" w:hAnsi="Times New Roman" w:eastAsia="宋体" w:cs="Times New Roman"/>
          <w:i w:val="0"/>
          <w:color w:val="000000" w:themeColor="text1"/>
          <w:spacing w:val="0"/>
          <w:w w:val="100"/>
          <w:position w:val="0"/>
          <w:sz w:val="24"/>
          <w:szCs w:val="24"/>
          <w14:textFill>
            <w14:solidFill>
              <w14:schemeClr w14:val="tx1"/>
            </w14:solidFill>
          </w14:textFill>
        </w:rPr>
        <w:t>影响因素指标数目；Ix</w:t>
      </w:r>
      <w:r>
        <w:rPr>
          <w:rFonts w:hint="default" w:ascii="Times New Roman" w:hAnsi="Times New Roman" w:eastAsia="宋体" w:cs="Times New Roman"/>
          <w:i w:val="0"/>
          <w:color w:val="000000" w:themeColor="text1"/>
          <w:spacing w:val="0"/>
          <w:w w:val="100"/>
          <w:position w:val="0"/>
          <w:sz w:val="24"/>
          <w:szCs w:val="24"/>
          <w:vertAlign w:val="subscript"/>
          <w14:textFill>
            <w14:solidFill>
              <w14:schemeClr w14:val="tx1"/>
            </w14:solidFill>
          </w14:textFill>
        </w:rPr>
        <w:t>i</w:t>
      </w:r>
      <w:r>
        <w:rPr>
          <w:rFonts w:hint="eastAsia" w:cs="Times New Roman"/>
          <w:i w:val="0"/>
          <w:color w:val="000000" w:themeColor="text1"/>
          <w:spacing w:val="0"/>
          <w:w w:val="100"/>
          <w:position w:val="0"/>
          <w:sz w:val="24"/>
          <w:szCs w:val="24"/>
          <w:vertAlign w:val="baseline"/>
          <w:lang w:val="en-US" w:eastAsia="zh-CN"/>
          <w14:textFill>
            <w14:solidFill>
              <w14:schemeClr w14:val="tx1"/>
            </w14:solidFill>
          </w14:textFill>
        </w:rPr>
        <w:t>——</w:t>
      </w:r>
      <w:r>
        <w:rPr>
          <w:rFonts w:hint="default" w:ascii="Times New Roman" w:hAnsi="Times New Roman" w:eastAsia="宋体" w:cs="Times New Roman"/>
          <w:i w:val="0"/>
          <w:color w:val="000000" w:themeColor="text1"/>
          <w:spacing w:val="0"/>
          <w:w w:val="100"/>
          <w:position w:val="0"/>
          <w:sz w:val="24"/>
          <w:szCs w:val="24"/>
          <w:vertAlign w:val="baseline"/>
          <w14:textFill>
            <w14:solidFill>
              <w14:schemeClr w14:val="tx1"/>
            </w14:solidFill>
          </w14:textFill>
        </w:rPr>
        <w:t>影响因素i指标评分；Wx</w:t>
      </w:r>
      <w:r>
        <w:rPr>
          <w:rFonts w:hint="default" w:ascii="Times New Roman" w:hAnsi="Times New Roman" w:eastAsia="宋体" w:cs="Times New Roman"/>
          <w:i w:val="0"/>
          <w:color w:val="000000" w:themeColor="text1"/>
          <w:spacing w:val="0"/>
          <w:w w:val="100"/>
          <w:position w:val="0"/>
          <w:sz w:val="24"/>
          <w:szCs w:val="24"/>
          <w:vertAlign w:val="subscript"/>
          <w14:textFill>
            <w14:solidFill>
              <w14:schemeClr w14:val="tx1"/>
            </w14:solidFill>
          </w14:textFill>
        </w:rPr>
        <w:t>i</w:t>
      </w:r>
      <w:r>
        <w:rPr>
          <w:rFonts w:hint="eastAsia" w:cs="Times New Roman"/>
          <w:i w:val="0"/>
          <w:color w:val="000000" w:themeColor="text1"/>
          <w:spacing w:val="0"/>
          <w:w w:val="100"/>
          <w:position w:val="0"/>
          <w:sz w:val="24"/>
          <w:szCs w:val="24"/>
          <w:vertAlign w:val="baseline"/>
          <w:lang w:val="en-US" w:eastAsia="zh-CN"/>
          <w14:textFill>
            <w14:solidFill>
              <w14:schemeClr w14:val="tx1"/>
            </w14:solidFill>
          </w14:textFill>
        </w:rPr>
        <w:t>——</w:t>
      </w:r>
      <w:r>
        <w:rPr>
          <w:rFonts w:hint="default" w:ascii="Times New Roman" w:hAnsi="Times New Roman" w:eastAsia="宋体" w:cs="Times New Roman"/>
          <w:i w:val="0"/>
          <w:color w:val="000000" w:themeColor="text1"/>
          <w:spacing w:val="0"/>
          <w:w w:val="100"/>
          <w:position w:val="0"/>
          <w:sz w:val="24"/>
          <w:szCs w:val="24"/>
          <w:vertAlign w:val="baseline"/>
          <w14:textFill>
            <w14:solidFill>
              <w14:schemeClr w14:val="tx1"/>
            </w14:solidFill>
          </w14:textFill>
        </w:rPr>
        <w:t>影响因素i指标权重。</w:t>
      </w:r>
    </w:p>
    <w:p w14:paraId="6657685A">
      <w:pPr>
        <w:keepNext w:val="0"/>
        <w:keepLines w:val="0"/>
        <w:pageBreakBefore w:val="0"/>
        <w:widowControl w:val="0"/>
        <w:tabs>
          <w:tab w:val="left" w:pos="1214"/>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宋体" w:cs="Times New Roman"/>
          <w:b/>
          <w:color w:val="000000" w:themeColor="text1"/>
          <w:spacing w:val="0"/>
          <w:sz w:val="24"/>
          <w14:textFill>
            <w14:solidFill>
              <w14:schemeClr w14:val="tx1"/>
            </w14:solidFill>
          </w14:textFill>
        </w:rPr>
      </w:pPr>
      <w:r>
        <w:rPr>
          <w:rFonts w:hint="default" w:ascii="Times New Roman" w:hAnsi="Times New Roman" w:eastAsia="宋体" w:cs="Times New Roman"/>
          <w:b/>
          <w:color w:val="000000" w:themeColor="text1"/>
          <w:spacing w:val="0"/>
          <w:sz w:val="24"/>
          <w14:textFill>
            <w14:solidFill>
              <w14:schemeClr w14:val="tx1"/>
            </w14:solidFill>
          </w14:textFill>
        </w:rPr>
        <w:t>表5.2-</w:t>
      </w:r>
      <w:r>
        <w:rPr>
          <w:rFonts w:hint="eastAsia" w:ascii="Times New Roman" w:hAnsi="Times New Roman" w:eastAsia="宋体" w:cs="Times New Roman"/>
          <w:b/>
          <w:color w:val="000000" w:themeColor="text1"/>
          <w:spacing w:val="0"/>
          <w:sz w:val="24"/>
          <w:lang w:val="en-US" w:eastAsia="zh-CN"/>
          <w14:textFill>
            <w14:solidFill>
              <w14:schemeClr w14:val="tx1"/>
            </w14:solidFill>
          </w14:textFill>
        </w:rPr>
        <w:t>2</w:t>
      </w:r>
      <w:r>
        <w:rPr>
          <w:rFonts w:hint="eastAsia" w:cs="Times New Roman"/>
          <w:b/>
          <w:color w:val="000000" w:themeColor="text1"/>
          <w:spacing w:val="0"/>
          <w:sz w:val="24"/>
          <w:lang w:val="en-US" w:eastAsia="zh-CN"/>
          <w14:textFill>
            <w14:solidFill>
              <w14:schemeClr w14:val="tx1"/>
            </w14:solidFill>
          </w14:textFill>
        </w:rPr>
        <w:t>5</w:t>
      </w:r>
      <w:r>
        <w:rPr>
          <w:rFonts w:hint="default" w:ascii="Times New Roman" w:hAnsi="Times New Roman" w:eastAsia="宋体" w:cs="Times New Roman"/>
          <w:b/>
          <w:color w:val="000000" w:themeColor="text1"/>
          <w:spacing w:val="0"/>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sz w:val="24"/>
          <w14:textFill>
            <w14:solidFill>
              <w14:schemeClr w14:val="tx1"/>
            </w14:solidFill>
          </w14:textFill>
        </w:rPr>
        <w:t>土壤盐化影响因素赋值表</w:t>
      </w:r>
    </w:p>
    <w:tbl>
      <w:tblPr>
        <w:tblStyle w:val="79"/>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778"/>
        <w:gridCol w:w="1127"/>
        <w:gridCol w:w="1389"/>
        <w:gridCol w:w="1382"/>
        <w:gridCol w:w="1019"/>
        <w:gridCol w:w="638"/>
      </w:tblGrid>
      <w:tr w14:paraId="41A3EF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4" w:hRule="atLeast"/>
          <w:jc w:val="center"/>
        </w:trPr>
        <w:tc>
          <w:tcPr>
            <w:tcW w:w="1667" w:type="pct"/>
            <w:vMerge w:val="restart"/>
            <w:tcBorders>
              <w:bottom w:val="single" w:color="000000" w:sz="4" w:space="0"/>
              <w:right w:val="single" w:color="000000" w:sz="4" w:space="0"/>
            </w:tcBorders>
            <w:noWrap w:val="0"/>
            <w:vAlign w:val="center"/>
          </w:tcPr>
          <w:p w14:paraId="7001A3A7">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影响因素</w:t>
            </w:r>
          </w:p>
        </w:tc>
        <w:tc>
          <w:tcPr>
            <w:tcW w:w="2949" w:type="pct"/>
            <w:gridSpan w:val="4"/>
            <w:tcBorders>
              <w:left w:val="single" w:color="000000" w:sz="4" w:space="0"/>
              <w:bottom w:val="single" w:color="000000" w:sz="4" w:space="0"/>
              <w:right w:val="single" w:color="000000" w:sz="4" w:space="0"/>
            </w:tcBorders>
            <w:noWrap w:val="0"/>
            <w:vAlign w:val="center"/>
          </w:tcPr>
          <w:p w14:paraId="7F7805D2">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i w:val="0"/>
                <w:iCs w:val="0"/>
                <w:color w:val="000000" w:themeColor="text1"/>
                <w:w w:val="100"/>
                <w:kern w:val="0"/>
                <w:sz w:val="21"/>
                <w14:textFill>
                  <w14:solidFill>
                    <w14:schemeClr w14:val="tx1"/>
                  </w14:solidFill>
                </w14:textFill>
              </w:rPr>
            </w:pPr>
            <w:r>
              <w:rPr>
                <w:rFonts w:hint="default" w:ascii="Times New Roman" w:hAnsi="Times New Roman" w:eastAsia="宋体" w:cs="Times New Roman"/>
                <w:b/>
                <w:bCs/>
                <w:i w:val="0"/>
                <w:iCs w:val="0"/>
                <w:color w:val="000000" w:themeColor="text1"/>
                <w:w w:val="100"/>
                <w:kern w:val="0"/>
                <w:sz w:val="21"/>
                <w14:textFill>
                  <w14:solidFill>
                    <w14:schemeClr w14:val="tx1"/>
                  </w14:solidFill>
                </w14:textFill>
              </w:rPr>
              <w:t>分值</w:t>
            </w:r>
          </w:p>
        </w:tc>
        <w:tc>
          <w:tcPr>
            <w:tcW w:w="383" w:type="pct"/>
            <w:vMerge w:val="restart"/>
            <w:tcBorders>
              <w:left w:val="single" w:color="000000" w:sz="4" w:space="0"/>
              <w:bottom w:val="single" w:color="000000" w:sz="4" w:space="0"/>
            </w:tcBorders>
            <w:noWrap w:val="0"/>
            <w:vAlign w:val="center"/>
          </w:tcPr>
          <w:p w14:paraId="43143325">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i w:val="0"/>
                <w:iCs w:val="0"/>
                <w:color w:val="000000" w:themeColor="text1"/>
                <w:w w:val="100"/>
                <w:kern w:val="0"/>
                <w:sz w:val="21"/>
                <w14:textFill>
                  <w14:solidFill>
                    <w14:schemeClr w14:val="tx1"/>
                  </w14:solidFill>
                </w14:textFill>
              </w:rPr>
            </w:pPr>
            <w:r>
              <w:rPr>
                <w:rFonts w:hint="default" w:ascii="Times New Roman" w:hAnsi="Times New Roman" w:eastAsia="宋体" w:cs="Times New Roman"/>
                <w:b/>
                <w:bCs/>
                <w:i w:val="0"/>
                <w:iCs w:val="0"/>
                <w:color w:val="000000" w:themeColor="text1"/>
                <w:w w:val="100"/>
                <w:kern w:val="0"/>
                <w:sz w:val="21"/>
                <w14:textFill>
                  <w14:solidFill>
                    <w14:schemeClr w14:val="tx1"/>
                  </w14:solidFill>
                </w14:textFill>
              </w:rPr>
              <w:t>权重</w:t>
            </w:r>
          </w:p>
        </w:tc>
      </w:tr>
      <w:tr w14:paraId="50927F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1667" w:type="pct"/>
            <w:vMerge w:val="continue"/>
            <w:tcBorders>
              <w:top w:val="nil"/>
              <w:bottom w:val="single" w:color="000000" w:sz="4" w:space="0"/>
              <w:right w:val="single" w:color="000000" w:sz="4" w:space="0"/>
            </w:tcBorders>
            <w:noWrap w:val="0"/>
            <w:vAlign w:val="center"/>
          </w:tcPr>
          <w:p w14:paraId="4B1E870B">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14:textFill>
                  <w14:solidFill>
                    <w14:schemeClr w14:val="tx1"/>
                  </w14:solidFill>
                </w14:textFill>
              </w:rPr>
            </w:pPr>
          </w:p>
        </w:tc>
        <w:tc>
          <w:tcPr>
            <w:tcW w:w="676" w:type="pct"/>
            <w:tcBorders>
              <w:top w:val="single" w:color="000000" w:sz="4" w:space="0"/>
              <w:left w:val="single" w:color="000000" w:sz="4" w:space="0"/>
              <w:bottom w:val="single" w:color="000000" w:sz="4" w:space="0"/>
              <w:right w:val="single" w:color="000000" w:sz="4" w:space="0"/>
            </w:tcBorders>
            <w:noWrap w:val="0"/>
            <w:vAlign w:val="center"/>
          </w:tcPr>
          <w:p w14:paraId="21B13401">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0分</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E19FA05">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2分</w:t>
            </w:r>
          </w:p>
        </w:tc>
        <w:tc>
          <w:tcPr>
            <w:tcW w:w="829" w:type="pct"/>
            <w:tcBorders>
              <w:top w:val="single" w:color="000000" w:sz="4" w:space="0"/>
              <w:left w:val="single" w:color="000000" w:sz="4" w:space="0"/>
              <w:bottom w:val="single" w:color="000000" w:sz="4" w:space="0"/>
              <w:right w:val="single" w:color="000000" w:sz="4" w:space="0"/>
            </w:tcBorders>
            <w:noWrap w:val="0"/>
            <w:vAlign w:val="center"/>
          </w:tcPr>
          <w:p w14:paraId="6FE73293">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4分</w:t>
            </w:r>
          </w:p>
        </w:tc>
        <w:tc>
          <w:tcPr>
            <w:tcW w:w="610" w:type="pct"/>
            <w:tcBorders>
              <w:top w:val="single" w:color="000000" w:sz="4" w:space="0"/>
              <w:left w:val="single" w:color="000000" w:sz="4" w:space="0"/>
              <w:bottom w:val="single" w:color="000000" w:sz="4" w:space="0"/>
              <w:right w:val="single" w:color="000000" w:sz="4" w:space="0"/>
            </w:tcBorders>
            <w:noWrap w:val="0"/>
            <w:vAlign w:val="center"/>
          </w:tcPr>
          <w:p w14:paraId="0BD9E4A1">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6分</w:t>
            </w:r>
          </w:p>
        </w:tc>
        <w:tc>
          <w:tcPr>
            <w:tcW w:w="383" w:type="pct"/>
            <w:vMerge w:val="continue"/>
            <w:tcBorders>
              <w:top w:val="nil"/>
              <w:left w:val="single" w:color="000000" w:sz="4" w:space="0"/>
              <w:bottom w:val="single" w:color="000000" w:sz="4" w:space="0"/>
            </w:tcBorders>
            <w:noWrap w:val="0"/>
            <w:vAlign w:val="center"/>
          </w:tcPr>
          <w:p w14:paraId="194C4FC4">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p>
        </w:tc>
      </w:tr>
      <w:tr w14:paraId="5546C0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jc w:val="center"/>
        </w:trPr>
        <w:tc>
          <w:tcPr>
            <w:tcW w:w="1667" w:type="pct"/>
            <w:tcBorders>
              <w:top w:val="single" w:color="000000" w:sz="4" w:space="0"/>
              <w:bottom w:val="single" w:color="000000" w:sz="4" w:space="0"/>
              <w:right w:val="single" w:color="000000" w:sz="4" w:space="0"/>
            </w:tcBorders>
            <w:noWrap w:val="0"/>
            <w:vAlign w:val="center"/>
          </w:tcPr>
          <w:p w14:paraId="02D55858">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地下水位埋深（GWD）/m</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14:paraId="01966CDB">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GWD≥2.5</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65C4218F">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1.5≤GWD＜2.5</w:t>
            </w:r>
          </w:p>
        </w:tc>
        <w:tc>
          <w:tcPr>
            <w:tcW w:w="829" w:type="pct"/>
            <w:tcBorders>
              <w:top w:val="single" w:color="000000" w:sz="4" w:space="0"/>
              <w:left w:val="single" w:color="000000" w:sz="4" w:space="0"/>
              <w:bottom w:val="single" w:color="000000" w:sz="4" w:space="0"/>
              <w:right w:val="single" w:color="000000" w:sz="4" w:space="0"/>
            </w:tcBorders>
            <w:noWrap w:val="0"/>
            <w:vAlign w:val="center"/>
          </w:tcPr>
          <w:p w14:paraId="42995ED0">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1.5≤GWD＜1.5</w:t>
            </w:r>
          </w:p>
        </w:tc>
        <w:tc>
          <w:tcPr>
            <w:tcW w:w="610" w:type="pct"/>
            <w:tcBorders>
              <w:top w:val="single" w:color="000000" w:sz="4" w:space="0"/>
              <w:left w:val="single" w:color="000000" w:sz="4" w:space="0"/>
              <w:bottom w:val="single" w:color="000000" w:sz="4" w:space="0"/>
              <w:right w:val="single" w:color="000000" w:sz="4" w:space="0"/>
            </w:tcBorders>
            <w:noWrap w:val="0"/>
            <w:vAlign w:val="center"/>
          </w:tcPr>
          <w:p w14:paraId="130DC900">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GWD＜1.0</w:t>
            </w:r>
          </w:p>
        </w:tc>
        <w:tc>
          <w:tcPr>
            <w:tcW w:w="383" w:type="pct"/>
            <w:tcBorders>
              <w:top w:val="single" w:color="000000" w:sz="4" w:space="0"/>
              <w:left w:val="single" w:color="000000" w:sz="4" w:space="0"/>
              <w:bottom w:val="single" w:color="000000" w:sz="4" w:space="0"/>
            </w:tcBorders>
            <w:noWrap w:val="0"/>
            <w:vAlign w:val="center"/>
          </w:tcPr>
          <w:p w14:paraId="4D4BCFB0">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t>0.35</w:t>
            </w:r>
          </w:p>
        </w:tc>
      </w:tr>
      <w:tr w14:paraId="77B53A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1667" w:type="pct"/>
            <w:tcBorders>
              <w:top w:val="single" w:color="000000" w:sz="4" w:space="0"/>
              <w:bottom w:val="single" w:color="000000" w:sz="4" w:space="0"/>
              <w:right w:val="single" w:color="000000" w:sz="4" w:space="0"/>
            </w:tcBorders>
            <w:noWrap w:val="0"/>
            <w:vAlign w:val="center"/>
          </w:tcPr>
          <w:p w14:paraId="4A3108A9">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干燥度（EPR）</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14:paraId="04C1BF2B">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EPR＜1.2</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6A080D43">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1.2≤EPR＜2.5</w:t>
            </w:r>
          </w:p>
        </w:tc>
        <w:tc>
          <w:tcPr>
            <w:tcW w:w="829" w:type="pct"/>
            <w:tcBorders>
              <w:top w:val="single" w:color="000000" w:sz="4" w:space="0"/>
              <w:left w:val="single" w:color="000000" w:sz="4" w:space="0"/>
              <w:bottom w:val="single" w:color="000000" w:sz="4" w:space="0"/>
              <w:right w:val="single" w:color="000000" w:sz="4" w:space="0"/>
            </w:tcBorders>
            <w:noWrap w:val="0"/>
            <w:vAlign w:val="center"/>
          </w:tcPr>
          <w:p w14:paraId="765FA465">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2.5≤EPR＜6</w:t>
            </w:r>
          </w:p>
        </w:tc>
        <w:tc>
          <w:tcPr>
            <w:tcW w:w="610" w:type="pct"/>
            <w:tcBorders>
              <w:top w:val="single" w:color="000000" w:sz="4" w:space="0"/>
              <w:left w:val="single" w:color="000000" w:sz="4" w:space="0"/>
              <w:bottom w:val="single" w:color="000000" w:sz="4" w:space="0"/>
              <w:right w:val="single" w:color="000000" w:sz="4" w:space="0"/>
            </w:tcBorders>
            <w:noWrap w:val="0"/>
            <w:vAlign w:val="center"/>
          </w:tcPr>
          <w:p w14:paraId="614633EA">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EPR≥6</w:t>
            </w:r>
          </w:p>
        </w:tc>
        <w:tc>
          <w:tcPr>
            <w:tcW w:w="383" w:type="pct"/>
            <w:tcBorders>
              <w:top w:val="single" w:color="000000" w:sz="4" w:space="0"/>
              <w:left w:val="single" w:color="000000" w:sz="4" w:space="0"/>
              <w:bottom w:val="single" w:color="000000" w:sz="4" w:space="0"/>
            </w:tcBorders>
            <w:noWrap w:val="0"/>
            <w:vAlign w:val="center"/>
          </w:tcPr>
          <w:p w14:paraId="029BBD4A">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t>0.25</w:t>
            </w:r>
          </w:p>
        </w:tc>
      </w:tr>
      <w:tr w14:paraId="0E77A7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3" w:hRule="atLeast"/>
          <w:jc w:val="center"/>
        </w:trPr>
        <w:tc>
          <w:tcPr>
            <w:tcW w:w="1667" w:type="pct"/>
            <w:tcBorders>
              <w:top w:val="single" w:color="000000" w:sz="4" w:space="0"/>
              <w:bottom w:val="single" w:color="000000" w:sz="4" w:space="0"/>
              <w:right w:val="single" w:color="000000" w:sz="4" w:space="0"/>
            </w:tcBorders>
            <w:noWrap w:val="0"/>
            <w:vAlign w:val="center"/>
          </w:tcPr>
          <w:p w14:paraId="6191EE88">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土壤本底含盐量（SSC）/（g/kg）</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14:paraId="462A397D">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SSC＜1.2</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EC34803">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1≤SSC＜2</w:t>
            </w:r>
          </w:p>
        </w:tc>
        <w:tc>
          <w:tcPr>
            <w:tcW w:w="829" w:type="pct"/>
            <w:tcBorders>
              <w:top w:val="single" w:color="000000" w:sz="4" w:space="0"/>
              <w:left w:val="single" w:color="000000" w:sz="4" w:space="0"/>
              <w:bottom w:val="single" w:color="000000" w:sz="4" w:space="0"/>
              <w:right w:val="single" w:color="000000" w:sz="4" w:space="0"/>
            </w:tcBorders>
            <w:noWrap w:val="0"/>
            <w:vAlign w:val="center"/>
          </w:tcPr>
          <w:p w14:paraId="64B3D4E7">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2≤SSC＜4</w:t>
            </w:r>
          </w:p>
        </w:tc>
        <w:tc>
          <w:tcPr>
            <w:tcW w:w="610" w:type="pct"/>
            <w:tcBorders>
              <w:top w:val="single" w:color="000000" w:sz="4" w:space="0"/>
              <w:left w:val="single" w:color="000000" w:sz="4" w:space="0"/>
              <w:bottom w:val="single" w:color="000000" w:sz="4" w:space="0"/>
              <w:right w:val="single" w:color="000000" w:sz="4" w:space="0"/>
            </w:tcBorders>
            <w:noWrap w:val="0"/>
            <w:vAlign w:val="center"/>
          </w:tcPr>
          <w:p w14:paraId="22ECA9A5">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SSC≥4</w:t>
            </w:r>
          </w:p>
        </w:tc>
        <w:tc>
          <w:tcPr>
            <w:tcW w:w="383" w:type="pct"/>
            <w:tcBorders>
              <w:top w:val="single" w:color="000000" w:sz="4" w:space="0"/>
              <w:left w:val="single" w:color="000000" w:sz="4" w:space="0"/>
              <w:bottom w:val="single" w:color="000000" w:sz="4" w:space="0"/>
            </w:tcBorders>
            <w:noWrap w:val="0"/>
            <w:vAlign w:val="center"/>
          </w:tcPr>
          <w:p w14:paraId="68EB4365">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t>0.15</w:t>
            </w:r>
          </w:p>
        </w:tc>
      </w:tr>
      <w:tr w14:paraId="3A549F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3" w:hRule="atLeast"/>
          <w:jc w:val="center"/>
        </w:trPr>
        <w:tc>
          <w:tcPr>
            <w:tcW w:w="1667" w:type="pct"/>
            <w:tcBorders>
              <w:top w:val="single" w:color="000000" w:sz="4" w:space="0"/>
              <w:bottom w:val="single" w:color="000000" w:sz="4" w:space="0"/>
              <w:right w:val="single" w:color="000000" w:sz="4" w:space="0"/>
            </w:tcBorders>
            <w:noWrap w:val="0"/>
            <w:vAlign w:val="center"/>
          </w:tcPr>
          <w:p w14:paraId="69913652">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地下水溶解性总固体（TDS）/（g/L）</w:t>
            </w:r>
          </w:p>
        </w:tc>
        <w:tc>
          <w:tcPr>
            <w:tcW w:w="676" w:type="pct"/>
            <w:tcBorders>
              <w:top w:val="single" w:color="000000" w:sz="4" w:space="0"/>
              <w:left w:val="single" w:color="000000" w:sz="4" w:space="0"/>
              <w:bottom w:val="single" w:color="000000" w:sz="4" w:space="0"/>
              <w:right w:val="single" w:color="000000" w:sz="4" w:space="0"/>
            </w:tcBorders>
            <w:noWrap w:val="0"/>
            <w:vAlign w:val="center"/>
          </w:tcPr>
          <w:p w14:paraId="36C5BB81">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TDS＜1</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03D2F3E3">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1≤TDS＜2</w:t>
            </w:r>
          </w:p>
        </w:tc>
        <w:tc>
          <w:tcPr>
            <w:tcW w:w="829" w:type="pct"/>
            <w:tcBorders>
              <w:top w:val="single" w:color="000000" w:sz="4" w:space="0"/>
              <w:left w:val="single" w:color="000000" w:sz="4" w:space="0"/>
              <w:bottom w:val="single" w:color="000000" w:sz="4" w:space="0"/>
              <w:right w:val="single" w:color="000000" w:sz="4" w:space="0"/>
            </w:tcBorders>
            <w:noWrap w:val="0"/>
            <w:vAlign w:val="center"/>
          </w:tcPr>
          <w:p w14:paraId="16706E2C">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2≤TDS＜5</w:t>
            </w:r>
          </w:p>
        </w:tc>
        <w:tc>
          <w:tcPr>
            <w:tcW w:w="610" w:type="pct"/>
            <w:tcBorders>
              <w:top w:val="single" w:color="000000" w:sz="4" w:space="0"/>
              <w:left w:val="single" w:color="000000" w:sz="4" w:space="0"/>
              <w:bottom w:val="single" w:color="000000" w:sz="4" w:space="0"/>
              <w:right w:val="single" w:color="000000" w:sz="4" w:space="0"/>
            </w:tcBorders>
            <w:noWrap w:val="0"/>
            <w:vAlign w:val="center"/>
          </w:tcPr>
          <w:p w14:paraId="46E3E4E6">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TDS≥5</w:t>
            </w:r>
          </w:p>
        </w:tc>
        <w:tc>
          <w:tcPr>
            <w:tcW w:w="383" w:type="pct"/>
            <w:tcBorders>
              <w:top w:val="single" w:color="000000" w:sz="4" w:space="0"/>
              <w:left w:val="single" w:color="000000" w:sz="4" w:space="0"/>
              <w:bottom w:val="single" w:color="000000" w:sz="4" w:space="0"/>
            </w:tcBorders>
            <w:noWrap w:val="0"/>
            <w:vAlign w:val="center"/>
          </w:tcPr>
          <w:p w14:paraId="5577EE0A">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t>0.15</w:t>
            </w:r>
          </w:p>
        </w:tc>
      </w:tr>
      <w:tr w14:paraId="46B30B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 w:hRule="atLeast"/>
          <w:jc w:val="center"/>
        </w:trPr>
        <w:tc>
          <w:tcPr>
            <w:tcW w:w="1667" w:type="pct"/>
            <w:tcBorders>
              <w:top w:val="single" w:color="000000" w:sz="4" w:space="0"/>
              <w:right w:val="single" w:color="000000" w:sz="4" w:space="0"/>
            </w:tcBorders>
            <w:noWrap w:val="0"/>
            <w:vAlign w:val="center"/>
          </w:tcPr>
          <w:p w14:paraId="5F106630">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土壤质地</w:t>
            </w:r>
          </w:p>
        </w:tc>
        <w:tc>
          <w:tcPr>
            <w:tcW w:w="676" w:type="pct"/>
            <w:tcBorders>
              <w:top w:val="single" w:color="000000" w:sz="4" w:space="0"/>
              <w:left w:val="single" w:color="000000" w:sz="4" w:space="0"/>
              <w:right w:val="single" w:color="000000" w:sz="4" w:space="0"/>
            </w:tcBorders>
            <w:noWrap w:val="0"/>
            <w:vAlign w:val="center"/>
          </w:tcPr>
          <w:p w14:paraId="2463C5F5">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黏土</w:t>
            </w:r>
          </w:p>
        </w:tc>
        <w:tc>
          <w:tcPr>
            <w:tcW w:w="833" w:type="pct"/>
            <w:tcBorders>
              <w:top w:val="single" w:color="000000" w:sz="4" w:space="0"/>
              <w:left w:val="single" w:color="000000" w:sz="4" w:space="0"/>
              <w:right w:val="single" w:color="000000" w:sz="4" w:space="0"/>
            </w:tcBorders>
            <w:noWrap w:val="0"/>
            <w:vAlign w:val="center"/>
          </w:tcPr>
          <w:p w14:paraId="1ED4FE39">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砂土</w:t>
            </w:r>
          </w:p>
        </w:tc>
        <w:tc>
          <w:tcPr>
            <w:tcW w:w="829" w:type="pct"/>
            <w:tcBorders>
              <w:top w:val="single" w:color="000000" w:sz="4" w:space="0"/>
              <w:left w:val="single" w:color="000000" w:sz="4" w:space="0"/>
              <w:right w:val="single" w:color="000000" w:sz="4" w:space="0"/>
            </w:tcBorders>
            <w:noWrap w:val="0"/>
            <w:vAlign w:val="center"/>
          </w:tcPr>
          <w:p w14:paraId="7CB26B41">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壤土</w:t>
            </w:r>
          </w:p>
        </w:tc>
        <w:tc>
          <w:tcPr>
            <w:tcW w:w="610" w:type="pct"/>
            <w:tcBorders>
              <w:top w:val="single" w:color="000000" w:sz="4" w:space="0"/>
              <w:left w:val="single" w:color="000000" w:sz="4" w:space="0"/>
              <w:right w:val="single" w:color="000000" w:sz="4" w:space="0"/>
            </w:tcBorders>
            <w:noWrap w:val="0"/>
            <w:vAlign w:val="center"/>
          </w:tcPr>
          <w:p w14:paraId="3E22583C">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t>砂壤、粉土、砂粉土</w:t>
            </w:r>
          </w:p>
        </w:tc>
        <w:tc>
          <w:tcPr>
            <w:tcW w:w="383" w:type="pct"/>
            <w:tcBorders>
              <w:top w:val="single" w:color="000000" w:sz="4" w:space="0"/>
              <w:left w:val="single" w:color="000000" w:sz="4" w:space="0"/>
            </w:tcBorders>
            <w:noWrap w:val="0"/>
            <w:vAlign w:val="center"/>
          </w:tcPr>
          <w:p w14:paraId="2DDFC8A9">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pPr>
            <w:r>
              <w:rPr>
                <w:rFonts w:hint="default" w:ascii="Times New Roman" w:hAnsi="Times New Roman" w:eastAsia="宋体" w:cs="Times New Roman"/>
                <w:b w:val="0"/>
                <w:color w:val="000000" w:themeColor="text1"/>
                <w:w w:val="100"/>
                <w:kern w:val="0"/>
                <w:sz w:val="21"/>
                <w:lang w:val="en-US" w:eastAsia="zh-CN"/>
                <w14:textFill>
                  <w14:solidFill>
                    <w14:schemeClr w14:val="tx1"/>
                  </w14:solidFill>
                </w14:textFill>
              </w:rPr>
              <w:t>0.10</w:t>
            </w:r>
          </w:p>
        </w:tc>
      </w:tr>
    </w:tbl>
    <w:p w14:paraId="7696E298">
      <w:pPr>
        <w:keepNext w:val="0"/>
        <w:keepLines w:val="0"/>
        <w:pageBreakBefore w:val="0"/>
        <w:widowControl w:val="0"/>
        <w:tabs>
          <w:tab w:val="left" w:pos="1214"/>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宋体" w:cs="Times New Roman"/>
          <w:b/>
          <w:color w:val="000000" w:themeColor="text1"/>
          <w:spacing w:val="0"/>
          <w:sz w:val="24"/>
          <w14:textFill>
            <w14:solidFill>
              <w14:schemeClr w14:val="tx1"/>
            </w14:solidFill>
          </w14:textFill>
        </w:rPr>
      </w:pPr>
    </w:p>
    <w:p w14:paraId="26EA9504">
      <w:pPr>
        <w:keepNext w:val="0"/>
        <w:keepLines w:val="0"/>
        <w:pageBreakBefore w:val="0"/>
        <w:widowControl w:val="0"/>
        <w:tabs>
          <w:tab w:val="left" w:pos="1214"/>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宋体" w:cs="Times New Roman"/>
          <w:b/>
          <w:color w:val="000000" w:themeColor="text1"/>
          <w:spacing w:val="0"/>
          <w:sz w:val="24"/>
          <w14:textFill>
            <w14:solidFill>
              <w14:schemeClr w14:val="tx1"/>
            </w14:solidFill>
          </w14:textFill>
        </w:rPr>
      </w:pPr>
    </w:p>
    <w:p w14:paraId="05FB1D48">
      <w:pPr>
        <w:keepNext w:val="0"/>
        <w:keepLines w:val="0"/>
        <w:pageBreakBefore w:val="0"/>
        <w:widowControl w:val="0"/>
        <w:tabs>
          <w:tab w:val="left" w:pos="1214"/>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宋体" w:cs="Times New Roman"/>
          <w:b/>
          <w:color w:val="000000" w:themeColor="text1"/>
          <w:spacing w:val="0"/>
          <w:sz w:val="24"/>
          <w14:textFill>
            <w14:solidFill>
              <w14:schemeClr w14:val="tx1"/>
            </w14:solidFill>
          </w14:textFill>
        </w:rPr>
      </w:pPr>
      <w:r>
        <w:rPr>
          <w:rFonts w:hint="default" w:ascii="Times New Roman" w:hAnsi="Times New Roman" w:eastAsia="宋体" w:cs="Times New Roman"/>
          <w:b/>
          <w:color w:val="000000" w:themeColor="text1"/>
          <w:spacing w:val="0"/>
          <w:sz w:val="24"/>
          <w14:textFill>
            <w14:solidFill>
              <w14:schemeClr w14:val="tx1"/>
            </w14:solidFill>
          </w14:textFill>
        </w:rPr>
        <w:t>表5.2-</w:t>
      </w:r>
      <w:r>
        <w:rPr>
          <w:rFonts w:hint="eastAsia" w:ascii="Times New Roman" w:hAnsi="Times New Roman" w:eastAsia="宋体" w:cs="Times New Roman"/>
          <w:b/>
          <w:color w:val="000000" w:themeColor="text1"/>
          <w:spacing w:val="0"/>
          <w:sz w:val="24"/>
          <w:lang w:val="en-US" w:eastAsia="zh-CN"/>
          <w14:textFill>
            <w14:solidFill>
              <w14:schemeClr w14:val="tx1"/>
            </w14:solidFill>
          </w14:textFill>
        </w:rPr>
        <w:t>2</w:t>
      </w:r>
      <w:r>
        <w:rPr>
          <w:rFonts w:hint="eastAsia" w:cs="Times New Roman"/>
          <w:b/>
          <w:color w:val="000000" w:themeColor="text1"/>
          <w:spacing w:val="0"/>
          <w:sz w:val="24"/>
          <w:lang w:val="en-US" w:eastAsia="zh-CN"/>
          <w14:textFill>
            <w14:solidFill>
              <w14:schemeClr w14:val="tx1"/>
            </w14:solidFill>
          </w14:textFill>
        </w:rPr>
        <w:t>6</w:t>
      </w:r>
      <w:r>
        <w:rPr>
          <w:rFonts w:hint="default" w:ascii="Times New Roman" w:hAnsi="Times New Roman" w:eastAsia="宋体" w:cs="Times New Roman"/>
          <w:b/>
          <w:color w:val="000000" w:themeColor="text1"/>
          <w:spacing w:val="0"/>
          <w:sz w:val="24"/>
          <w14:textFill>
            <w14:solidFill>
              <w14:schemeClr w14:val="tx1"/>
            </w14:solidFill>
          </w14:textFill>
        </w:rPr>
        <w:t xml:space="preserve"> </w:t>
      </w:r>
      <w:r>
        <w:rPr>
          <w:rFonts w:hint="default" w:ascii="Times New Roman" w:hAnsi="Times New Roman" w:eastAsia="宋体" w:cs="Times New Roman"/>
          <w:b/>
          <w:color w:val="000000" w:themeColor="text1"/>
          <w:spacing w:val="0"/>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sz w:val="24"/>
          <w14:textFill>
            <w14:solidFill>
              <w14:schemeClr w14:val="tx1"/>
            </w14:solidFill>
          </w14:textFill>
        </w:rPr>
        <w:t>土壤盐化预测表</w:t>
      </w:r>
    </w:p>
    <w:tbl>
      <w:tblPr>
        <w:tblStyle w:val="79"/>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821"/>
        <w:gridCol w:w="927"/>
        <w:gridCol w:w="1126"/>
        <w:gridCol w:w="1216"/>
        <w:gridCol w:w="1084"/>
        <w:gridCol w:w="1159"/>
      </w:tblGrid>
      <w:tr w14:paraId="29B94B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2" w:hRule="atLeast"/>
          <w:tblHeader/>
          <w:jc w:val="center"/>
        </w:trPr>
        <w:tc>
          <w:tcPr>
            <w:tcW w:w="1692" w:type="pct"/>
            <w:tcBorders>
              <w:bottom w:val="single" w:color="000000" w:sz="4" w:space="0"/>
              <w:right w:val="single" w:color="000000" w:sz="4" w:space="0"/>
            </w:tcBorders>
            <w:noWrap w:val="0"/>
            <w:vAlign w:val="center"/>
          </w:tcPr>
          <w:p w14:paraId="62EA1380">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土壤盐化综合评分值（Sa）</w:t>
            </w:r>
          </w:p>
        </w:tc>
        <w:tc>
          <w:tcPr>
            <w:tcW w:w="556" w:type="pct"/>
            <w:tcBorders>
              <w:left w:val="single" w:color="000000" w:sz="4" w:space="0"/>
              <w:bottom w:val="single" w:color="000000" w:sz="4" w:space="0"/>
              <w:right w:val="single" w:color="000000" w:sz="4" w:space="0"/>
            </w:tcBorders>
            <w:noWrap w:val="0"/>
            <w:vAlign w:val="center"/>
          </w:tcPr>
          <w:p w14:paraId="2DD3A0AE">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Sa＜1</w:t>
            </w:r>
          </w:p>
        </w:tc>
        <w:tc>
          <w:tcPr>
            <w:tcW w:w="675" w:type="pct"/>
            <w:tcBorders>
              <w:left w:val="single" w:color="000000" w:sz="4" w:space="0"/>
              <w:bottom w:val="single" w:color="000000" w:sz="4" w:space="0"/>
              <w:right w:val="single" w:color="000000" w:sz="4" w:space="0"/>
            </w:tcBorders>
            <w:noWrap w:val="0"/>
            <w:vAlign w:val="center"/>
          </w:tcPr>
          <w:p w14:paraId="20BDC350">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1≤Sa＜2</w:t>
            </w:r>
          </w:p>
        </w:tc>
        <w:tc>
          <w:tcPr>
            <w:tcW w:w="729" w:type="pct"/>
            <w:tcBorders>
              <w:left w:val="single" w:color="000000" w:sz="4" w:space="0"/>
              <w:bottom w:val="single" w:color="000000" w:sz="4" w:space="0"/>
              <w:right w:val="single" w:color="000000" w:sz="4" w:space="0"/>
            </w:tcBorders>
            <w:noWrap w:val="0"/>
            <w:vAlign w:val="center"/>
          </w:tcPr>
          <w:p w14:paraId="7B96F339">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2≤Sa＜3</w:t>
            </w:r>
          </w:p>
        </w:tc>
        <w:tc>
          <w:tcPr>
            <w:tcW w:w="650" w:type="pct"/>
            <w:tcBorders>
              <w:left w:val="single" w:color="000000" w:sz="4" w:space="0"/>
              <w:bottom w:val="single" w:color="000000" w:sz="4" w:space="0"/>
              <w:right w:val="single" w:color="000000" w:sz="4" w:space="0"/>
            </w:tcBorders>
            <w:noWrap w:val="0"/>
            <w:vAlign w:val="center"/>
          </w:tcPr>
          <w:p w14:paraId="2F5992ED">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3≤Sa＜4.5</w:t>
            </w:r>
          </w:p>
        </w:tc>
        <w:tc>
          <w:tcPr>
            <w:tcW w:w="695" w:type="pct"/>
            <w:tcBorders>
              <w:left w:val="single" w:color="000000" w:sz="4" w:space="0"/>
              <w:bottom w:val="single" w:color="000000" w:sz="4" w:space="0"/>
            </w:tcBorders>
            <w:noWrap w:val="0"/>
            <w:vAlign w:val="center"/>
          </w:tcPr>
          <w:p w14:paraId="6564ADF4">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w w:val="100"/>
                <w:kern w:val="0"/>
                <w:sz w:val="21"/>
                <w14:textFill>
                  <w14:solidFill>
                    <w14:schemeClr w14:val="tx1"/>
                  </w14:solidFill>
                </w14:textFill>
              </w:rPr>
            </w:pPr>
            <w:r>
              <w:rPr>
                <w:rFonts w:hint="default" w:ascii="Times New Roman" w:hAnsi="Times New Roman" w:eastAsia="宋体" w:cs="Times New Roman"/>
                <w:b/>
                <w:bCs/>
                <w:color w:val="000000" w:themeColor="text1"/>
                <w:w w:val="100"/>
                <w:kern w:val="0"/>
                <w:sz w:val="21"/>
                <w14:textFill>
                  <w14:solidFill>
                    <w14:schemeClr w14:val="tx1"/>
                  </w14:solidFill>
                </w14:textFill>
              </w:rPr>
              <w:t>Sa≥4.5</w:t>
            </w:r>
          </w:p>
        </w:tc>
      </w:tr>
      <w:tr w14:paraId="786B9B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3" w:hRule="atLeast"/>
          <w:jc w:val="center"/>
        </w:trPr>
        <w:tc>
          <w:tcPr>
            <w:tcW w:w="1692" w:type="pct"/>
            <w:tcBorders>
              <w:top w:val="single" w:color="000000" w:sz="4" w:space="0"/>
              <w:right w:val="single" w:color="000000" w:sz="4" w:space="0"/>
            </w:tcBorders>
            <w:noWrap w:val="0"/>
            <w:vAlign w:val="center"/>
          </w:tcPr>
          <w:p w14:paraId="323130DE">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土壤盐化综合评分预测结果</w:t>
            </w:r>
          </w:p>
        </w:tc>
        <w:tc>
          <w:tcPr>
            <w:tcW w:w="556" w:type="pct"/>
            <w:tcBorders>
              <w:top w:val="single" w:color="000000" w:sz="4" w:space="0"/>
              <w:left w:val="single" w:color="000000" w:sz="4" w:space="0"/>
              <w:right w:val="single" w:color="000000" w:sz="4" w:space="0"/>
            </w:tcBorders>
            <w:noWrap w:val="0"/>
            <w:vAlign w:val="center"/>
          </w:tcPr>
          <w:p w14:paraId="41E23323">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未盐化</w:t>
            </w:r>
          </w:p>
        </w:tc>
        <w:tc>
          <w:tcPr>
            <w:tcW w:w="675" w:type="pct"/>
            <w:tcBorders>
              <w:top w:val="single" w:color="000000" w:sz="4" w:space="0"/>
              <w:left w:val="single" w:color="000000" w:sz="4" w:space="0"/>
              <w:right w:val="single" w:color="000000" w:sz="4" w:space="0"/>
            </w:tcBorders>
            <w:noWrap w:val="0"/>
            <w:vAlign w:val="center"/>
          </w:tcPr>
          <w:p w14:paraId="078EA8E4">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轻度盐化</w:t>
            </w:r>
          </w:p>
        </w:tc>
        <w:tc>
          <w:tcPr>
            <w:tcW w:w="729" w:type="pct"/>
            <w:tcBorders>
              <w:top w:val="single" w:color="000000" w:sz="4" w:space="0"/>
              <w:left w:val="single" w:color="000000" w:sz="4" w:space="0"/>
              <w:right w:val="single" w:color="000000" w:sz="4" w:space="0"/>
            </w:tcBorders>
            <w:noWrap w:val="0"/>
            <w:vAlign w:val="center"/>
          </w:tcPr>
          <w:p w14:paraId="0A983458">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中度盐化</w:t>
            </w:r>
          </w:p>
        </w:tc>
        <w:tc>
          <w:tcPr>
            <w:tcW w:w="650" w:type="pct"/>
            <w:tcBorders>
              <w:top w:val="single" w:color="000000" w:sz="4" w:space="0"/>
              <w:left w:val="single" w:color="000000" w:sz="4" w:space="0"/>
              <w:right w:val="single" w:color="000000" w:sz="4" w:space="0"/>
            </w:tcBorders>
            <w:noWrap w:val="0"/>
            <w:vAlign w:val="center"/>
          </w:tcPr>
          <w:p w14:paraId="50F7D20D">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重度盐化</w:t>
            </w:r>
          </w:p>
        </w:tc>
        <w:tc>
          <w:tcPr>
            <w:tcW w:w="695" w:type="pct"/>
            <w:tcBorders>
              <w:top w:val="single" w:color="000000" w:sz="4" w:space="0"/>
              <w:left w:val="single" w:color="000000" w:sz="4" w:space="0"/>
            </w:tcBorders>
            <w:noWrap w:val="0"/>
            <w:vAlign w:val="center"/>
          </w:tcPr>
          <w:p w14:paraId="6FB745B8">
            <w:pPr>
              <w:pStyle w:val="679"/>
              <w:keepNext w:val="0"/>
              <w:keepLines w:val="0"/>
              <w:pageBreakBefore w:val="0"/>
              <w:widowControl w:val="0"/>
              <w:suppressLineNumbers w:val="0"/>
              <w:kinsoku/>
              <w:wordWrap/>
              <w:overflowPunct/>
              <w:topLinePunct w:val="0"/>
              <w:autoSpaceDE/>
              <w:autoSpaceDN/>
              <w:bidi w:val="0"/>
              <w:adjustRightInd/>
              <w:snapToGrid/>
              <w:spacing w:before="0" w:after="0" w:afterAutospacing="0" w:line="360" w:lineRule="exact"/>
              <w:ind w:left="0" w:right="0" w:firstLine="0" w:firstLineChars="0"/>
              <w:jc w:val="center"/>
              <w:textAlignment w:val="auto"/>
              <w:rPr>
                <w:rFonts w:hint="default" w:ascii="Times New Roman" w:hAnsi="Times New Roman" w:eastAsia="宋体" w:cs="Times New Roman"/>
                <w:b w:val="0"/>
                <w:color w:val="000000" w:themeColor="text1"/>
                <w:w w:val="100"/>
                <w:kern w:val="0"/>
                <w:sz w:val="21"/>
                <w14:textFill>
                  <w14:solidFill>
                    <w14:schemeClr w14:val="tx1"/>
                  </w14:solidFill>
                </w14:textFill>
              </w:rPr>
            </w:pPr>
            <w:r>
              <w:rPr>
                <w:rFonts w:hint="default" w:ascii="Times New Roman" w:hAnsi="Times New Roman" w:eastAsia="宋体" w:cs="Times New Roman"/>
                <w:b w:val="0"/>
                <w:color w:val="000000" w:themeColor="text1"/>
                <w:w w:val="100"/>
                <w:kern w:val="0"/>
                <w:sz w:val="21"/>
                <w14:textFill>
                  <w14:solidFill>
                    <w14:schemeClr w14:val="tx1"/>
                  </w14:solidFill>
                </w14:textFill>
              </w:rPr>
              <w:t>极重度盐化</w:t>
            </w:r>
          </w:p>
        </w:tc>
      </w:tr>
    </w:tbl>
    <w:p w14:paraId="02AFE2CB">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）土壤盐化预测结果分析</w:t>
      </w:r>
    </w:p>
    <w:p w14:paraId="3C73C489">
      <w:pPr>
        <w:pStyle w:val="29"/>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根据前文水文地质章节描述，采矿区地下水位埋深为12.64m，干燥度（蒸降比值）（EPR）约1.05，本次监测土壤本底含盐量（SSD）/（g/kg）最大值1.2，地下水最大TDS浓度为1.69g/L，土壤质地为棕色土、砂、砾石混杂层，计算干燥度、土壤本底含盐量及土壤质地的权重及分值，计算得Sa=0.8，因此矿区范围内盐化程度为未盐化。</w:t>
      </w:r>
    </w:p>
    <w:p w14:paraId="497C3220">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5.2.6.3</w:t>
      </w: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土壤环境影响评价自查表</w:t>
      </w:r>
    </w:p>
    <w:p w14:paraId="07D549DE">
      <w:pPr>
        <w:pageBreakBefore w:val="0"/>
        <w:wordWrap/>
        <w:topLinePunct w:val="0"/>
        <w:autoSpaceDE w:val="0"/>
        <w:bidi w:val="0"/>
        <w:adjustRightInd w:val="0"/>
        <w:snapToGrid w:val="0"/>
        <w:spacing w:line="480" w:lineRule="exact"/>
        <w:jc w:val="center"/>
        <w:rPr>
          <w:rFonts w:hint="default" w:ascii="Times New Roman" w:hAnsi="Times New Roman" w:eastAsia="宋体" w:cs="Times New Roman"/>
          <w:b/>
          <w:color w:val="000000" w:themeColor="text1"/>
          <w:kern w:val="0"/>
          <w:sz w:val="24"/>
          <w:highlight w:val="none"/>
          <w:lang w:bidi="ar"/>
          <w14:textFill>
            <w14:solidFill>
              <w14:schemeClr w14:val="tx1"/>
            </w14:solidFill>
          </w14:textFill>
        </w:rPr>
      </w:pPr>
      <w:r>
        <w:rPr>
          <w:rFonts w:hint="default" w:ascii="Times New Roman" w:hAnsi="Times New Roman" w:eastAsia="宋体" w:cs="Times New Roman"/>
          <w:b/>
          <w:color w:val="000000" w:themeColor="text1"/>
          <w:kern w:val="0"/>
          <w:sz w:val="24"/>
          <w:highlight w:val="none"/>
          <w:lang w:val="en-US" w:eastAsia="zh-CN" w:bidi="ar"/>
          <w14:textFill>
            <w14:solidFill>
              <w14:schemeClr w14:val="tx1"/>
            </w14:solidFill>
          </w14:textFill>
        </w:rPr>
        <w:t>表5.2-</w:t>
      </w:r>
      <w:r>
        <w:rPr>
          <w:rFonts w:hint="eastAsia" w:cs="Times New Roman"/>
          <w:b/>
          <w:color w:val="000000" w:themeColor="text1"/>
          <w:kern w:val="0"/>
          <w:sz w:val="24"/>
          <w:highlight w:val="none"/>
          <w:lang w:val="en-US" w:eastAsia="zh-CN" w:bidi="ar"/>
          <w14:textFill>
            <w14:solidFill>
              <w14:schemeClr w14:val="tx1"/>
            </w14:solidFill>
          </w14:textFill>
        </w:rPr>
        <w:t>27</w:t>
      </w:r>
      <w:r>
        <w:rPr>
          <w:rFonts w:hint="default" w:ascii="Times New Roman" w:hAnsi="Times New Roman" w:eastAsia="宋体" w:cs="Times New Roman"/>
          <w:b/>
          <w:color w:val="000000" w:themeColor="text1"/>
          <w:kern w:val="0"/>
          <w:sz w:val="24"/>
          <w:highlight w:val="none"/>
          <w:lang w:val="en-US" w:eastAsia="zh-CN" w:bidi="ar"/>
          <w14:textFill>
            <w14:solidFill>
              <w14:schemeClr w14:val="tx1"/>
            </w14:solidFill>
          </w14:textFill>
        </w:rPr>
        <w:t xml:space="preserve">    土壤环境影响评价自查表</w:t>
      </w:r>
    </w:p>
    <w:tbl>
      <w:tblPr>
        <w:tblStyle w:val="79"/>
        <w:tblW w:w="50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39"/>
        <w:gridCol w:w="1751"/>
        <w:gridCol w:w="1152"/>
        <w:gridCol w:w="324"/>
        <w:gridCol w:w="1593"/>
        <w:gridCol w:w="1386"/>
        <w:gridCol w:w="190"/>
        <w:gridCol w:w="1648"/>
      </w:tblGrid>
      <w:tr w14:paraId="5EE7F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1291" w:type="pct"/>
            <w:gridSpan w:val="2"/>
            <w:tcBorders>
              <w:tl2br w:val="nil"/>
              <w:tr2bl w:val="nil"/>
            </w:tcBorders>
            <w:noWrap w:val="0"/>
            <w:vAlign w:val="center"/>
          </w:tcPr>
          <w:p w14:paraId="17319DC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工作内容</w:t>
            </w:r>
          </w:p>
        </w:tc>
        <w:tc>
          <w:tcPr>
            <w:tcW w:w="3708" w:type="pct"/>
            <w:gridSpan w:val="6"/>
            <w:tcBorders>
              <w:tl2br w:val="nil"/>
              <w:tr2bl w:val="nil"/>
            </w:tcBorders>
            <w:noWrap w:val="0"/>
            <w:vAlign w:val="center"/>
          </w:tcPr>
          <w:p w14:paraId="7C98DDC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完成情况</w:t>
            </w:r>
          </w:p>
        </w:tc>
      </w:tr>
      <w:tr w14:paraId="7A921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restart"/>
            <w:tcBorders>
              <w:tl2br w:val="nil"/>
              <w:tr2bl w:val="nil"/>
            </w:tcBorders>
            <w:noWrap w:val="0"/>
            <w:vAlign w:val="center"/>
          </w:tcPr>
          <w:p w14:paraId="383F7E4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影响</w:t>
            </w:r>
          </w:p>
          <w:p w14:paraId="733783B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识别</w:t>
            </w:r>
          </w:p>
        </w:tc>
        <w:tc>
          <w:tcPr>
            <w:tcW w:w="1032" w:type="pct"/>
            <w:tcBorders>
              <w:tl2br w:val="nil"/>
              <w:tr2bl w:val="nil"/>
            </w:tcBorders>
            <w:noWrap w:val="0"/>
            <w:vAlign w:val="center"/>
          </w:tcPr>
          <w:p w14:paraId="080AD14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影响类型</w:t>
            </w:r>
          </w:p>
        </w:tc>
        <w:tc>
          <w:tcPr>
            <w:tcW w:w="3708" w:type="pct"/>
            <w:gridSpan w:val="6"/>
            <w:tcBorders>
              <w:tl2br w:val="nil"/>
              <w:tr2bl w:val="nil"/>
            </w:tcBorders>
            <w:noWrap w:val="0"/>
            <w:vAlign w:val="center"/>
          </w:tcPr>
          <w:p w14:paraId="582ED63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污染影响型</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；生态影响型</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；两种兼有</w:t>
            </w:r>
            <w:r>
              <w:rPr>
                <w:rFonts w:hint="eastAsia" w:cs="Times New Roman"/>
                <w:color w:val="000000" w:themeColor="text1"/>
                <w:kern w:val="0"/>
                <w:sz w:val="21"/>
                <w:szCs w:val="21"/>
                <w:highlight w:val="none"/>
                <w:lang w:val="en-US" w:eastAsia="zh-CN"/>
                <w14:textFill>
                  <w14:solidFill>
                    <w14:schemeClr w14:val="tx1"/>
                  </w14:solidFill>
                </w14:textFill>
              </w:rPr>
              <w:sym w:font="Wingdings 2" w:char="0052"/>
            </w:r>
          </w:p>
        </w:tc>
      </w:tr>
      <w:tr w14:paraId="2C32F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1C6A485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7F8A72C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土地利用类型</w:t>
            </w:r>
          </w:p>
        </w:tc>
        <w:tc>
          <w:tcPr>
            <w:tcW w:w="3708" w:type="pct"/>
            <w:gridSpan w:val="6"/>
            <w:tcBorders>
              <w:tl2br w:val="nil"/>
              <w:tr2bl w:val="nil"/>
            </w:tcBorders>
            <w:noWrap w:val="0"/>
            <w:vAlign w:val="center"/>
          </w:tcPr>
          <w:p w14:paraId="0773252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建设用地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；农用地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；未利用地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p>
        </w:tc>
      </w:tr>
      <w:tr w14:paraId="53A86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3B0FADD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3F9031D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占地规模</w:t>
            </w:r>
          </w:p>
        </w:tc>
        <w:tc>
          <w:tcPr>
            <w:tcW w:w="3708" w:type="pct"/>
            <w:gridSpan w:val="6"/>
            <w:tcBorders>
              <w:tl2br w:val="nil"/>
              <w:tr2bl w:val="nil"/>
            </w:tcBorders>
            <w:noWrap w:val="0"/>
            <w:vAlign w:val="center"/>
          </w:tcPr>
          <w:p w14:paraId="1CB13B8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104.01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）hm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2</w:t>
            </w:r>
          </w:p>
        </w:tc>
      </w:tr>
      <w:tr w14:paraId="542A0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3695C77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0AC0154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敏感目标信息</w:t>
            </w:r>
          </w:p>
        </w:tc>
        <w:tc>
          <w:tcPr>
            <w:tcW w:w="3708" w:type="pct"/>
            <w:gridSpan w:val="6"/>
            <w:tcBorders>
              <w:tl2br w:val="nil"/>
              <w:tr2bl w:val="nil"/>
            </w:tcBorders>
            <w:noWrap w:val="0"/>
            <w:vAlign w:val="center"/>
          </w:tcPr>
          <w:p w14:paraId="56CA715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敏感目标（</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）、方位（</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）、距离（</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3AF46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6EBD34C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1FEE2E5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影响途径</w:t>
            </w:r>
          </w:p>
        </w:tc>
        <w:tc>
          <w:tcPr>
            <w:tcW w:w="3708" w:type="pct"/>
            <w:gridSpan w:val="6"/>
            <w:tcBorders>
              <w:tl2br w:val="nil"/>
              <w:tr2bl w:val="nil"/>
            </w:tcBorders>
            <w:noWrap w:val="0"/>
            <w:vAlign w:val="center"/>
          </w:tcPr>
          <w:p w14:paraId="515EF61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大气沉降</w:t>
            </w:r>
            <w:r>
              <w:rPr>
                <w:rFonts w:hint="eastAsia"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；地面漫流</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；垂直入渗</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；地下水位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597FD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436F7AE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3C048E5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全部污染物</w:t>
            </w:r>
          </w:p>
        </w:tc>
        <w:tc>
          <w:tcPr>
            <w:tcW w:w="3708" w:type="pct"/>
            <w:gridSpan w:val="6"/>
            <w:tcBorders>
              <w:tl2br w:val="nil"/>
              <w:tr2bl w:val="nil"/>
            </w:tcBorders>
            <w:noWrap w:val="0"/>
            <w:vAlign w:val="center"/>
          </w:tcPr>
          <w:p w14:paraId="1A752AD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pH、砷、镉、六价铬、铜、铅、汞、镍</w:t>
            </w:r>
          </w:p>
        </w:tc>
      </w:tr>
      <w:tr w14:paraId="1FAF4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22C7ABA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0CD195F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特征因子</w:t>
            </w:r>
          </w:p>
        </w:tc>
        <w:tc>
          <w:tcPr>
            <w:tcW w:w="3708" w:type="pct"/>
            <w:gridSpan w:val="6"/>
            <w:tcBorders>
              <w:tl2br w:val="nil"/>
              <w:tr2bl w:val="nil"/>
            </w:tcBorders>
            <w:noWrap w:val="0"/>
            <w:vAlign w:val="center"/>
          </w:tcPr>
          <w:p w14:paraId="3F57E9B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砷</w:t>
            </w:r>
          </w:p>
        </w:tc>
      </w:tr>
      <w:tr w14:paraId="6A421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2963F0C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5082A46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所属土壤环境影响</w:t>
            </w:r>
          </w:p>
          <w:p w14:paraId="0EEF1B0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评价项目类别</w:t>
            </w:r>
          </w:p>
        </w:tc>
        <w:tc>
          <w:tcPr>
            <w:tcW w:w="3708" w:type="pct"/>
            <w:gridSpan w:val="6"/>
            <w:tcBorders>
              <w:tl2br w:val="nil"/>
              <w:tr2bl w:val="nil"/>
            </w:tcBorders>
            <w:noWrap w:val="0"/>
            <w:vAlign w:val="center"/>
          </w:tcPr>
          <w:p w14:paraId="5816D54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Ⅰ类</w:t>
            </w:r>
            <w:r>
              <w:rPr>
                <w:rFonts w:hint="eastAsia"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；Ⅱ类</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；Ⅲ类</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；Ⅳ类</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p>
        </w:tc>
      </w:tr>
      <w:tr w14:paraId="2727E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039AFA8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7058D86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敏感程度</w:t>
            </w:r>
          </w:p>
        </w:tc>
        <w:tc>
          <w:tcPr>
            <w:tcW w:w="3708" w:type="pct"/>
            <w:gridSpan w:val="6"/>
            <w:tcBorders>
              <w:tl2br w:val="nil"/>
              <w:tr2bl w:val="nil"/>
            </w:tcBorders>
            <w:noWrap w:val="0"/>
            <w:vAlign w:val="center"/>
          </w:tcPr>
          <w:p w14:paraId="70F8B8D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敏感</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；较敏感</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；不敏感</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p>
        </w:tc>
      </w:tr>
      <w:tr w14:paraId="52FD9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1" w:type="pct"/>
            <w:gridSpan w:val="2"/>
            <w:tcBorders>
              <w:tl2br w:val="nil"/>
              <w:tr2bl w:val="nil"/>
            </w:tcBorders>
            <w:noWrap w:val="0"/>
            <w:vAlign w:val="center"/>
          </w:tcPr>
          <w:p w14:paraId="5F49BCC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评价工作等级</w:t>
            </w:r>
          </w:p>
        </w:tc>
        <w:tc>
          <w:tcPr>
            <w:tcW w:w="3708" w:type="pct"/>
            <w:gridSpan w:val="6"/>
            <w:tcBorders>
              <w:tl2br w:val="nil"/>
              <w:tr2bl w:val="nil"/>
            </w:tcBorders>
            <w:noWrap w:val="0"/>
            <w:vAlign w:val="center"/>
          </w:tcPr>
          <w:p w14:paraId="5EDC0A0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一级</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；二级</w:t>
            </w:r>
            <w:r>
              <w:rPr>
                <w:rFonts w:hint="eastAsia"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；三级</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p>
        </w:tc>
      </w:tr>
      <w:tr w14:paraId="3C2CE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restart"/>
            <w:tcBorders>
              <w:tl2br w:val="nil"/>
              <w:tr2bl w:val="nil"/>
            </w:tcBorders>
            <w:noWrap w:val="0"/>
            <w:vAlign w:val="center"/>
          </w:tcPr>
          <w:p w14:paraId="5CEC408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现状</w:t>
            </w:r>
          </w:p>
          <w:p w14:paraId="7F5FAAC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调查</w:t>
            </w:r>
          </w:p>
          <w:p w14:paraId="74868E5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内容</w:t>
            </w:r>
          </w:p>
        </w:tc>
        <w:tc>
          <w:tcPr>
            <w:tcW w:w="1032" w:type="pct"/>
            <w:tcBorders>
              <w:tl2br w:val="nil"/>
              <w:tr2bl w:val="nil"/>
            </w:tcBorders>
            <w:noWrap w:val="0"/>
            <w:vAlign w:val="center"/>
          </w:tcPr>
          <w:p w14:paraId="4BB8D04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资料收集</w:t>
            </w:r>
          </w:p>
        </w:tc>
        <w:tc>
          <w:tcPr>
            <w:tcW w:w="3708" w:type="pct"/>
            <w:gridSpan w:val="6"/>
            <w:tcBorders>
              <w:tl2br w:val="nil"/>
              <w:tr2bl w:val="nil"/>
            </w:tcBorders>
            <w:noWrap w:val="0"/>
            <w:vAlign w:val="center"/>
          </w:tcPr>
          <w:p w14:paraId="29418FD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p>
        </w:tc>
      </w:tr>
      <w:tr w14:paraId="51D60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6DE1665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3D76EB3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理化特性</w:t>
            </w:r>
          </w:p>
        </w:tc>
        <w:tc>
          <w:tcPr>
            <w:tcW w:w="3708" w:type="pct"/>
            <w:gridSpan w:val="6"/>
            <w:tcBorders>
              <w:tl2br w:val="nil"/>
              <w:tr2bl w:val="nil"/>
            </w:tcBorders>
            <w:noWrap w:val="0"/>
            <w:vAlign w:val="center"/>
          </w:tcPr>
          <w:p w14:paraId="3A0920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土壤容重1.56-1.65g/cm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；有机质含量3.78-4.02g/kg</w:t>
            </w:r>
          </w:p>
        </w:tc>
      </w:tr>
      <w:tr w14:paraId="44E58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73C9847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vMerge w:val="restart"/>
            <w:tcBorders>
              <w:tl2br w:val="nil"/>
              <w:tr2bl w:val="nil"/>
            </w:tcBorders>
            <w:noWrap w:val="0"/>
            <w:vAlign w:val="center"/>
          </w:tcPr>
          <w:p w14:paraId="00DDC4E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现状监测点位</w:t>
            </w:r>
          </w:p>
        </w:tc>
        <w:tc>
          <w:tcPr>
            <w:tcW w:w="870" w:type="pct"/>
            <w:gridSpan w:val="2"/>
            <w:tcBorders>
              <w:tl2br w:val="nil"/>
              <w:tr2bl w:val="nil"/>
            </w:tcBorders>
            <w:noWrap w:val="0"/>
            <w:vAlign w:val="center"/>
          </w:tcPr>
          <w:p w14:paraId="561EDAD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939" w:type="pct"/>
            <w:tcBorders>
              <w:tl2br w:val="nil"/>
              <w:tr2bl w:val="nil"/>
            </w:tcBorders>
            <w:noWrap w:val="0"/>
            <w:vAlign w:val="center"/>
          </w:tcPr>
          <w:p w14:paraId="7F4EF30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占地范围内</w:t>
            </w:r>
          </w:p>
        </w:tc>
        <w:tc>
          <w:tcPr>
            <w:tcW w:w="929" w:type="pct"/>
            <w:gridSpan w:val="2"/>
            <w:tcBorders>
              <w:tl2br w:val="nil"/>
              <w:tr2bl w:val="nil"/>
            </w:tcBorders>
            <w:noWrap w:val="0"/>
            <w:vAlign w:val="center"/>
          </w:tcPr>
          <w:p w14:paraId="6BB0205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占地范围外</w:t>
            </w:r>
          </w:p>
        </w:tc>
        <w:tc>
          <w:tcPr>
            <w:tcW w:w="968" w:type="pct"/>
            <w:tcBorders>
              <w:tl2br w:val="nil"/>
              <w:tr2bl w:val="nil"/>
            </w:tcBorders>
            <w:noWrap w:val="0"/>
            <w:vAlign w:val="center"/>
          </w:tcPr>
          <w:p w14:paraId="2D73852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深度</w:t>
            </w:r>
          </w:p>
        </w:tc>
      </w:tr>
      <w:tr w14:paraId="7F134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7045855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vMerge w:val="continue"/>
            <w:tcBorders>
              <w:tl2br w:val="nil"/>
              <w:tr2bl w:val="nil"/>
            </w:tcBorders>
            <w:noWrap w:val="0"/>
            <w:vAlign w:val="center"/>
          </w:tcPr>
          <w:p w14:paraId="0911503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870" w:type="pct"/>
            <w:gridSpan w:val="2"/>
            <w:tcBorders>
              <w:tl2br w:val="nil"/>
              <w:tr2bl w:val="nil"/>
            </w:tcBorders>
            <w:noWrap w:val="0"/>
            <w:vAlign w:val="center"/>
          </w:tcPr>
          <w:p w14:paraId="2CDF85B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表层样点数</w:t>
            </w:r>
          </w:p>
        </w:tc>
        <w:tc>
          <w:tcPr>
            <w:tcW w:w="939" w:type="pct"/>
            <w:tcBorders>
              <w:tl2br w:val="nil"/>
              <w:tr2bl w:val="nil"/>
            </w:tcBorders>
            <w:noWrap w:val="0"/>
            <w:vAlign w:val="center"/>
          </w:tcPr>
          <w:p w14:paraId="36D452E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929" w:type="pct"/>
            <w:gridSpan w:val="2"/>
            <w:tcBorders>
              <w:tl2br w:val="nil"/>
              <w:tr2bl w:val="nil"/>
            </w:tcBorders>
            <w:noWrap w:val="0"/>
            <w:vAlign w:val="center"/>
          </w:tcPr>
          <w:p w14:paraId="104B334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968" w:type="pct"/>
            <w:tcBorders>
              <w:tl2br w:val="nil"/>
              <w:tr2bl w:val="nil"/>
            </w:tcBorders>
            <w:noWrap w:val="0"/>
            <w:vAlign w:val="center"/>
          </w:tcPr>
          <w:p w14:paraId="673E741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lang w:bidi="ar"/>
                <w14:textFill>
                  <w14:solidFill>
                    <w14:schemeClr w14:val="tx1"/>
                  </w14:solidFill>
                </w14:textFill>
              </w:rPr>
              <w:t>0~0.2m</w:t>
            </w:r>
          </w:p>
        </w:tc>
      </w:tr>
      <w:tr w14:paraId="67E7D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73BCCDA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vMerge w:val="continue"/>
            <w:tcBorders>
              <w:tl2br w:val="nil"/>
              <w:tr2bl w:val="nil"/>
            </w:tcBorders>
            <w:noWrap w:val="0"/>
            <w:vAlign w:val="center"/>
          </w:tcPr>
          <w:p w14:paraId="24FC6C2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870" w:type="pct"/>
            <w:gridSpan w:val="2"/>
            <w:tcBorders>
              <w:tl2br w:val="nil"/>
              <w:tr2bl w:val="nil"/>
            </w:tcBorders>
            <w:noWrap w:val="0"/>
            <w:vAlign w:val="center"/>
          </w:tcPr>
          <w:p w14:paraId="6D844E5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柱状样点数</w:t>
            </w:r>
          </w:p>
        </w:tc>
        <w:tc>
          <w:tcPr>
            <w:tcW w:w="939" w:type="pct"/>
            <w:tcBorders>
              <w:tl2br w:val="nil"/>
              <w:tr2bl w:val="nil"/>
            </w:tcBorders>
            <w:noWrap w:val="0"/>
            <w:vAlign w:val="center"/>
          </w:tcPr>
          <w:p w14:paraId="33242AD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w:t>
            </w:r>
          </w:p>
        </w:tc>
        <w:tc>
          <w:tcPr>
            <w:tcW w:w="929" w:type="pct"/>
            <w:gridSpan w:val="2"/>
            <w:tcBorders>
              <w:tl2br w:val="nil"/>
              <w:tr2bl w:val="nil"/>
            </w:tcBorders>
            <w:noWrap w:val="0"/>
            <w:vAlign w:val="center"/>
          </w:tcPr>
          <w:p w14:paraId="4621E7E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p>
        </w:tc>
        <w:tc>
          <w:tcPr>
            <w:tcW w:w="968" w:type="pct"/>
            <w:tcBorders>
              <w:tl2br w:val="nil"/>
              <w:tr2bl w:val="nil"/>
            </w:tcBorders>
            <w:noWrap w:val="0"/>
            <w:vAlign w:val="center"/>
          </w:tcPr>
          <w:p w14:paraId="43F1C4FE">
            <w:pPr>
              <w:keepNext w:val="0"/>
              <w:keepLines w:val="0"/>
              <w:suppressLineNumbers w:val="0"/>
              <w:autoSpaceDE w:val="0"/>
              <w:autoSpaceDN w:val="0"/>
              <w:adjustRightInd w:val="0"/>
              <w:spacing w:before="0" w:beforeAutospacing="0" w:after="0" w:afterAutospacing="0" w:line="240" w:lineRule="atLeast"/>
              <w:ind w:left="0" w:right="0" w:firstLine="0" w:firstLineChars="0"/>
              <w:jc w:val="center"/>
              <w:rPr>
                <w:rFonts w:hint="default" w:ascii="Times New Roman" w:hAnsi="Times New Roman"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14:textFill>
                  <w14:solidFill>
                    <w14:schemeClr w14:val="tx1"/>
                  </w14:solidFill>
                </w14:textFill>
              </w:rPr>
              <w:t>0~0.5m</w:t>
            </w:r>
          </w:p>
          <w:p w14:paraId="576CB6FB">
            <w:pPr>
              <w:keepNext w:val="0"/>
              <w:keepLines w:val="0"/>
              <w:suppressLineNumbers w:val="0"/>
              <w:autoSpaceDE w:val="0"/>
              <w:autoSpaceDN w:val="0"/>
              <w:adjustRightInd w:val="0"/>
              <w:spacing w:before="0" w:beforeAutospacing="0" w:after="0" w:afterAutospacing="0" w:line="240" w:lineRule="atLeast"/>
              <w:ind w:left="0" w:right="0" w:firstLine="0" w:firstLineChars="0"/>
              <w:jc w:val="center"/>
              <w:rPr>
                <w:rFonts w:hint="default" w:ascii="Times New Roman" w:hAnsi="Times New Roman"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14:textFill>
                  <w14:solidFill>
                    <w14:schemeClr w14:val="tx1"/>
                  </w14:solidFill>
                </w14:textFill>
              </w:rPr>
              <w:t>0.5~1.5m</w:t>
            </w:r>
          </w:p>
          <w:p w14:paraId="5546565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14:textFill>
                  <w14:solidFill>
                    <w14:schemeClr w14:val="tx1"/>
                  </w14:solidFill>
                </w14:textFill>
              </w:rPr>
              <w:t>1.5~3m</w:t>
            </w:r>
          </w:p>
        </w:tc>
      </w:tr>
      <w:tr w14:paraId="44A98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022C808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1290FA1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现状监测因子</w:t>
            </w:r>
          </w:p>
        </w:tc>
        <w:tc>
          <w:tcPr>
            <w:tcW w:w="3708" w:type="pct"/>
            <w:gridSpan w:val="6"/>
            <w:tcBorders>
              <w:tl2br w:val="nil"/>
              <w:tr2bl w:val="nil"/>
            </w:tcBorders>
            <w:noWrap w:val="0"/>
            <w:vAlign w:val="center"/>
          </w:tcPr>
          <w:p w14:paraId="354FE7A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lang w:bidi="ar"/>
                <w14:textFill>
                  <w14:solidFill>
                    <w14:schemeClr w14:val="tx1"/>
                  </w14:solidFill>
                </w14:textFill>
              </w:rPr>
              <w:t>基本45项</w:t>
            </w:r>
            <w:r>
              <w:rPr>
                <w:rFonts w:hint="eastAsia" w:cs="Times New Roman"/>
                <w:color w:val="000000" w:themeColor="text1"/>
                <w:kern w:val="0"/>
                <w:sz w:val="21"/>
                <w:lang w:val="en-US" w:eastAsia="zh-CN" w:bidi="ar"/>
                <w14:textFill>
                  <w14:solidFill>
                    <w14:schemeClr w14:val="tx1"/>
                  </w14:solidFill>
                </w14:textFill>
              </w:rPr>
              <w:t>+pH、含盐量、石油烃、锰</w:t>
            </w:r>
          </w:p>
        </w:tc>
      </w:tr>
      <w:tr w14:paraId="09600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restart"/>
            <w:tcBorders>
              <w:tl2br w:val="nil"/>
              <w:tr2bl w:val="nil"/>
            </w:tcBorders>
            <w:noWrap w:val="0"/>
            <w:vAlign w:val="center"/>
          </w:tcPr>
          <w:p w14:paraId="7409B2F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现状</w:t>
            </w:r>
          </w:p>
          <w:p w14:paraId="0CB358F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tc>
        <w:tc>
          <w:tcPr>
            <w:tcW w:w="1032" w:type="pct"/>
            <w:tcBorders>
              <w:tl2br w:val="nil"/>
              <w:tr2bl w:val="nil"/>
            </w:tcBorders>
            <w:noWrap w:val="0"/>
            <w:vAlign w:val="center"/>
          </w:tcPr>
          <w:p w14:paraId="5547E17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评价因子</w:t>
            </w:r>
          </w:p>
        </w:tc>
        <w:tc>
          <w:tcPr>
            <w:tcW w:w="3708" w:type="pct"/>
            <w:gridSpan w:val="6"/>
            <w:tcBorders>
              <w:tl2br w:val="nil"/>
              <w:tr2bl w:val="nil"/>
            </w:tcBorders>
            <w:noWrap w:val="0"/>
            <w:vAlign w:val="center"/>
          </w:tcPr>
          <w:p w14:paraId="5D49704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lang w:bidi="ar"/>
                <w14:textFill>
                  <w14:solidFill>
                    <w14:schemeClr w14:val="tx1"/>
                  </w14:solidFill>
                </w14:textFill>
              </w:rPr>
              <w:t>基本45项</w:t>
            </w:r>
            <w:r>
              <w:rPr>
                <w:rFonts w:hint="eastAsia" w:cs="Times New Roman"/>
                <w:color w:val="000000" w:themeColor="text1"/>
                <w:kern w:val="0"/>
                <w:sz w:val="21"/>
                <w:lang w:val="en-US" w:eastAsia="zh-CN" w:bidi="ar"/>
                <w14:textFill>
                  <w14:solidFill>
                    <w14:schemeClr w14:val="tx1"/>
                  </w14:solidFill>
                </w14:textFill>
              </w:rPr>
              <w:t>+pH、含盐量、石油烃、锰</w:t>
            </w:r>
          </w:p>
        </w:tc>
      </w:tr>
      <w:tr w14:paraId="0B9A3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1ABB35F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52FB9FB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评价标准</w:t>
            </w:r>
          </w:p>
        </w:tc>
        <w:tc>
          <w:tcPr>
            <w:tcW w:w="3708" w:type="pct"/>
            <w:gridSpan w:val="6"/>
            <w:tcBorders>
              <w:tl2br w:val="nil"/>
              <w:tr2bl w:val="nil"/>
            </w:tcBorders>
            <w:noWrap w:val="0"/>
            <w:vAlign w:val="center"/>
          </w:tcPr>
          <w:p w14:paraId="0FCA5B5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GB 15618</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；GB 36600</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；表 D.1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；表 D.2</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   ）</w:t>
            </w:r>
          </w:p>
        </w:tc>
      </w:tr>
      <w:tr w14:paraId="002B0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6558221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4EDAB77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现状评价结论</w:t>
            </w:r>
          </w:p>
        </w:tc>
        <w:tc>
          <w:tcPr>
            <w:tcW w:w="3708" w:type="pct"/>
            <w:gridSpan w:val="6"/>
            <w:tcBorders>
              <w:tl2br w:val="nil"/>
              <w:tr2bl w:val="nil"/>
            </w:tcBorders>
            <w:noWrap w:val="0"/>
            <w:vAlign w:val="center"/>
          </w:tcPr>
          <w:p w14:paraId="15A1881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14:paraId="254E5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restart"/>
            <w:tcBorders>
              <w:tl2br w:val="nil"/>
              <w:tr2bl w:val="nil"/>
            </w:tcBorders>
            <w:noWrap w:val="0"/>
            <w:vAlign w:val="center"/>
          </w:tcPr>
          <w:p w14:paraId="6294BCE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影响预测</w:t>
            </w:r>
          </w:p>
        </w:tc>
        <w:tc>
          <w:tcPr>
            <w:tcW w:w="1032" w:type="pct"/>
            <w:tcBorders>
              <w:tl2br w:val="nil"/>
              <w:tr2bl w:val="nil"/>
            </w:tcBorders>
            <w:noWrap w:val="0"/>
            <w:vAlign w:val="center"/>
          </w:tcPr>
          <w:p w14:paraId="136B20A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预测因子</w:t>
            </w:r>
          </w:p>
        </w:tc>
        <w:tc>
          <w:tcPr>
            <w:tcW w:w="3708" w:type="pct"/>
            <w:gridSpan w:val="6"/>
            <w:tcBorders>
              <w:tl2br w:val="nil"/>
              <w:tr2bl w:val="nil"/>
            </w:tcBorders>
            <w:noWrap w:val="0"/>
            <w:vAlign w:val="center"/>
          </w:tcPr>
          <w:p w14:paraId="6A32815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砷、全盐量</w:t>
            </w:r>
          </w:p>
        </w:tc>
      </w:tr>
      <w:tr w14:paraId="4FC2F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34CAF3D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1A4D618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预测方法</w:t>
            </w:r>
          </w:p>
        </w:tc>
        <w:tc>
          <w:tcPr>
            <w:tcW w:w="3708" w:type="pct"/>
            <w:gridSpan w:val="6"/>
            <w:tcBorders>
              <w:tl2br w:val="nil"/>
              <w:tr2bl w:val="nil"/>
            </w:tcBorders>
            <w:noWrap w:val="0"/>
            <w:vAlign w:val="center"/>
          </w:tcPr>
          <w:p w14:paraId="0A4266C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附录E</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；附录F</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      ）</w:t>
            </w:r>
          </w:p>
        </w:tc>
      </w:tr>
      <w:tr w14:paraId="6A04D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30A634B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1CA19DB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预测分析内容</w:t>
            </w:r>
          </w:p>
        </w:tc>
        <w:tc>
          <w:tcPr>
            <w:tcW w:w="3708" w:type="pct"/>
            <w:gridSpan w:val="6"/>
            <w:tcBorders>
              <w:tl2br w:val="nil"/>
              <w:tr2bl w:val="nil"/>
            </w:tcBorders>
            <w:noWrap w:val="0"/>
            <w:vAlign w:val="center"/>
          </w:tcPr>
          <w:p w14:paraId="09BC555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影响范围（       ）</w:t>
            </w:r>
          </w:p>
          <w:p w14:paraId="2624891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影响程度（       ）</w:t>
            </w:r>
          </w:p>
        </w:tc>
      </w:tr>
      <w:tr w14:paraId="6809A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023483E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1709DB4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预测结论</w:t>
            </w:r>
          </w:p>
        </w:tc>
        <w:tc>
          <w:tcPr>
            <w:tcW w:w="3708" w:type="pct"/>
            <w:gridSpan w:val="6"/>
            <w:tcBorders>
              <w:tl2br w:val="nil"/>
              <w:tr2bl w:val="nil"/>
            </w:tcBorders>
            <w:noWrap w:val="0"/>
            <w:vAlign w:val="center"/>
          </w:tcPr>
          <w:p w14:paraId="37544B6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达标结论：a）</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p>
          <w:p w14:paraId="490155E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不达标结论：a）</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ym w:font="Wingdings 2" w:char="00A3"/>
            </w:r>
          </w:p>
        </w:tc>
      </w:tr>
      <w:tr w14:paraId="4CBEE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restart"/>
            <w:tcBorders>
              <w:tl2br w:val="nil"/>
              <w:tr2bl w:val="nil"/>
            </w:tcBorders>
            <w:noWrap w:val="0"/>
            <w:vAlign w:val="center"/>
          </w:tcPr>
          <w:p w14:paraId="2E4D59D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防治措施</w:t>
            </w:r>
          </w:p>
        </w:tc>
        <w:tc>
          <w:tcPr>
            <w:tcW w:w="1032" w:type="pct"/>
            <w:tcBorders>
              <w:tl2br w:val="nil"/>
              <w:tr2bl w:val="nil"/>
            </w:tcBorders>
            <w:noWrap w:val="0"/>
            <w:vAlign w:val="center"/>
          </w:tcPr>
          <w:p w14:paraId="1C4C9E5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防控措施</w:t>
            </w:r>
          </w:p>
        </w:tc>
        <w:tc>
          <w:tcPr>
            <w:tcW w:w="3708" w:type="pct"/>
            <w:gridSpan w:val="6"/>
            <w:tcBorders>
              <w:tl2br w:val="nil"/>
              <w:tr2bl w:val="nil"/>
            </w:tcBorders>
            <w:noWrap w:val="0"/>
            <w:vAlign w:val="center"/>
          </w:tcPr>
          <w:p w14:paraId="795877C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土壤环境质量现状保障</w:t>
            </w:r>
            <w:r>
              <w:rPr>
                <w:rFonts w:hint="eastAsia"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；源头控制</w:t>
            </w:r>
            <w:r>
              <w:rPr>
                <w:rFonts w:hint="eastAsia"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；过程防控</w:t>
            </w:r>
            <w:r>
              <w:rPr>
                <w:rFonts w:hint="eastAsia" w:cs="Times New Roman"/>
                <w:color w:val="000000" w:themeColor="text1"/>
                <w:kern w:val="0"/>
                <w:sz w:val="21"/>
                <w:szCs w:val="21"/>
                <w:highlight w:val="none"/>
                <w:lang w:val="en-US" w:eastAsia="zh-CN"/>
                <w14:textFill>
                  <w14:solidFill>
                    <w14:schemeClr w14:val="tx1"/>
                  </w14:solidFill>
                </w14:textFill>
              </w:rPr>
              <w:sym w:font="Wingdings 2" w:char="0052"/>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      ）</w:t>
            </w:r>
          </w:p>
        </w:tc>
      </w:tr>
      <w:tr w14:paraId="595D5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4C87A06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vMerge w:val="restart"/>
            <w:tcBorders>
              <w:tl2br w:val="nil"/>
              <w:tr2bl w:val="nil"/>
            </w:tcBorders>
            <w:noWrap w:val="0"/>
            <w:vAlign w:val="center"/>
          </w:tcPr>
          <w:p w14:paraId="3E84667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跟踪监测</w:t>
            </w:r>
          </w:p>
        </w:tc>
        <w:tc>
          <w:tcPr>
            <w:tcW w:w="679" w:type="pct"/>
            <w:tcBorders>
              <w:tl2br w:val="nil"/>
              <w:tr2bl w:val="nil"/>
            </w:tcBorders>
            <w:noWrap w:val="0"/>
            <w:vAlign w:val="center"/>
          </w:tcPr>
          <w:p w14:paraId="7C2C601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监测点数</w:t>
            </w:r>
          </w:p>
        </w:tc>
        <w:tc>
          <w:tcPr>
            <w:tcW w:w="1947" w:type="pct"/>
            <w:gridSpan w:val="3"/>
            <w:tcBorders>
              <w:tl2br w:val="nil"/>
              <w:tr2bl w:val="nil"/>
            </w:tcBorders>
            <w:noWrap w:val="0"/>
            <w:vAlign w:val="center"/>
          </w:tcPr>
          <w:p w14:paraId="4F5AD22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监测指标</w:t>
            </w:r>
          </w:p>
        </w:tc>
        <w:tc>
          <w:tcPr>
            <w:tcW w:w="1082" w:type="pct"/>
            <w:gridSpan w:val="2"/>
            <w:tcBorders>
              <w:tl2br w:val="nil"/>
              <w:tr2bl w:val="nil"/>
            </w:tcBorders>
            <w:noWrap w:val="0"/>
            <w:vAlign w:val="center"/>
          </w:tcPr>
          <w:p w14:paraId="24BB4A6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监测频次</w:t>
            </w:r>
          </w:p>
        </w:tc>
      </w:tr>
      <w:tr w14:paraId="5871E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1E2FBC8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vMerge w:val="continue"/>
            <w:tcBorders>
              <w:tl2br w:val="nil"/>
              <w:tr2bl w:val="nil"/>
            </w:tcBorders>
            <w:noWrap w:val="0"/>
            <w:vAlign w:val="center"/>
          </w:tcPr>
          <w:p w14:paraId="2F9BF94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79" w:type="pct"/>
            <w:tcBorders>
              <w:tl2br w:val="nil"/>
              <w:tr2bl w:val="nil"/>
            </w:tcBorders>
            <w:noWrap w:val="0"/>
            <w:vAlign w:val="center"/>
          </w:tcPr>
          <w:p w14:paraId="09B526D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w:t>
            </w:r>
          </w:p>
        </w:tc>
        <w:tc>
          <w:tcPr>
            <w:tcW w:w="1947" w:type="pct"/>
            <w:gridSpan w:val="3"/>
            <w:tcBorders>
              <w:tl2br w:val="nil"/>
              <w:tr2bl w:val="nil"/>
            </w:tcBorders>
            <w:noWrap w:val="0"/>
            <w:vAlign w:val="center"/>
          </w:tcPr>
          <w:p w14:paraId="7A31536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pH、含盐量及砷、镉、铜、铅、汞、镍、六价铬、锌等</w:t>
            </w:r>
          </w:p>
        </w:tc>
        <w:tc>
          <w:tcPr>
            <w:tcW w:w="1082" w:type="pct"/>
            <w:gridSpan w:val="2"/>
            <w:tcBorders>
              <w:tl2br w:val="nil"/>
              <w:tr2bl w:val="nil"/>
            </w:tcBorders>
            <w:noWrap w:val="0"/>
            <w:vAlign w:val="center"/>
          </w:tcPr>
          <w:p w14:paraId="4020DA64">
            <w:pPr>
              <w:keepNext w:val="0"/>
              <w:keepLines w:val="0"/>
              <w:suppressLineNumbers w:val="0"/>
              <w:autoSpaceDE w:val="0"/>
              <w:autoSpaceDN w:val="0"/>
              <w:adjustRightInd w:val="0"/>
              <w:spacing w:before="0" w:beforeAutospacing="0" w:after="0" w:afterAutospacing="0" w:line="360" w:lineRule="exact"/>
              <w:ind w:left="0" w:right="0" w:firstLine="0" w:firstLineChars="0"/>
              <w:jc w:val="center"/>
              <w:rPr>
                <w:rFonts w:hint="eastAsia" w:cs="Times New Roman"/>
                <w:color w:val="000000" w:themeColor="text1"/>
                <w:kern w:val="0"/>
                <w:sz w:val="21"/>
                <w:highlight w:val="none"/>
                <w14:textFill>
                  <w14:solidFill>
                    <w14:schemeClr w14:val="tx1"/>
                  </w14:solidFill>
                </w14:textFill>
              </w:rPr>
            </w:pPr>
            <w:r>
              <w:rPr>
                <w:rFonts w:hint="eastAsia" w:cs="Times New Roman"/>
                <w:color w:val="000000" w:themeColor="text1"/>
                <w:kern w:val="0"/>
                <w:sz w:val="21"/>
                <w:highlight w:val="none"/>
                <w14:textFill>
                  <w14:solidFill>
                    <w14:schemeClr w14:val="tx1"/>
                  </w14:solidFill>
                </w14:textFill>
              </w:rPr>
              <w:t>深层土壤：1次/3年；</w:t>
            </w:r>
          </w:p>
          <w:p w14:paraId="26E51D7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highlight w:val="none"/>
                <w14:textFill>
                  <w14:solidFill>
                    <w14:schemeClr w14:val="tx1"/>
                  </w14:solidFill>
                </w14:textFill>
              </w:rPr>
              <w:t>表层土壤：1次/年</w:t>
            </w:r>
          </w:p>
        </w:tc>
      </w:tr>
      <w:tr w14:paraId="1946A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59" w:type="pct"/>
            <w:vMerge w:val="continue"/>
            <w:tcBorders>
              <w:tl2br w:val="nil"/>
              <w:tr2bl w:val="nil"/>
            </w:tcBorders>
            <w:noWrap w:val="0"/>
            <w:vAlign w:val="center"/>
          </w:tcPr>
          <w:p w14:paraId="49031A6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32" w:type="pct"/>
            <w:tcBorders>
              <w:tl2br w:val="nil"/>
              <w:tr2bl w:val="nil"/>
            </w:tcBorders>
            <w:noWrap w:val="0"/>
            <w:vAlign w:val="center"/>
          </w:tcPr>
          <w:p w14:paraId="6ECFF03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信息公开指标</w:t>
            </w:r>
          </w:p>
        </w:tc>
        <w:tc>
          <w:tcPr>
            <w:tcW w:w="3708" w:type="pct"/>
            <w:gridSpan w:val="6"/>
            <w:tcBorders>
              <w:tl2br w:val="nil"/>
              <w:tr2bl w:val="nil"/>
            </w:tcBorders>
            <w:noWrap w:val="0"/>
            <w:vAlign w:val="center"/>
          </w:tcPr>
          <w:p w14:paraId="7457D05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6357B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1" w:type="pct"/>
            <w:gridSpan w:val="2"/>
            <w:tcBorders>
              <w:tl2br w:val="nil"/>
              <w:tr2bl w:val="nil"/>
            </w:tcBorders>
            <w:noWrap w:val="0"/>
            <w:vAlign w:val="center"/>
          </w:tcPr>
          <w:p w14:paraId="2BB1AF4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评价结论</w:t>
            </w:r>
          </w:p>
        </w:tc>
        <w:tc>
          <w:tcPr>
            <w:tcW w:w="3708" w:type="pct"/>
            <w:gridSpan w:val="6"/>
            <w:tcBorders>
              <w:tl2br w:val="nil"/>
              <w:tr2bl w:val="nil"/>
            </w:tcBorders>
            <w:noWrap w:val="0"/>
            <w:vAlign w:val="center"/>
          </w:tcPr>
          <w:p w14:paraId="757808F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14:textFill>
                  <w14:solidFill>
                    <w14:schemeClr w14:val="tx1"/>
                  </w14:solidFill>
                </w14:textFill>
              </w:rPr>
              <w:t>本项目在</w:t>
            </w:r>
            <w:r>
              <w:rPr>
                <w:rFonts w:hint="eastAsia" w:cs="Times New Roman"/>
                <w:color w:val="000000" w:themeColor="text1"/>
                <w:kern w:val="0"/>
                <w:sz w:val="21"/>
                <w:lang w:val="en-US" w:eastAsia="zh-CN"/>
                <w14:textFill>
                  <w14:solidFill>
                    <w14:schemeClr w14:val="tx1"/>
                  </w14:solidFill>
                </w14:textFill>
              </w:rPr>
              <w:t>废石堆场</w:t>
            </w:r>
            <w:r>
              <w:rPr>
                <w:rFonts w:hint="default" w:ascii="Times New Roman" w:hAnsi="Times New Roman" w:cs="Times New Roman"/>
                <w:color w:val="000000" w:themeColor="text1"/>
                <w:kern w:val="0"/>
                <w:sz w:val="21"/>
                <w:lang w:val="en-US" w:eastAsia="zh-CN"/>
                <w14:textFill>
                  <w14:solidFill>
                    <w14:schemeClr w14:val="tx1"/>
                  </w14:solidFill>
                </w14:textFill>
              </w:rPr>
              <w:t>淋溶水</w:t>
            </w:r>
            <w:r>
              <w:rPr>
                <w:rFonts w:hint="default" w:ascii="Times New Roman" w:hAnsi="Times New Roman" w:cs="Times New Roman"/>
                <w:color w:val="000000" w:themeColor="text1"/>
                <w:kern w:val="0"/>
                <w:sz w:val="21"/>
                <w14:textFill>
                  <w14:solidFill>
                    <w14:schemeClr w14:val="tx1"/>
                  </w14:solidFill>
                </w14:textFill>
              </w:rPr>
              <w:t>通过入渗形式进入周边土壤，可能会造成土壤环境影响。根据情景预测结果，本项目废石淋溶水如持续入渗占地范围内土壤13.31年，则评价范围内单位质量表层中砷的含量将为0.017700245g/kg，总体增量极小，对区域土壤环境影响较小。</w:t>
            </w:r>
          </w:p>
        </w:tc>
      </w:tr>
      <w:tr w14:paraId="4F0EF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00" w:type="pct"/>
            <w:gridSpan w:val="8"/>
            <w:tcBorders>
              <w:tl2br w:val="nil"/>
              <w:tr2bl w:val="nil"/>
            </w:tcBorders>
            <w:noWrap w:val="0"/>
            <w:vAlign w:val="center"/>
          </w:tcPr>
          <w:p w14:paraId="298D7205">
            <w:pPr>
              <w:keepNext w:val="0"/>
              <w:keepLines w:val="0"/>
              <w:suppressLineNumbers w:val="0"/>
              <w:autoSpaceDE w:val="0"/>
              <w:autoSpaceDN w:val="0"/>
              <w:adjustRightInd w:val="0"/>
              <w:spacing w:before="0" w:beforeAutospacing="0" w:after="0" w:afterAutospacing="0" w:line="360" w:lineRule="exact"/>
              <w:ind w:left="0" w:right="0" w:firstLine="0" w:firstLineChars="0"/>
              <w:jc w:val="left"/>
              <w:rPr>
                <w:rFonts w:hint="default" w:ascii="Times New Roman" w:hAnsi="Times New Roman"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position w:val="-1"/>
                <w:sz w:val="21"/>
                <w:lang w:bidi="ar"/>
                <w14:textFill>
                  <w14:solidFill>
                    <w14:schemeClr w14:val="tx1"/>
                  </w14:solidFill>
                </w14:textFill>
              </w:rPr>
              <w:t>注</w:t>
            </w:r>
            <w:r>
              <w:rPr>
                <w:rFonts w:hint="default" w:ascii="Times New Roman" w:hAnsi="Times New Roman" w:cs="Times New Roman"/>
                <w:color w:val="000000" w:themeColor="text1"/>
                <w:spacing w:val="1"/>
                <w:kern w:val="0"/>
                <w:position w:val="-1"/>
                <w:sz w:val="21"/>
                <w:lang w:bidi="ar"/>
                <w14:textFill>
                  <w14:solidFill>
                    <w14:schemeClr w14:val="tx1"/>
                  </w14:solidFill>
                </w14:textFill>
              </w:rPr>
              <w:t xml:space="preserve"> </w:t>
            </w:r>
            <w:r>
              <w:rPr>
                <w:rFonts w:hint="default" w:ascii="Times New Roman" w:hAnsi="Times New Roman" w:cs="Times New Roman"/>
                <w:color w:val="000000" w:themeColor="text1"/>
                <w:spacing w:val="-1"/>
                <w:kern w:val="0"/>
                <w:position w:val="-1"/>
                <w:sz w:val="21"/>
                <w:lang w:bidi="ar"/>
                <w14:textFill>
                  <w14:solidFill>
                    <w14:schemeClr w14:val="tx1"/>
                  </w14:solidFill>
                </w14:textFill>
              </w:rPr>
              <w:t>1</w:t>
            </w:r>
            <w:r>
              <w:rPr>
                <w:rFonts w:hint="default" w:ascii="Times New Roman" w:hAnsi="Times New Roman" w:cs="Times New Roman"/>
                <w:color w:val="000000" w:themeColor="text1"/>
                <w:kern w:val="0"/>
                <w:position w:val="-1"/>
                <w:sz w:val="21"/>
                <w:lang w:bidi="ar"/>
                <w14:textFill>
                  <w14:solidFill>
                    <w14:schemeClr w14:val="tx1"/>
                  </w14:solidFill>
                </w14:textFill>
              </w:rPr>
              <w:t>：</w:t>
            </w:r>
            <w:r>
              <w:rPr>
                <w:rFonts w:hint="eastAsia" w:ascii="Times New Roman" w:hAnsi="Times New Roman" w:cs="Times New Roman"/>
                <w:color w:val="000000" w:themeColor="text1"/>
                <w:kern w:val="0"/>
                <w:position w:val="-1"/>
                <w:sz w:val="21"/>
                <w:lang w:bidi="ar"/>
                <w14:textFill>
                  <w14:solidFill>
                    <w14:schemeClr w14:val="tx1"/>
                  </w14:solidFill>
                </w14:textFill>
              </w:rPr>
              <w:t>“</w:t>
            </w:r>
            <w:r>
              <w:rPr>
                <w:rFonts w:hint="default" w:ascii="Times New Roman" w:hAnsi="Times New Roman" w:eastAsia="仿宋" w:cs="Times New Roman"/>
                <w:color w:val="000000" w:themeColor="text1"/>
                <w:sz w:val="21"/>
                <w:lang w:bidi="ar"/>
                <w14:textFill>
                  <w14:solidFill>
                    <w14:schemeClr w14:val="tx1"/>
                  </w14:solidFill>
                </w14:textFill>
              </w:rPr>
              <w:t>□</w:t>
            </w:r>
            <w:r>
              <w:rPr>
                <w:rFonts w:hint="eastAsia" w:ascii="Times New Roman" w:hAnsi="Times New Roman" w:eastAsia="仿宋" w:cs="Times New Roman"/>
                <w:color w:val="000000" w:themeColor="text1"/>
                <w:kern w:val="0"/>
                <w:position w:val="-1"/>
                <w:sz w:val="21"/>
                <w:lang w:bidi="ar"/>
                <w14:textFill>
                  <w14:solidFill>
                    <w14:schemeClr w14:val="tx1"/>
                  </w14:solidFill>
                </w14:textFill>
              </w:rPr>
              <w:t>”</w:t>
            </w:r>
            <w:r>
              <w:rPr>
                <w:rFonts w:hint="default" w:ascii="Times New Roman" w:hAnsi="Times New Roman" w:cs="Times New Roman"/>
                <w:color w:val="000000" w:themeColor="text1"/>
                <w:kern w:val="0"/>
                <w:position w:val="-1"/>
                <w:sz w:val="21"/>
                <w:lang w:bidi="ar"/>
                <w14:textFill>
                  <w14:solidFill>
                    <w14:schemeClr w14:val="tx1"/>
                  </w14:solidFill>
                </w14:textFill>
              </w:rPr>
              <w:t>为勾选项，可</w:t>
            </w:r>
            <w:r>
              <w:rPr>
                <w:rFonts w:hint="default" w:ascii="Times New Roman" w:hAnsi="Times New Roman" w:cs="Times New Roman"/>
                <w:color w:val="000000" w:themeColor="text1"/>
                <w:w w:val="142"/>
                <w:kern w:val="0"/>
                <w:position w:val="-1"/>
                <w:sz w:val="21"/>
                <w:lang w:bidi="ar"/>
                <w14:textFill>
                  <w14:solidFill>
                    <w14:schemeClr w14:val="tx1"/>
                  </w14:solidFill>
                </w14:textFill>
              </w:rPr>
              <w:t>√</w:t>
            </w:r>
            <w:r>
              <w:rPr>
                <w:rFonts w:hint="default" w:ascii="Times New Roman" w:hAnsi="Times New Roman" w:cs="Times New Roman"/>
                <w:color w:val="000000" w:themeColor="text1"/>
                <w:kern w:val="0"/>
                <w:position w:val="-1"/>
                <w:sz w:val="21"/>
                <w:lang w:bidi="ar"/>
                <w14:textFill>
                  <w14:solidFill>
                    <w14:schemeClr w14:val="tx1"/>
                  </w14:solidFill>
                </w14:textFill>
              </w:rPr>
              <w:t>；</w:t>
            </w:r>
            <w:r>
              <w:rPr>
                <w:rFonts w:hint="eastAsia" w:ascii="Times New Roman" w:hAnsi="Times New Roman" w:cs="Times New Roman"/>
                <w:color w:val="000000" w:themeColor="text1"/>
                <w:kern w:val="0"/>
                <w:position w:val="-1"/>
                <w:sz w:val="21"/>
                <w:lang w:bidi="ar"/>
                <w14:textFill>
                  <w14:solidFill>
                    <w14:schemeClr w14:val="tx1"/>
                  </w14:solidFill>
                </w14:textFill>
              </w:rPr>
              <w:t>“</w:t>
            </w:r>
            <w:r>
              <w:rPr>
                <w:rFonts w:hint="default" w:ascii="Times New Roman" w:hAnsi="Times New Roman" w:cs="Times New Roman"/>
                <w:color w:val="000000" w:themeColor="text1"/>
                <w:kern w:val="0"/>
                <w:position w:val="-1"/>
                <w:sz w:val="21"/>
                <w:lang w:bidi="ar"/>
                <w14:textFill>
                  <w14:solidFill>
                    <w14:schemeClr w14:val="tx1"/>
                  </w14:solidFill>
                </w14:textFill>
              </w:rPr>
              <w:t xml:space="preserve">（ </w:t>
            </w:r>
            <w:r>
              <w:rPr>
                <w:rFonts w:hint="default" w:ascii="Times New Roman" w:hAnsi="Times New Roman" w:cs="Times New Roman"/>
                <w:color w:val="000000" w:themeColor="text1"/>
                <w:spacing w:val="1"/>
                <w:kern w:val="0"/>
                <w:position w:val="-1"/>
                <w:sz w:val="21"/>
                <w:lang w:bidi="ar"/>
                <w14:textFill>
                  <w14:solidFill>
                    <w14:schemeClr w14:val="tx1"/>
                  </w14:solidFill>
                </w14:textFill>
              </w:rPr>
              <w:t xml:space="preserve"> </w:t>
            </w:r>
            <w:r>
              <w:rPr>
                <w:rFonts w:hint="default" w:ascii="Times New Roman" w:hAnsi="Times New Roman" w:cs="Times New Roman"/>
                <w:color w:val="000000" w:themeColor="text1"/>
                <w:kern w:val="0"/>
                <w:position w:val="-1"/>
                <w:sz w:val="21"/>
                <w:lang w:bidi="ar"/>
                <w14:textFill>
                  <w14:solidFill>
                    <w14:schemeClr w14:val="tx1"/>
                  </w14:solidFill>
                </w14:textFill>
              </w:rPr>
              <w:t>）</w:t>
            </w:r>
            <w:r>
              <w:rPr>
                <w:rFonts w:hint="eastAsia" w:ascii="Times New Roman" w:hAnsi="Times New Roman" w:cs="Times New Roman"/>
                <w:color w:val="000000" w:themeColor="text1"/>
                <w:kern w:val="0"/>
                <w:position w:val="-1"/>
                <w:sz w:val="21"/>
                <w:lang w:bidi="ar"/>
                <w14:textFill>
                  <w14:solidFill>
                    <w14:schemeClr w14:val="tx1"/>
                  </w14:solidFill>
                </w14:textFill>
              </w:rPr>
              <w:t>”</w:t>
            </w:r>
            <w:r>
              <w:rPr>
                <w:rFonts w:hint="default" w:ascii="Times New Roman" w:hAnsi="Times New Roman" w:cs="Times New Roman"/>
                <w:color w:val="000000" w:themeColor="text1"/>
                <w:kern w:val="0"/>
                <w:position w:val="-1"/>
                <w:sz w:val="21"/>
                <w:lang w:bidi="ar"/>
                <w14:textFill>
                  <w14:solidFill>
                    <w14:schemeClr w14:val="tx1"/>
                  </w14:solidFill>
                </w14:textFill>
              </w:rPr>
              <w:t>为内容填写项；</w:t>
            </w:r>
            <w:r>
              <w:rPr>
                <w:rFonts w:hint="eastAsia" w:ascii="Times New Roman" w:hAnsi="Times New Roman" w:cs="Times New Roman"/>
                <w:color w:val="000000" w:themeColor="text1"/>
                <w:kern w:val="0"/>
                <w:position w:val="-1"/>
                <w:sz w:val="21"/>
                <w:lang w:bidi="ar"/>
                <w14:textFill>
                  <w14:solidFill>
                    <w14:schemeClr w14:val="tx1"/>
                  </w14:solidFill>
                </w14:textFill>
              </w:rPr>
              <w:t>“</w:t>
            </w:r>
            <w:r>
              <w:rPr>
                <w:rFonts w:hint="default" w:ascii="Times New Roman" w:hAnsi="Times New Roman" w:cs="Times New Roman"/>
                <w:color w:val="000000" w:themeColor="text1"/>
                <w:kern w:val="0"/>
                <w:position w:val="-1"/>
                <w:sz w:val="21"/>
                <w:lang w:bidi="ar"/>
                <w14:textFill>
                  <w14:solidFill>
                    <w14:schemeClr w14:val="tx1"/>
                  </w14:solidFill>
                </w14:textFill>
              </w:rPr>
              <w:t>备注</w:t>
            </w:r>
            <w:r>
              <w:rPr>
                <w:rFonts w:hint="eastAsia" w:ascii="Times New Roman" w:hAnsi="Times New Roman" w:cs="Times New Roman"/>
                <w:color w:val="000000" w:themeColor="text1"/>
                <w:kern w:val="0"/>
                <w:position w:val="-1"/>
                <w:sz w:val="21"/>
                <w:lang w:bidi="ar"/>
                <w14:textFill>
                  <w14:solidFill>
                    <w14:schemeClr w14:val="tx1"/>
                  </w14:solidFill>
                </w14:textFill>
              </w:rPr>
              <w:t>”</w:t>
            </w:r>
            <w:r>
              <w:rPr>
                <w:rFonts w:hint="default" w:ascii="Times New Roman" w:hAnsi="Times New Roman" w:cs="Times New Roman"/>
                <w:color w:val="000000" w:themeColor="text1"/>
                <w:kern w:val="0"/>
                <w:position w:val="-1"/>
                <w:sz w:val="21"/>
                <w:lang w:bidi="ar"/>
                <w14:textFill>
                  <w14:solidFill>
                    <w14:schemeClr w14:val="tx1"/>
                  </w14:solidFill>
                </w14:textFill>
              </w:rPr>
              <w:t>为其他补充内容。</w:t>
            </w:r>
          </w:p>
          <w:p w14:paraId="38B0675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lang w:bidi="ar"/>
                <w14:textFill>
                  <w14:solidFill>
                    <w14:schemeClr w14:val="tx1"/>
                  </w14:solidFill>
                </w14:textFill>
              </w:rPr>
              <w:t>注</w:t>
            </w:r>
            <w:r>
              <w:rPr>
                <w:rFonts w:hint="default" w:ascii="Times New Roman" w:hAnsi="Times New Roman" w:cs="Times New Roman"/>
                <w:color w:val="000000" w:themeColor="text1"/>
                <w:spacing w:val="1"/>
                <w:kern w:val="0"/>
                <w:sz w:val="21"/>
                <w:lang w:bidi="ar"/>
                <w14:textFill>
                  <w14:solidFill>
                    <w14:schemeClr w14:val="tx1"/>
                  </w14:solidFill>
                </w14:textFill>
              </w:rPr>
              <w:t xml:space="preserve"> </w:t>
            </w:r>
            <w:r>
              <w:rPr>
                <w:rFonts w:hint="default" w:ascii="Times New Roman" w:hAnsi="Times New Roman" w:cs="Times New Roman"/>
                <w:color w:val="000000" w:themeColor="text1"/>
                <w:spacing w:val="-1"/>
                <w:kern w:val="0"/>
                <w:sz w:val="21"/>
                <w:lang w:bidi="ar"/>
                <w14:textFill>
                  <w14:solidFill>
                    <w14:schemeClr w14:val="tx1"/>
                  </w14:solidFill>
                </w14:textFill>
              </w:rPr>
              <w:t>2</w:t>
            </w:r>
            <w:r>
              <w:rPr>
                <w:rFonts w:hint="default" w:ascii="Times New Roman" w:hAnsi="Times New Roman" w:cs="Times New Roman"/>
                <w:color w:val="000000" w:themeColor="text1"/>
                <w:kern w:val="0"/>
                <w:sz w:val="21"/>
                <w:lang w:bidi="ar"/>
                <w14:textFill>
                  <w14:solidFill>
                    <w14:schemeClr w14:val="tx1"/>
                  </w14:solidFill>
                </w14:textFill>
              </w:rPr>
              <w:t>：需要分别开展土壤环境影响</w:t>
            </w:r>
            <w:r>
              <w:rPr>
                <w:rFonts w:hint="eastAsia" w:cs="Times New Roman"/>
                <w:color w:val="000000" w:themeColor="text1"/>
                <w:kern w:val="0"/>
                <w:sz w:val="21"/>
                <w:lang w:val="en-US" w:eastAsia="zh-CN" w:bidi="ar"/>
                <w14:textFill>
                  <w14:solidFill>
                    <w14:schemeClr w14:val="tx1"/>
                  </w14:solidFill>
                </w14:textFill>
              </w:rPr>
              <w:t>评价</w:t>
            </w:r>
            <w:r>
              <w:rPr>
                <w:rFonts w:hint="default" w:ascii="Times New Roman" w:hAnsi="Times New Roman" w:cs="Times New Roman"/>
                <w:color w:val="000000" w:themeColor="text1"/>
                <w:kern w:val="0"/>
                <w:sz w:val="21"/>
                <w:lang w:bidi="ar"/>
                <w14:textFill>
                  <w14:solidFill>
                    <w14:schemeClr w14:val="tx1"/>
                  </w14:solidFill>
                </w14:textFill>
              </w:rPr>
              <w:t>工作的，分别填写自查表。</w:t>
            </w:r>
          </w:p>
        </w:tc>
      </w:tr>
    </w:tbl>
    <w:p w14:paraId="5B73BAD5">
      <w:pPr>
        <w:pStyle w:val="4"/>
        <w:spacing w:before="60" w:after="60" w:line="480" w:lineRule="exact"/>
        <w:rPr>
          <w:color w:val="000000" w:themeColor="text1"/>
          <w14:textFill>
            <w14:solidFill>
              <w14:schemeClr w14:val="tx1"/>
            </w14:solidFill>
          </w14:textFill>
        </w:rPr>
      </w:pPr>
      <w:r>
        <w:rPr>
          <w:rFonts w:hint="eastAsia"/>
          <w:color w:val="000000" w:themeColor="text1"/>
          <w:kern w:val="2"/>
          <w14:textFill>
            <w14:solidFill>
              <w14:schemeClr w14:val="tx1"/>
            </w14:solidFill>
          </w14:textFill>
        </w:rPr>
        <w:t>5.2.</w:t>
      </w:r>
      <w:r>
        <w:rPr>
          <w:color w:val="000000" w:themeColor="text1"/>
          <w14:textFill>
            <w14:solidFill>
              <w14:schemeClr w14:val="tx1"/>
            </w14:solidFill>
          </w14:textFill>
        </w:rPr>
        <w:t>7生态环境影响分析</w:t>
      </w:r>
      <w:bookmarkEnd w:id="442"/>
    </w:p>
    <w:p w14:paraId="2BCAAB8D">
      <w:pPr>
        <w:keepNext/>
        <w:keepLines/>
        <w:spacing w:line="480" w:lineRule="exact"/>
        <w:ind w:firstLine="482" w:firstLineChars="200"/>
        <w:outlineLvl w:val="3"/>
        <w:rPr>
          <w:rFonts w:hint="default"/>
          <w:b/>
          <w:bCs/>
          <w:color w:val="000000" w:themeColor="text1"/>
          <w:sz w:val="24"/>
          <w:szCs w:val="28"/>
          <w:lang w:val="en-US" w:eastAsia="zh-CN"/>
          <w14:textFill>
            <w14:solidFill>
              <w14:schemeClr w14:val="tx1"/>
            </w14:solidFill>
          </w14:textFill>
        </w:rPr>
      </w:pPr>
      <w:r>
        <w:rPr>
          <w:rFonts w:hint="eastAsia"/>
          <w:b/>
          <w:bCs/>
          <w:color w:val="000000" w:themeColor="text1"/>
          <w:sz w:val="24"/>
          <w:szCs w:val="28"/>
          <w:lang w:val="en-US" w:eastAsia="zh-CN"/>
          <w14:textFill>
            <w14:solidFill>
              <w14:schemeClr w14:val="tx1"/>
            </w14:solidFill>
          </w14:textFill>
        </w:rPr>
        <w:t>5.2.7.1自然生态体系稳定性分析</w:t>
      </w:r>
    </w:p>
    <w:p w14:paraId="359E59E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color w:val="000000" w:themeColor="text1"/>
          <w:kern w:val="0"/>
          <w:sz w:val="24"/>
          <w:szCs w:val="28"/>
          <w14:textFill>
            <w14:solidFill>
              <w14:schemeClr w14:val="tx1"/>
            </w14:solidFill>
          </w14:textFill>
        </w:rPr>
      </w:pPr>
      <w:r>
        <w:rPr>
          <w:rFonts w:hint="eastAsia"/>
          <w:color w:val="000000" w:themeColor="text1"/>
          <w:kern w:val="0"/>
          <w:sz w:val="24"/>
          <w:szCs w:val="28"/>
          <w14:textFill>
            <w14:solidFill>
              <w14:schemeClr w14:val="tx1"/>
            </w14:solidFill>
          </w14:textFill>
        </w:rPr>
        <w:t>建设项目施工对局部自然生态环境造成一定的破坏，但对整个评价区域自然体系的稳定性不会造成明显影响，仅使局部区域植被铲除、动物</w:t>
      </w:r>
      <w:r>
        <w:rPr>
          <w:rFonts w:hint="eastAsia"/>
          <w:color w:val="000000" w:themeColor="text1"/>
          <w:kern w:val="0"/>
          <w:sz w:val="24"/>
          <w:szCs w:val="28"/>
          <w:lang w:eastAsia="zh-CN"/>
          <w14:textFill>
            <w14:solidFill>
              <w14:schemeClr w14:val="tx1"/>
            </w14:solidFill>
          </w14:textFill>
        </w:rPr>
        <w:t>迁徙</w:t>
      </w:r>
      <w:r>
        <w:rPr>
          <w:rFonts w:hint="eastAsia"/>
          <w:color w:val="000000" w:themeColor="text1"/>
          <w:kern w:val="0"/>
          <w:sz w:val="24"/>
          <w:szCs w:val="28"/>
          <w14:textFill>
            <w14:solidFill>
              <w14:schemeClr w14:val="tx1"/>
            </w14:solidFill>
          </w14:textFill>
        </w:rPr>
        <w:t>、水土流失侵蚀度增加，使局部生物量减少，局部自然生态环境遭到一定的破坏。但由于本项目影响面积小</w:t>
      </w:r>
      <w:r>
        <w:rPr>
          <w:rFonts w:hint="eastAsia"/>
          <w:color w:val="000000" w:themeColor="text1"/>
          <w:kern w:val="0"/>
          <w:sz w:val="24"/>
          <w:szCs w:val="28"/>
          <w:lang w:eastAsia="zh-CN"/>
          <w14:textFill>
            <w14:solidFill>
              <w14:schemeClr w14:val="tx1"/>
            </w14:solidFill>
          </w14:textFill>
        </w:rPr>
        <w:t>，</w:t>
      </w:r>
      <w:r>
        <w:rPr>
          <w:rFonts w:hint="eastAsia"/>
          <w:color w:val="000000" w:themeColor="text1"/>
          <w:kern w:val="0"/>
          <w:sz w:val="24"/>
          <w:szCs w:val="28"/>
          <w14:textFill>
            <w14:solidFill>
              <w14:schemeClr w14:val="tx1"/>
            </w14:solidFill>
          </w14:textFill>
        </w:rPr>
        <w:t>对评价区域内自然生态体系的稳定性和对外界环境干扰的阻抗和恢复功能影响不大</w:t>
      </w:r>
      <w:r>
        <w:rPr>
          <w:rFonts w:hint="eastAsia"/>
          <w:color w:val="000000" w:themeColor="text1"/>
          <w:kern w:val="0"/>
          <w:sz w:val="24"/>
          <w:szCs w:val="28"/>
          <w:lang w:eastAsia="zh-CN"/>
          <w14:textFill>
            <w14:solidFill>
              <w14:schemeClr w14:val="tx1"/>
            </w14:solidFill>
          </w14:textFill>
        </w:rPr>
        <w:t>，</w:t>
      </w:r>
      <w:r>
        <w:rPr>
          <w:rFonts w:hint="eastAsia"/>
          <w:color w:val="000000" w:themeColor="text1"/>
          <w:kern w:val="0"/>
          <w:sz w:val="24"/>
          <w:szCs w:val="28"/>
          <w14:textFill>
            <w14:solidFill>
              <w14:schemeClr w14:val="tx1"/>
            </w14:solidFill>
          </w14:textFill>
        </w:rPr>
        <w:t>对整个评价范围内区域自然体系恢复稳定性不会产生明显的影响，是评价区域内自然体系可以承受的</w:t>
      </w:r>
      <w:r>
        <w:rPr>
          <w:rFonts w:hint="eastAsia"/>
          <w:color w:val="000000" w:themeColor="text1"/>
          <w:kern w:val="0"/>
          <w:sz w:val="24"/>
          <w:szCs w:val="28"/>
          <w:lang w:eastAsia="zh-CN"/>
          <w14:textFill>
            <w14:solidFill>
              <w14:schemeClr w14:val="tx1"/>
            </w14:solidFill>
          </w14:textFill>
        </w:rPr>
        <w:t>；</w:t>
      </w:r>
      <w:r>
        <w:rPr>
          <w:rFonts w:hint="eastAsia"/>
          <w:color w:val="000000" w:themeColor="text1"/>
          <w:kern w:val="0"/>
          <w:sz w:val="24"/>
          <w:szCs w:val="28"/>
          <w14:textFill>
            <w14:solidFill>
              <w14:schemeClr w14:val="tx1"/>
            </w14:solidFill>
          </w14:textFill>
        </w:rPr>
        <w:t>同时，</w:t>
      </w:r>
      <w:r>
        <w:rPr>
          <w:rFonts w:hint="eastAsia"/>
          <w:color w:val="000000" w:themeColor="text1"/>
          <w:kern w:val="0"/>
          <w:sz w:val="24"/>
          <w:szCs w:val="28"/>
          <w:lang w:eastAsia="zh-CN"/>
          <w14:textFill>
            <w14:solidFill>
              <w14:schemeClr w14:val="tx1"/>
            </w14:solidFill>
          </w14:textFill>
        </w:rPr>
        <w:t>项目</w:t>
      </w:r>
      <w:r>
        <w:rPr>
          <w:rFonts w:hint="eastAsia"/>
          <w:color w:val="000000" w:themeColor="text1"/>
          <w:kern w:val="0"/>
          <w:sz w:val="24"/>
          <w:szCs w:val="28"/>
          <w14:textFill>
            <w14:solidFill>
              <w14:schemeClr w14:val="tx1"/>
            </w14:solidFill>
          </w14:textFill>
        </w:rPr>
        <w:t>建设和施工使区域生态环境局部动植物物种的移动和</w:t>
      </w:r>
      <w:r>
        <w:rPr>
          <w:rFonts w:hint="eastAsia"/>
          <w:color w:val="000000" w:themeColor="text1"/>
          <w:kern w:val="0"/>
          <w:sz w:val="24"/>
          <w:szCs w:val="28"/>
          <w:lang w:eastAsia="zh-CN"/>
          <w14:textFill>
            <w14:solidFill>
              <w14:schemeClr w14:val="tx1"/>
            </w14:solidFill>
          </w14:textFill>
        </w:rPr>
        <w:t>抵御</w:t>
      </w:r>
      <w:r>
        <w:rPr>
          <w:rFonts w:hint="eastAsia"/>
          <w:color w:val="000000" w:themeColor="text1"/>
          <w:kern w:val="0"/>
          <w:sz w:val="24"/>
          <w:szCs w:val="28"/>
          <w14:textFill>
            <w14:solidFill>
              <w14:schemeClr w14:val="tx1"/>
            </w14:solidFill>
          </w14:textFill>
        </w:rPr>
        <w:t>外界干扰受到了一定的影响，但对植被分布的空间影响不大。因此，项目实施与运行对区域自然体系中生态环境自身的异质化程度影响不大，不会对评价区域自然体系的稳定性造成影响。</w:t>
      </w:r>
    </w:p>
    <w:p w14:paraId="027002A8">
      <w:pPr>
        <w:keepNext/>
        <w:keepLines/>
        <w:spacing w:line="480" w:lineRule="exact"/>
        <w:ind w:firstLine="482" w:firstLineChars="200"/>
        <w:outlineLvl w:val="3"/>
        <w:rPr>
          <w:rFonts w:hint="eastAsia" w:eastAsia="宋体"/>
          <w:b/>
          <w:bCs/>
          <w:color w:val="000000" w:themeColor="text1"/>
          <w:sz w:val="24"/>
          <w:szCs w:val="28"/>
          <w:lang w:val="en-US" w:eastAsia="zh-CN"/>
          <w14:textFill>
            <w14:solidFill>
              <w14:schemeClr w14:val="tx1"/>
            </w14:solidFill>
          </w14:textFill>
        </w:rPr>
      </w:pPr>
      <w:r>
        <w:rPr>
          <w:b/>
          <w:bCs/>
          <w:color w:val="000000" w:themeColor="text1"/>
          <w:sz w:val="24"/>
          <w:szCs w:val="28"/>
          <w14:textFill>
            <w14:solidFill>
              <w14:schemeClr w14:val="tx1"/>
            </w14:solidFill>
          </w14:textFill>
        </w:rPr>
        <w:t>5.2.7.</w:t>
      </w:r>
      <w:r>
        <w:rPr>
          <w:rFonts w:hint="eastAsia"/>
          <w:b/>
          <w:bCs/>
          <w:color w:val="000000" w:themeColor="text1"/>
          <w:sz w:val="24"/>
          <w:szCs w:val="28"/>
          <w:lang w:val="en-US" w:eastAsia="zh-CN"/>
          <w14:textFill>
            <w14:solidFill>
              <w14:schemeClr w14:val="tx1"/>
            </w14:solidFill>
          </w14:textFill>
        </w:rPr>
        <w:t>2生态环境影响识别</w:t>
      </w:r>
    </w:p>
    <w:p w14:paraId="1DA76B9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000000" w:themeColor="text1"/>
          <w:kern w:val="0"/>
          <w:sz w:val="24"/>
          <w:szCs w:val="28"/>
          <w14:textFill>
            <w14:solidFill>
              <w14:schemeClr w14:val="tx1"/>
            </w14:solidFill>
          </w14:textFill>
        </w:rPr>
      </w:pPr>
      <w:r>
        <w:rPr>
          <w:rFonts w:hint="eastAsia"/>
          <w:color w:val="000000" w:themeColor="text1"/>
          <w:kern w:val="0"/>
          <w:sz w:val="24"/>
          <w:szCs w:val="28"/>
          <w14:textFill>
            <w14:solidFill>
              <w14:schemeClr w14:val="tx1"/>
            </w14:solidFill>
          </w14:textFill>
        </w:rPr>
        <w:t>矿山</w:t>
      </w:r>
      <w:r>
        <w:rPr>
          <w:rFonts w:hint="eastAsia"/>
          <w:color w:val="000000" w:themeColor="text1"/>
          <w:kern w:val="0"/>
          <w:sz w:val="24"/>
          <w:szCs w:val="28"/>
          <w:lang w:val="en-US" w:eastAsia="zh-CN"/>
          <w14:textFill>
            <w14:solidFill>
              <w14:schemeClr w14:val="tx1"/>
            </w14:solidFill>
          </w14:textFill>
        </w:rPr>
        <w:t>建成后</w:t>
      </w:r>
      <w:r>
        <w:rPr>
          <w:rFonts w:hint="eastAsia"/>
          <w:color w:val="000000" w:themeColor="text1"/>
          <w:kern w:val="0"/>
          <w:sz w:val="24"/>
          <w:szCs w:val="28"/>
          <w14:textFill>
            <w14:solidFill>
              <w14:schemeClr w14:val="tx1"/>
            </w14:solidFill>
          </w14:textFill>
        </w:rPr>
        <w:t>，</w:t>
      </w:r>
      <w:r>
        <w:rPr>
          <w:color w:val="000000" w:themeColor="text1"/>
          <w:kern w:val="0"/>
          <w:sz w:val="24"/>
          <w:szCs w:val="28"/>
          <w14:textFill>
            <w14:solidFill>
              <w14:schemeClr w14:val="tx1"/>
            </w14:solidFill>
          </w14:textFill>
        </w:rPr>
        <w:t>造成的生态环境破坏和生态影响，有以下几个方面：</w:t>
      </w:r>
    </w:p>
    <w:p w14:paraId="3239CF4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color w:val="000000" w:themeColor="text1"/>
          <w:kern w:val="0"/>
          <w:sz w:val="24"/>
          <w:szCs w:val="28"/>
          <w14:textFill>
            <w14:solidFill>
              <w14:schemeClr w14:val="tx1"/>
            </w14:solidFill>
          </w14:textFill>
        </w:rPr>
      </w:pPr>
      <w:r>
        <w:rPr>
          <w:rFonts w:hint="eastAsia"/>
          <w:color w:val="000000" w:themeColor="text1"/>
          <w:kern w:val="0"/>
          <w:sz w:val="24"/>
          <w:szCs w:val="28"/>
          <w14:textFill>
            <w14:solidFill>
              <w14:schemeClr w14:val="tx1"/>
            </w14:solidFill>
          </w14:textFill>
        </w:rPr>
        <w:t>（1）地表错动影响，矿区的开采破坏了开采区岩层的原始基础和应力平衡，会导致上覆岩层和地表产生移动变形，破坏土壤结构和植被资源，局部生态环境受到破坏；</w:t>
      </w:r>
    </w:p>
    <w:p w14:paraId="34EE0B4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000000" w:themeColor="text1"/>
          <w:kern w:val="0"/>
          <w:sz w:val="24"/>
          <w:szCs w:val="28"/>
          <w14:textFill>
            <w14:solidFill>
              <w14:schemeClr w14:val="tx1"/>
            </w14:solidFill>
          </w14:textFill>
        </w:rPr>
      </w:pPr>
      <w:r>
        <w:rPr>
          <w:rFonts w:hint="eastAsia"/>
          <w:color w:val="000000" w:themeColor="text1"/>
          <w:kern w:val="0"/>
          <w:sz w:val="24"/>
          <w:szCs w:val="28"/>
          <w14:textFill>
            <w14:solidFill>
              <w14:schemeClr w14:val="tx1"/>
            </w14:solidFill>
          </w14:textFill>
        </w:rPr>
        <w:t>（2）地下开采扬尘使区域内及周边地表植被生长、地表水环境受到一定影响；</w:t>
      </w:r>
    </w:p>
    <w:p w14:paraId="6FBDA7B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000000" w:themeColor="text1"/>
          <w:kern w:val="0"/>
          <w:sz w:val="24"/>
          <w:szCs w:val="28"/>
          <w14:textFill>
            <w14:solidFill>
              <w14:schemeClr w14:val="tx1"/>
            </w14:solidFill>
          </w14:textFill>
        </w:rPr>
      </w:pPr>
      <w:r>
        <w:rPr>
          <w:rFonts w:hint="eastAsia"/>
          <w:color w:val="000000" w:themeColor="text1"/>
          <w:kern w:val="0"/>
          <w:sz w:val="24"/>
          <w:szCs w:val="28"/>
          <w14:textFill>
            <w14:solidFill>
              <w14:schemeClr w14:val="tx1"/>
            </w14:solidFill>
          </w14:textFill>
        </w:rPr>
        <w:t>（3）</w:t>
      </w:r>
      <w:r>
        <w:rPr>
          <w:color w:val="000000" w:themeColor="text1"/>
          <w:kern w:val="0"/>
          <w:sz w:val="24"/>
          <w:szCs w:val="28"/>
          <w14:textFill>
            <w14:solidFill>
              <w14:schemeClr w14:val="tx1"/>
            </w14:solidFill>
          </w14:textFill>
        </w:rPr>
        <w:t>工作人员扰动和设备噪声</w:t>
      </w:r>
      <w:r>
        <w:rPr>
          <w:rFonts w:hint="eastAsia"/>
          <w:color w:val="000000" w:themeColor="text1"/>
          <w:kern w:val="0"/>
          <w:sz w:val="24"/>
          <w:szCs w:val="28"/>
          <w14:textFill>
            <w14:solidFill>
              <w14:schemeClr w14:val="tx1"/>
            </w14:solidFill>
          </w14:textFill>
        </w:rPr>
        <w:t>、灯光等</w:t>
      </w:r>
      <w:r>
        <w:rPr>
          <w:color w:val="000000" w:themeColor="text1"/>
          <w:kern w:val="0"/>
          <w:sz w:val="24"/>
          <w:szCs w:val="28"/>
          <w14:textFill>
            <w14:solidFill>
              <w14:schemeClr w14:val="tx1"/>
            </w14:solidFill>
          </w14:textFill>
        </w:rPr>
        <w:t>也会对区域野生动物的栖息、觅食及繁殖等产生一定影响</w:t>
      </w:r>
      <w:r>
        <w:rPr>
          <w:rFonts w:hint="eastAsia"/>
          <w:color w:val="000000" w:themeColor="text1"/>
          <w:kern w:val="0"/>
          <w:sz w:val="24"/>
          <w:szCs w:val="28"/>
          <w14:textFill>
            <w14:solidFill>
              <w14:schemeClr w14:val="tx1"/>
            </w14:solidFill>
          </w14:textFill>
        </w:rPr>
        <w:t>；</w:t>
      </w:r>
    </w:p>
    <w:p w14:paraId="361B611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000000" w:themeColor="text1"/>
          <w:kern w:val="0"/>
          <w:sz w:val="24"/>
          <w:szCs w:val="28"/>
          <w14:textFill>
            <w14:solidFill>
              <w14:schemeClr w14:val="tx1"/>
            </w14:solidFill>
          </w14:textFill>
        </w:rPr>
      </w:pPr>
      <w:r>
        <w:rPr>
          <w:rFonts w:hint="eastAsia"/>
          <w:color w:val="000000" w:themeColor="text1"/>
          <w:kern w:val="0"/>
          <w:sz w:val="24"/>
          <w:szCs w:val="28"/>
          <w14:textFill>
            <w14:solidFill>
              <w14:schemeClr w14:val="tx1"/>
            </w14:solidFill>
          </w14:textFill>
        </w:rPr>
        <w:t>（4）</w:t>
      </w:r>
      <w:r>
        <w:rPr>
          <w:color w:val="000000" w:themeColor="text1"/>
          <w:kern w:val="0"/>
          <w:sz w:val="24"/>
          <w:szCs w:val="28"/>
          <w14:textFill>
            <w14:solidFill>
              <w14:schemeClr w14:val="tx1"/>
            </w14:solidFill>
          </w14:textFill>
        </w:rPr>
        <w:t>新增工业场地、</w:t>
      </w:r>
      <w:r>
        <w:rPr>
          <w:rFonts w:hint="eastAsia"/>
          <w:color w:val="000000" w:themeColor="text1"/>
          <w:kern w:val="0"/>
          <w:sz w:val="24"/>
          <w:szCs w:val="28"/>
          <w14:textFill>
            <w14:solidFill>
              <w14:schemeClr w14:val="tx1"/>
            </w14:solidFill>
          </w14:textFill>
        </w:rPr>
        <w:t>废石堆场</w:t>
      </w:r>
      <w:r>
        <w:rPr>
          <w:color w:val="000000" w:themeColor="text1"/>
          <w:kern w:val="0"/>
          <w:sz w:val="24"/>
          <w:szCs w:val="28"/>
          <w14:textFill>
            <w14:solidFill>
              <w14:schemeClr w14:val="tx1"/>
            </w14:solidFill>
          </w14:textFill>
        </w:rPr>
        <w:t>等工程占地对区域土地利用结构</w:t>
      </w:r>
      <w:r>
        <w:rPr>
          <w:rFonts w:hint="eastAsia"/>
          <w:color w:val="000000" w:themeColor="text1"/>
          <w:kern w:val="0"/>
          <w:sz w:val="24"/>
          <w:szCs w:val="28"/>
          <w14:textFill>
            <w14:solidFill>
              <w14:schemeClr w14:val="tx1"/>
            </w14:solidFill>
          </w14:textFill>
        </w:rPr>
        <w:t>、景观地貌</w:t>
      </w:r>
      <w:r>
        <w:rPr>
          <w:color w:val="000000" w:themeColor="text1"/>
          <w:kern w:val="0"/>
          <w:sz w:val="24"/>
          <w:szCs w:val="28"/>
          <w14:textFill>
            <w14:solidFill>
              <w14:schemeClr w14:val="tx1"/>
            </w14:solidFill>
          </w14:textFill>
        </w:rPr>
        <w:t>产生影响</w:t>
      </w:r>
      <w:r>
        <w:rPr>
          <w:rFonts w:hint="eastAsia"/>
          <w:color w:val="000000" w:themeColor="text1"/>
          <w:kern w:val="0"/>
          <w:sz w:val="24"/>
          <w:szCs w:val="28"/>
          <w14:textFill>
            <w14:solidFill>
              <w14:schemeClr w14:val="tx1"/>
            </w14:solidFill>
          </w14:textFill>
        </w:rPr>
        <w:t>。</w:t>
      </w:r>
    </w:p>
    <w:p w14:paraId="6997307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000000" w:themeColor="text1"/>
          <w:kern w:val="0"/>
          <w:sz w:val="24"/>
          <w:szCs w:val="28"/>
          <w14:textFill>
            <w14:solidFill>
              <w14:schemeClr w14:val="tx1"/>
            </w14:solidFill>
          </w14:textFill>
        </w:rPr>
      </w:pPr>
      <w:r>
        <w:rPr>
          <w:rFonts w:hint="eastAsia"/>
          <w:color w:val="000000" w:themeColor="text1"/>
          <w:kern w:val="0"/>
          <w:sz w:val="24"/>
          <w:szCs w:val="28"/>
          <w14:textFill>
            <w14:solidFill>
              <w14:schemeClr w14:val="tx1"/>
            </w14:solidFill>
          </w14:textFill>
        </w:rPr>
        <w:t>（5）开采过程中产生矿井涌水，打破了地下水资源循环的平衡状态，造成地表水向地下渗透，导致地表水资源量的减少</w:t>
      </w:r>
      <w:r>
        <w:rPr>
          <w:rFonts w:hint="eastAsia"/>
          <w:color w:val="000000" w:themeColor="text1"/>
          <w:kern w:val="0"/>
          <w:sz w:val="24"/>
          <w:szCs w:val="28"/>
          <w:lang w:eastAsia="zh-CN"/>
          <w14:textFill>
            <w14:solidFill>
              <w14:schemeClr w14:val="tx1"/>
            </w14:solidFill>
          </w14:textFill>
        </w:rPr>
        <w:t>。</w:t>
      </w:r>
    </w:p>
    <w:p w14:paraId="2D390586">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5.2.7.</w:t>
      </w:r>
      <w:r>
        <w:rPr>
          <w:rFonts w:hint="eastAsia"/>
          <w:b/>
          <w:bCs/>
          <w:color w:val="000000" w:themeColor="text1"/>
          <w:sz w:val="24"/>
          <w:szCs w:val="28"/>
          <w:lang w:val="en-US" w:eastAsia="zh-CN"/>
          <w14:textFill>
            <w14:solidFill>
              <w14:schemeClr w14:val="tx1"/>
            </w14:solidFill>
          </w14:textFill>
        </w:rPr>
        <w:t>3</w:t>
      </w:r>
      <w:r>
        <w:rPr>
          <w:b/>
          <w:bCs/>
          <w:color w:val="000000" w:themeColor="text1"/>
          <w:sz w:val="24"/>
          <w:szCs w:val="28"/>
          <w14:textFill>
            <w14:solidFill>
              <w14:schemeClr w14:val="tx1"/>
            </w14:solidFill>
          </w14:textFill>
        </w:rPr>
        <w:t>土地利用变化影响</w:t>
      </w:r>
    </w:p>
    <w:p w14:paraId="1F264C05">
      <w:pPr>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项目区土地利用类型为</w:t>
      </w:r>
      <w:r>
        <w:rPr>
          <w:rFonts w:hint="eastAsia"/>
          <w:color w:val="000000" w:themeColor="text1"/>
          <w:kern w:val="0"/>
          <w:sz w:val="24"/>
          <w:lang w:eastAsia="zh-CN"/>
          <w14:textFill>
            <w14:solidFill>
              <w14:schemeClr w14:val="tx1"/>
            </w14:solidFill>
          </w14:textFill>
        </w:rPr>
        <w:t>戈壁</w:t>
      </w:r>
      <w:r>
        <w:rPr>
          <w:rFonts w:hint="eastAsia"/>
          <w:color w:val="000000" w:themeColor="text1"/>
          <w:kern w:val="0"/>
          <w:sz w:val="24"/>
          <w:lang w:val="en-US" w:eastAsia="zh-CN"/>
          <w14:textFill>
            <w14:solidFill>
              <w14:schemeClr w14:val="tx1"/>
            </w14:solidFill>
          </w14:textFill>
        </w:rPr>
        <w:t>及裸岩石砾地</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本次矿区</w:t>
      </w:r>
      <w:r>
        <w:rPr>
          <w:rFonts w:hint="eastAsia"/>
          <w:color w:val="000000" w:themeColor="text1"/>
          <w:kern w:val="0"/>
          <w:sz w:val="24"/>
          <w:lang w:eastAsia="zh-CN"/>
          <w14:textFill>
            <w14:solidFill>
              <w14:schemeClr w14:val="tx1"/>
            </w14:solidFill>
          </w14:textFill>
        </w:rPr>
        <w:t>新建内容</w:t>
      </w:r>
      <w:r>
        <w:rPr>
          <w:rFonts w:hint="eastAsia"/>
          <w:color w:val="000000" w:themeColor="text1"/>
          <w:kern w:val="0"/>
          <w:sz w:val="24"/>
          <w14:textFill>
            <w14:solidFill>
              <w14:schemeClr w14:val="tx1"/>
            </w14:solidFill>
          </w14:textFill>
        </w:rPr>
        <w:t>包括</w:t>
      </w:r>
      <w:r>
        <w:rPr>
          <w:rFonts w:hint="eastAsia"/>
          <w:color w:val="000000" w:themeColor="text1"/>
          <w:kern w:val="0"/>
          <w:sz w:val="24"/>
          <w:lang w:eastAsia="zh-CN"/>
          <w14:textFill>
            <w14:solidFill>
              <w14:schemeClr w14:val="tx1"/>
            </w14:solidFill>
          </w14:textFill>
        </w:rPr>
        <w:t>西风井工业场地、废石堆场及矿山道路</w:t>
      </w:r>
      <w:r>
        <w:rPr>
          <w:rFonts w:hint="eastAsia"/>
          <w:color w:val="000000" w:themeColor="text1"/>
          <w:kern w:val="0"/>
          <w:sz w:val="24"/>
          <w14:textFill>
            <w14:solidFill>
              <w14:schemeClr w14:val="tx1"/>
            </w14:solidFill>
          </w14:textFill>
        </w:rPr>
        <w:t>，工程</w:t>
      </w:r>
      <w:r>
        <w:rPr>
          <w:color w:val="000000" w:themeColor="text1"/>
          <w:kern w:val="0"/>
          <w:sz w:val="24"/>
          <w14:textFill>
            <w14:solidFill>
              <w14:schemeClr w14:val="tx1"/>
            </w14:solidFill>
          </w14:textFill>
        </w:rPr>
        <w:t>建成后土地利用类型部分由</w:t>
      </w:r>
      <w:r>
        <w:rPr>
          <w:rFonts w:hint="eastAsia"/>
          <w:color w:val="000000" w:themeColor="text1"/>
          <w:kern w:val="0"/>
          <w:sz w:val="24"/>
          <w:lang w:val="en-US" w:eastAsia="zh-CN"/>
          <w14:textFill>
            <w14:solidFill>
              <w14:schemeClr w14:val="tx1"/>
            </w14:solidFill>
          </w14:textFill>
        </w:rPr>
        <w:t>裸岩石砾地</w:t>
      </w:r>
      <w:r>
        <w:rPr>
          <w:color w:val="000000" w:themeColor="text1"/>
          <w:kern w:val="0"/>
          <w:sz w:val="24"/>
          <w14:textFill>
            <w14:solidFill>
              <w14:schemeClr w14:val="tx1"/>
            </w14:solidFill>
          </w14:textFill>
        </w:rPr>
        <w:t>转变为工矿用地，土地利用类型及结构将发生进一步变化。工程占地见表5.2-</w:t>
      </w:r>
      <w:r>
        <w:rPr>
          <w:rFonts w:hint="eastAsia"/>
          <w:color w:val="000000" w:themeColor="text1"/>
          <w:kern w:val="0"/>
          <w:sz w:val="24"/>
          <w:lang w:val="en-US" w:eastAsia="zh-CN"/>
          <w14:textFill>
            <w14:solidFill>
              <w14:schemeClr w14:val="tx1"/>
            </w14:solidFill>
          </w14:textFill>
        </w:rPr>
        <w:t>28</w:t>
      </w:r>
      <w:r>
        <w:rPr>
          <w:color w:val="000000" w:themeColor="text1"/>
          <w:kern w:val="0"/>
          <w:sz w:val="24"/>
          <w14:textFill>
            <w14:solidFill>
              <w14:schemeClr w14:val="tx1"/>
            </w14:solidFill>
          </w14:textFill>
        </w:rPr>
        <w:t>。</w:t>
      </w:r>
    </w:p>
    <w:p w14:paraId="34D7CE2E">
      <w:pPr>
        <w:spacing w:line="480" w:lineRule="exact"/>
        <w:jc w:val="center"/>
        <w:rPr>
          <w:b/>
          <w:bCs/>
          <w:color w:val="000000" w:themeColor="text1"/>
          <w:kern w:val="0"/>
          <w:sz w:val="24"/>
          <w:szCs w:val="21"/>
          <w14:textFill>
            <w14:solidFill>
              <w14:schemeClr w14:val="tx1"/>
            </w14:solidFill>
          </w14:textFill>
        </w:rPr>
      </w:pPr>
      <w:r>
        <w:rPr>
          <w:b/>
          <w:bCs/>
          <w:color w:val="000000" w:themeColor="text1"/>
          <w:kern w:val="0"/>
          <w:sz w:val="24"/>
          <w:szCs w:val="21"/>
          <w14:textFill>
            <w14:solidFill>
              <w14:schemeClr w14:val="tx1"/>
            </w14:solidFill>
          </w14:textFill>
        </w:rPr>
        <w:t>表5.2-</w:t>
      </w:r>
      <w:r>
        <w:rPr>
          <w:rFonts w:hint="eastAsia"/>
          <w:b/>
          <w:bCs/>
          <w:color w:val="000000" w:themeColor="text1"/>
          <w:kern w:val="0"/>
          <w:sz w:val="24"/>
          <w:szCs w:val="21"/>
          <w:lang w:val="en-US" w:eastAsia="zh-CN"/>
          <w14:textFill>
            <w14:solidFill>
              <w14:schemeClr w14:val="tx1"/>
            </w14:solidFill>
          </w14:textFill>
        </w:rPr>
        <w:t>28</w:t>
      </w:r>
      <w:r>
        <w:rPr>
          <w:b/>
          <w:bCs/>
          <w:color w:val="000000" w:themeColor="text1"/>
          <w:kern w:val="0"/>
          <w:sz w:val="24"/>
          <w:szCs w:val="21"/>
          <w14:textFill>
            <w14:solidFill>
              <w14:schemeClr w14:val="tx1"/>
            </w14:solidFill>
          </w14:textFill>
        </w:rPr>
        <w:t xml:space="preserve">    工程占地一览表</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4"/>
        <w:gridCol w:w="1110"/>
        <w:gridCol w:w="329"/>
        <w:gridCol w:w="1502"/>
        <w:gridCol w:w="1466"/>
        <w:gridCol w:w="1819"/>
        <w:gridCol w:w="1152"/>
      </w:tblGrid>
      <w:tr w14:paraId="4649D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blHeader/>
          <w:jc w:val="center"/>
        </w:trPr>
        <w:tc>
          <w:tcPr>
            <w:tcW w:w="671" w:type="pct"/>
            <w:noWrap w:val="0"/>
            <w:vAlign w:val="center"/>
          </w:tcPr>
          <w:p w14:paraId="2A7468C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建设情况</w:t>
            </w:r>
          </w:p>
        </w:tc>
        <w:tc>
          <w:tcPr>
            <w:tcW w:w="1725" w:type="pct"/>
            <w:gridSpan w:val="3"/>
            <w:noWrap w:val="0"/>
            <w:vAlign w:val="center"/>
          </w:tcPr>
          <w:p w14:paraId="28B06B9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布局名称</w:t>
            </w:r>
          </w:p>
        </w:tc>
        <w:tc>
          <w:tcPr>
            <w:tcW w:w="860" w:type="pct"/>
            <w:noWrap w:val="0"/>
            <w:vAlign w:val="center"/>
          </w:tcPr>
          <w:p w14:paraId="3758CDE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面积（公顷）</w:t>
            </w:r>
          </w:p>
        </w:tc>
        <w:tc>
          <w:tcPr>
            <w:tcW w:w="1067" w:type="pct"/>
            <w:noWrap w:val="0"/>
            <w:vAlign w:val="center"/>
          </w:tcPr>
          <w:p w14:paraId="18C9881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b/>
                <w:color w:val="000000" w:themeColor="text1"/>
                <w:szCs w:val="21"/>
                <w:lang w:eastAsia="zh-CN"/>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用地类型</w:t>
            </w:r>
          </w:p>
        </w:tc>
        <w:tc>
          <w:tcPr>
            <w:tcW w:w="675" w:type="pct"/>
            <w:noWrap w:val="0"/>
            <w:vAlign w:val="center"/>
          </w:tcPr>
          <w:p w14:paraId="2CD6266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备注</w:t>
            </w:r>
          </w:p>
        </w:tc>
      </w:tr>
      <w:tr w14:paraId="25C58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restart"/>
            <w:noWrap w:val="0"/>
            <w:vAlign w:val="center"/>
          </w:tcPr>
          <w:p w14:paraId="45F9E26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已建</w:t>
            </w:r>
          </w:p>
        </w:tc>
        <w:tc>
          <w:tcPr>
            <w:tcW w:w="1725" w:type="pct"/>
            <w:gridSpan w:val="3"/>
            <w:noWrap w:val="0"/>
            <w:vAlign w:val="center"/>
          </w:tcPr>
          <w:p w14:paraId="6E50A66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办公生活区</w:t>
            </w:r>
          </w:p>
        </w:tc>
        <w:tc>
          <w:tcPr>
            <w:tcW w:w="860" w:type="pct"/>
            <w:noWrap w:val="0"/>
            <w:vAlign w:val="center"/>
          </w:tcPr>
          <w:p w14:paraId="0C2A275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1.16</w:t>
            </w:r>
          </w:p>
        </w:tc>
        <w:tc>
          <w:tcPr>
            <w:tcW w:w="1067" w:type="pct"/>
            <w:noWrap w:val="0"/>
            <w:vAlign w:val="center"/>
          </w:tcPr>
          <w:p w14:paraId="1C0B31D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bottom"/>
          </w:tcPr>
          <w:p w14:paraId="7CC4660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0D866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74E043B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725" w:type="pct"/>
            <w:gridSpan w:val="3"/>
            <w:noWrap w:val="0"/>
            <w:vAlign w:val="center"/>
          </w:tcPr>
          <w:p w14:paraId="350BF4D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主竖井工业场地</w:t>
            </w:r>
          </w:p>
        </w:tc>
        <w:tc>
          <w:tcPr>
            <w:tcW w:w="860" w:type="pct"/>
            <w:noWrap w:val="0"/>
            <w:vAlign w:val="center"/>
          </w:tcPr>
          <w:p w14:paraId="70B66F0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0.75</w:t>
            </w:r>
          </w:p>
        </w:tc>
        <w:tc>
          <w:tcPr>
            <w:tcW w:w="1067" w:type="pct"/>
            <w:noWrap w:val="0"/>
            <w:vAlign w:val="center"/>
          </w:tcPr>
          <w:p w14:paraId="10F575B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bottom"/>
          </w:tcPr>
          <w:p w14:paraId="36DFD12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5BF6A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1998975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725" w:type="pct"/>
            <w:gridSpan w:val="3"/>
            <w:noWrap w:val="0"/>
            <w:vAlign w:val="center"/>
          </w:tcPr>
          <w:p w14:paraId="2958033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副竖井工业场地</w:t>
            </w:r>
          </w:p>
        </w:tc>
        <w:tc>
          <w:tcPr>
            <w:tcW w:w="860" w:type="pct"/>
            <w:noWrap w:val="0"/>
            <w:vAlign w:val="center"/>
          </w:tcPr>
          <w:p w14:paraId="6DD5567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0.62</w:t>
            </w:r>
          </w:p>
        </w:tc>
        <w:tc>
          <w:tcPr>
            <w:tcW w:w="1067" w:type="pct"/>
            <w:noWrap w:val="0"/>
            <w:vAlign w:val="center"/>
          </w:tcPr>
          <w:p w14:paraId="56C879F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bottom"/>
          </w:tcPr>
          <w:p w14:paraId="5C8DA2C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74859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178C812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725" w:type="pct"/>
            <w:gridSpan w:val="3"/>
            <w:noWrap w:val="0"/>
            <w:vAlign w:val="center"/>
          </w:tcPr>
          <w:p w14:paraId="2C97ECC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辅助生产区</w:t>
            </w:r>
          </w:p>
        </w:tc>
        <w:tc>
          <w:tcPr>
            <w:tcW w:w="860" w:type="pct"/>
            <w:noWrap w:val="0"/>
            <w:vAlign w:val="center"/>
          </w:tcPr>
          <w:p w14:paraId="5827902C">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0.60</w:t>
            </w:r>
          </w:p>
        </w:tc>
        <w:tc>
          <w:tcPr>
            <w:tcW w:w="1067" w:type="pct"/>
            <w:noWrap w:val="0"/>
            <w:vAlign w:val="center"/>
          </w:tcPr>
          <w:p w14:paraId="699B164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bottom"/>
          </w:tcPr>
          <w:p w14:paraId="42C15E4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001074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5936AE9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844" w:type="pct"/>
            <w:gridSpan w:val="2"/>
            <w:vMerge w:val="restart"/>
            <w:noWrap w:val="0"/>
            <w:vAlign w:val="center"/>
          </w:tcPr>
          <w:p w14:paraId="7AA9530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w:t>
            </w:r>
          </w:p>
        </w:tc>
        <w:tc>
          <w:tcPr>
            <w:tcW w:w="881" w:type="pct"/>
            <w:noWrap w:val="0"/>
            <w:vAlign w:val="center"/>
          </w:tcPr>
          <w:p w14:paraId="05B13E6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废石堆1</w:t>
            </w:r>
          </w:p>
        </w:tc>
        <w:tc>
          <w:tcPr>
            <w:tcW w:w="860" w:type="pct"/>
            <w:noWrap w:val="0"/>
            <w:vAlign w:val="center"/>
          </w:tcPr>
          <w:p w14:paraId="44FCCAF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0.78</w:t>
            </w:r>
          </w:p>
        </w:tc>
        <w:tc>
          <w:tcPr>
            <w:tcW w:w="1067" w:type="pct"/>
            <w:noWrap w:val="0"/>
            <w:vAlign w:val="center"/>
          </w:tcPr>
          <w:p w14:paraId="68B7C7A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bottom"/>
          </w:tcPr>
          <w:p w14:paraId="25BE3AC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停用</w:t>
            </w:r>
          </w:p>
        </w:tc>
      </w:tr>
      <w:tr w14:paraId="7F7834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1FB7B9A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844" w:type="pct"/>
            <w:gridSpan w:val="2"/>
            <w:vMerge w:val="continue"/>
            <w:noWrap w:val="0"/>
            <w:vAlign w:val="center"/>
          </w:tcPr>
          <w:p w14:paraId="2321DBD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881" w:type="pct"/>
            <w:noWrap w:val="0"/>
            <w:vAlign w:val="center"/>
          </w:tcPr>
          <w:p w14:paraId="6B3C349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废石堆2</w:t>
            </w:r>
          </w:p>
        </w:tc>
        <w:tc>
          <w:tcPr>
            <w:tcW w:w="860" w:type="pct"/>
            <w:noWrap w:val="0"/>
            <w:vAlign w:val="center"/>
          </w:tcPr>
          <w:p w14:paraId="20D0212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0.41</w:t>
            </w:r>
          </w:p>
        </w:tc>
        <w:tc>
          <w:tcPr>
            <w:tcW w:w="1067" w:type="pct"/>
            <w:noWrap w:val="0"/>
            <w:vAlign w:val="center"/>
          </w:tcPr>
          <w:p w14:paraId="550106E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bottom"/>
          </w:tcPr>
          <w:p w14:paraId="4F54C7D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停用</w:t>
            </w:r>
          </w:p>
        </w:tc>
      </w:tr>
      <w:tr w14:paraId="0DF88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71" w:type="pct"/>
            <w:vMerge w:val="continue"/>
            <w:noWrap w:val="0"/>
            <w:vAlign w:val="center"/>
          </w:tcPr>
          <w:p w14:paraId="78400B7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844" w:type="pct"/>
            <w:gridSpan w:val="2"/>
            <w:vMerge w:val="restart"/>
            <w:noWrap w:val="0"/>
            <w:vAlign w:val="center"/>
          </w:tcPr>
          <w:p w14:paraId="082DA75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矿石堆</w:t>
            </w:r>
          </w:p>
        </w:tc>
        <w:tc>
          <w:tcPr>
            <w:tcW w:w="881" w:type="pct"/>
            <w:vMerge w:val="restart"/>
            <w:noWrap w:val="0"/>
            <w:vAlign w:val="center"/>
          </w:tcPr>
          <w:p w14:paraId="3691468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矿石堆1</w:t>
            </w:r>
          </w:p>
        </w:tc>
        <w:tc>
          <w:tcPr>
            <w:tcW w:w="860" w:type="pct"/>
            <w:noWrap w:val="0"/>
            <w:vAlign w:val="center"/>
          </w:tcPr>
          <w:p w14:paraId="37359B7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0.92</w:t>
            </w:r>
          </w:p>
        </w:tc>
        <w:tc>
          <w:tcPr>
            <w:tcW w:w="1067" w:type="pct"/>
            <w:noWrap w:val="0"/>
            <w:vAlign w:val="center"/>
          </w:tcPr>
          <w:p w14:paraId="48533F5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vMerge w:val="restart"/>
            <w:noWrap w:val="0"/>
            <w:vAlign w:val="center"/>
          </w:tcPr>
          <w:p w14:paraId="23759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停用</w:t>
            </w:r>
          </w:p>
        </w:tc>
      </w:tr>
      <w:tr w14:paraId="62BD5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671" w:type="pct"/>
            <w:vMerge w:val="continue"/>
            <w:noWrap w:val="0"/>
            <w:vAlign w:val="center"/>
          </w:tcPr>
          <w:p w14:paraId="17507FB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844" w:type="pct"/>
            <w:gridSpan w:val="2"/>
            <w:vMerge w:val="continue"/>
            <w:noWrap w:val="0"/>
            <w:vAlign w:val="center"/>
          </w:tcPr>
          <w:p w14:paraId="5865AB1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881" w:type="pct"/>
            <w:noWrap w:val="0"/>
            <w:vAlign w:val="center"/>
          </w:tcPr>
          <w:p w14:paraId="25780B5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矿石堆2</w:t>
            </w:r>
          </w:p>
        </w:tc>
        <w:tc>
          <w:tcPr>
            <w:tcW w:w="860" w:type="pct"/>
            <w:noWrap w:val="0"/>
            <w:vAlign w:val="center"/>
          </w:tcPr>
          <w:p w14:paraId="583C47B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1.03</w:t>
            </w:r>
          </w:p>
        </w:tc>
        <w:tc>
          <w:tcPr>
            <w:tcW w:w="1067" w:type="pct"/>
            <w:noWrap w:val="0"/>
            <w:vAlign w:val="center"/>
          </w:tcPr>
          <w:p w14:paraId="49D1651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center"/>
          </w:tcPr>
          <w:p w14:paraId="77645BE4">
            <w:pPr>
              <w:keepNext w:val="0"/>
              <w:keepLines w:val="0"/>
              <w:suppressLineNumbers w:val="0"/>
              <w:tabs>
                <w:tab w:val="left" w:pos="394"/>
              </w:tabs>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停用</w:t>
            </w:r>
          </w:p>
        </w:tc>
      </w:tr>
      <w:tr w14:paraId="35954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75DB083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725" w:type="pct"/>
            <w:gridSpan w:val="3"/>
            <w:noWrap w:val="0"/>
            <w:vAlign w:val="center"/>
          </w:tcPr>
          <w:p w14:paraId="6156141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爆破器材库</w:t>
            </w:r>
          </w:p>
        </w:tc>
        <w:tc>
          <w:tcPr>
            <w:tcW w:w="860" w:type="pct"/>
            <w:noWrap w:val="0"/>
            <w:vAlign w:val="center"/>
          </w:tcPr>
          <w:p w14:paraId="4A75EFE8">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0.54</w:t>
            </w:r>
          </w:p>
        </w:tc>
        <w:tc>
          <w:tcPr>
            <w:tcW w:w="1067" w:type="pct"/>
            <w:noWrap w:val="0"/>
            <w:vAlign w:val="center"/>
          </w:tcPr>
          <w:p w14:paraId="37128B1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裸岩石砾地</w:t>
            </w:r>
          </w:p>
        </w:tc>
        <w:tc>
          <w:tcPr>
            <w:tcW w:w="675" w:type="pct"/>
            <w:noWrap w:val="0"/>
            <w:vAlign w:val="bottom"/>
          </w:tcPr>
          <w:p w14:paraId="67CCAF3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237D3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671" w:type="pct"/>
            <w:vMerge w:val="continue"/>
            <w:noWrap w:val="0"/>
            <w:vAlign w:val="center"/>
          </w:tcPr>
          <w:p w14:paraId="07ACF71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725" w:type="pct"/>
            <w:gridSpan w:val="3"/>
            <w:vMerge w:val="restart"/>
            <w:noWrap w:val="0"/>
            <w:vAlign w:val="center"/>
          </w:tcPr>
          <w:p w14:paraId="14851D1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变电站</w:t>
            </w:r>
          </w:p>
        </w:tc>
        <w:tc>
          <w:tcPr>
            <w:tcW w:w="860" w:type="pct"/>
            <w:noWrap w:val="0"/>
            <w:vAlign w:val="center"/>
          </w:tcPr>
          <w:p w14:paraId="4613CB0B">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0.14</w:t>
            </w:r>
          </w:p>
        </w:tc>
        <w:tc>
          <w:tcPr>
            <w:tcW w:w="1067" w:type="pct"/>
            <w:noWrap w:val="0"/>
            <w:vAlign w:val="center"/>
          </w:tcPr>
          <w:p w14:paraId="41B46A9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center"/>
          </w:tcPr>
          <w:p w14:paraId="5F19778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255C2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671" w:type="pct"/>
            <w:vMerge w:val="continue"/>
            <w:noWrap w:val="0"/>
            <w:vAlign w:val="center"/>
          </w:tcPr>
          <w:p w14:paraId="4AC162A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725" w:type="pct"/>
            <w:gridSpan w:val="3"/>
            <w:noWrap w:val="0"/>
            <w:vAlign w:val="center"/>
          </w:tcPr>
          <w:p w14:paraId="3877D68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已建矿山道路</w:t>
            </w:r>
          </w:p>
        </w:tc>
        <w:tc>
          <w:tcPr>
            <w:tcW w:w="860" w:type="pct"/>
            <w:noWrap w:val="0"/>
            <w:vAlign w:val="center"/>
          </w:tcPr>
          <w:p w14:paraId="76F55267">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1.81</w:t>
            </w:r>
          </w:p>
        </w:tc>
        <w:tc>
          <w:tcPr>
            <w:tcW w:w="1067" w:type="pct"/>
            <w:noWrap w:val="0"/>
            <w:vAlign w:val="center"/>
          </w:tcPr>
          <w:p w14:paraId="36F144E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工矿用地</w:t>
            </w:r>
          </w:p>
        </w:tc>
        <w:tc>
          <w:tcPr>
            <w:tcW w:w="675" w:type="pct"/>
            <w:noWrap w:val="0"/>
            <w:vAlign w:val="center"/>
          </w:tcPr>
          <w:p w14:paraId="08A62B1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利用</w:t>
            </w:r>
          </w:p>
        </w:tc>
      </w:tr>
      <w:tr w14:paraId="6C6C8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6" w:type="pct"/>
            <w:gridSpan w:val="4"/>
            <w:noWrap w:val="0"/>
            <w:vAlign w:val="center"/>
          </w:tcPr>
          <w:p w14:paraId="7CD7755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小计</w:t>
            </w:r>
          </w:p>
        </w:tc>
        <w:tc>
          <w:tcPr>
            <w:tcW w:w="2603" w:type="pct"/>
            <w:gridSpan w:val="3"/>
            <w:noWrap w:val="0"/>
            <w:vAlign w:val="center"/>
          </w:tcPr>
          <w:p w14:paraId="051561AF">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8.76</w:t>
            </w:r>
          </w:p>
        </w:tc>
      </w:tr>
      <w:tr w14:paraId="46BF4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restart"/>
            <w:noWrap w:val="0"/>
            <w:vAlign w:val="center"/>
          </w:tcPr>
          <w:p w14:paraId="134EC24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拟建</w:t>
            </w:r>
          </w:p>
        </w:tc>
        <w:tc>
          <w:tcPr>
            <w:tcW w:w="651" w:type="pct"/>
            <w:vMerge w:val="restart"/>
            <w:noWrap w:val="0"/>
            <w:vAlign w:val="center"/>
          </w:tcPr>
          <w:p w14:paraId="42F52834">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规划西风井工业场地</w:t>
            </w:r>
          </w:p>
        </w:tc>
        <w:tc>
          <w:tcPr>
            <w:tcW w:w="1074" w:type="pct"/>
            <w:gridSpan w:val="2"/>
            <w:noWrap w:val="0"/>
            <w:vAlign w:val="center"/>
          </w:tcPr>
          <w:p w14:paraId="7D1E1DF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西风井1工业场地</w:t>
            </w:r>
          </w:p>
        </w:tc>
        <w:tc>
          <w:tcPr>
            <w:tcW w:w="860" w:type="pct"/>
            <w:noWrap w:val="0"/>
            <w:vAlign w:val="center"/>
          </w:tcPr>
          <w:p w14:paraId="6521382A">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0.04</w:t>
            </w:r>
          </w:p>
        </w:tc>
        <w:tc>
          <w:tcPr>
            <w:tcW w:w="1067" w:type="pct"/>
            <w:noWrap w:val="0"/>
            <w:vAlign w:val="center"/>
          </w:tcPr>
          <w:p w14:paraId="364B383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裸岩石砾地</w:t>
            </w:r>
          </w:p>
        </w:tc>
        <w:tc>
          <w:tcPr>
            <w:tcW w:w="675" w:type="pct"/>
            <w:noWrap w:val="0"/>
            <w:vAlign w:val="bottom"/>
          </w:tcPr>
          <w:p w14:paraId="3AA82E6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4E850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28C5B43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51" w:type="pct"/>
            <w:vMerge w:val="continue"/>
            <w:noWrap w:val="0"/>
            <w:vAlign w:val="center"/>
          </w:tcPr>
          <w:p w14:paraId="16B35FF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074" w:type="pct"/>
            <w:gridSpan w:val="2"/>
            <w:noWrap w:val="0"/>
            <w:vAlign w:val="center"/>
          </w:tcPr>
          <w:p w14:paraId="4C475D6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西风井2工业场地</w:t>
            </w:r>
          </w:p>
        </w:tc>
        <w:tc>
          <w:tcPr>
            <w:tcW w:w="860" w:type="pct"/>
            <w:noWrap w:val="0"/>
            <w:vAlign w:val="center"/>
          </w:tcPr>
          <w:p w14:paraId="2BFA7B8D">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0.04</w:t>
            </w:r>
          </w:p>
        </w:tc>
        <w:tc>
          <w:tcPr>
            <w:tcW w:w="1067" w:type="pct"/>
            <w:noWrap w:val="0"/>
            <w:vAlign w:val="center"/>
          </w:tcPr>
          <w:p w14:paraId="6B1BD00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裸岩石砾地</w:t>
            </w:r>
          </w:p>
        </w:tc>
        <w:tc>
          <w:tcPr>
            <w:tcW w:w="675" w:type="pct"/>
            <w:noWrap w:val="0"/>
            <w:vAlign w:val="bottom"/>
          </w:tcPr>
          <w:p w14:paraId="547BB31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59985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113AA6F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51" w:type="pct"/>
            <w:vMerge w:val="restart"/>
            <w:noWrap w:val="0"/>
            <w:vAlign w:val="center"/>
          </w:tcPr>
          <w:p w14:paraId="3915D74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w:t>
            </w:r>
            <w:r>
              <w:rPr>
                <w:rFonts w:hint="eastAsia" w:cs="Times New Roman"/>
                <w:color w:val="000000" w:themeColor="text1"/>
                <w:szCs w:val="21"/>
                <w:lang w:eastAsia="zh-CN"/>
                <w14:textFill>
                  <w14:solidFill>
                    <w14:schemeClr w14:val="tx1"/>
                  </w14:solidFill>
                </w14:textFill>
              </w:rPr>
              <w:t>废石堆场</w:t>
            </w:r>
          </w:p>
        </w:tc>
        <w:tc>
          <w:tcPr>
            <w:tcW w:w="1074" w:type="pct"/>
            <w:gridSpan w:val="2"/>
            <w:noWrap w:val="0"/>
            <w:vAlign w:val="center"/>
          </w:tcPr>
          <w:p w14:paraId="55A6D27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1号</w:t>
            </w:r>
            <w:r>
              <w:rPr>
                <w:rFonts w:hint="eastAsia" w:cs="Times New Roman"/>
                <w:color w:val="000000" w:themeColor="text1"/>
                <w:szCs w:val="21"/>
                <w:lang w:eastAsia="zh-CN"/>
                <w14:textFill>
                  <w14:solidFill>
                    <w14:schemeClr w14:val="tx1"/>
                  </w14:solidFill>
                </w14:textFill>
              </w:rPr>
              <w:t>废石堆场</w:t>
            </w:r>
          </w:p>
        </w:tc>
        <w:tc>
          <w:tcPr>
            <w:tcW w:w="860" w:type="pct"/>
            <w:noWrap w:val="0"/>
            <w:vAlign w:val="center"/>
          </w:tcPr>
          <w:p w14:paraId="403D97C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3.12</w:t>
            </w:r>
          </w:p>
        </w:tc>
        <w:tc>
          <w:tcPr>
            <w:tcW w:w="1067" w:type="pct"/>
            <w:noWrap w:val="0"/>
            <w:vAlign w:val="bottom"/>
          </w:tcPr>
          <w:p w14:paraId="5D486C50">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裸岩石砾地</w:t>
            </w:r>
          </w:p>
        </w:tc>
        <w:tc>
          <w:tcPr>
            <w:tcW w:w="675" w:type="pct"/>
            <w:noWrap w:val="0"/>
            <w:vAlign w:val="bottom"/>
          </w:tcPr>
          <w:p w14:paraId="6A4D1D9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38637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68D5087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651" w:type="pct"/>
            <w:vMerge w:val="continue"/>
            <w:noWrap w:val="0"/>
            <w:vAlign w:val="center"/>
          </w:tcPr>
          <w:p w14:paraId="49B4D95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074" w:type="pct"/>
            <w:gridSpan w:val="2"/>
            <w:noWrap w:val="0"/>
            <w:vAlign w:val="center"/>
          </w:tcPr>
          <w:p w14:paraId="469CFFF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号</w:t>
            </w:r>
            <w:r>
              <w:rPr>
                <w:rFonts w:hint="eastAsia" w:cs="Times New Roman"/>
                <w:color w:val="000000" w:themeColor="text1"/>
                <w:szCs w:val="21"/>
                <w:lang w:eastAsia="zh-CN"/>
                <w14:textFill>
                  <w14:solidFill>
                    <w14:schemeClr w14:val="tx1"/>
                  </w14:solidFill>
                </w14:textFill>
              </w:rPr>
              <w:t>废石堆场</w:t>
            </w:r>
          </w:p>
        </w:tc>
        <w:tc>
          <w:tcPr>
            <w:tcW w:w="860" w:type="pct"/>
            <w:noWrap w:val="0"/>
            <w:vAlign w:val="center"/>
          </w:tcPr>
          <w:p w14:paraId="02CF020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2.24</w:t>
            </w:r>
          </w:p>
        </w:tc>
        <w:tc>
          <w:tcPr>
            <w:tcW w:w="1067" w:type="pct"/>
            <w:noWrap w:val="0"/>
            <w:vAlign w:val="center"/>
          </w:tcPr>
          <w:p w14:paraId="71E72BB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裸岩石砾地</w:t>
            </w:r>
          </w:p>
        </w:tc>
        <w:tc>
          <w:tcPr>
            <w:tcW w:w="675" w:type="pct"/>
            <w:noWrap w:val="0"/>
            <w:vAlign w:val="center"/>
          </w:tcPr>
          <w:p w14:paraId="03F5F80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36ECB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1" w:type="pct"/>
            <w:vMerge w:val="continue"/>
            <w:noWrap w:val="0"/>
            <w:vAlign w:val="center"/>
          </w:tcPr>
          <w:p w14:paraId="2827828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p>
        </w:tc>
        <w:tc>
          <w:tcPr>
            <w:tcW w:w="1725" w:type="pct"/>
            <w:gridSpan w:val="3"/>
            <w:noWrap w:val="0"/>
            <w:vAlign w:val="center"/>
          </w:tcPr>
          <w:p w14:paraId="182F039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规划矿山道路</w:t>
            </w:r>
          </w:p>
        </w:tc>
        <w:tc>
          <w:tcPr>
            <w:tcW w:w="860" w:type="pct"/>
            <w:noWrap w:val="0"/>
            <w:vAlign w:val="center"/>
          </w:tcPr>
          <w:p w14:paraId="70291989">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0.21</w:t>
            </w:r>
          </w:p>
        </w:tc>
        <w:tc>
          <w:tcPr>
            <w:tcW w:w="1067" w:type="pct"/>
            <w:noWrap w:val="0"/>
            <w:vAlign w:val="bottom"/>
          </w:tcPr>
          <w:p w14:paraId="655E666C">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裸岩石砾地</w:t>
            </w:r>
          </w:p>
        </w:tc>
        <w:tc>
          <w:tcPr>
            <w:tcW w:w="675" w:type="pct"/>
            <w:noWrap w:val="0"/>
            <w:vAlign w:val="bottom"/>
          </w:tcPr>
          <w:p w14:paraId="72315FD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新增</w:t>
            </w:r>
          </w:p>
        </w:tc>
      </w:tr>
      <w:tr w14:paraId="08128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6" w:type="pct"/>
            <w:gridSpan w:val="4"/>
            <w:noWrap w:val="0"/>
            <w:vAlign w:val="center"/>
          </w:tcPr>
          <w:p w14:paraId="7EBF9B5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小计</w:t>
            </w:r>
          </w:p>
        </w:tc>
        <w:tc>
          <w:tcPr>
            <w:tcW w:w="2603" w:type="pct"/>
            <w:gridSpan w:val="3"/>
            <w:noWrap w:val="0"/>
            <w:vAlign w:val="center"/>
          </w:tcPr>
          <w:p w14:paraId="6B5359F5">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5.65</w:t>
            </w:r>
          </w:p>
        </w:tc>
      </w:tr>
      <w:tr w14:paraId="512C7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6" w:type="pct"/>
            <w:gridSpan w:val="4"/>
            <w:noWrap w:val="0"/>
            <w:vAlign w:val="center"/>
          </w:tcPr>
          <w:p w14:paraId="329D3EB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合计</w:t>
            </w:r>
          </w:p>
        </w:tc>
        <w:tc>
          <w:tcPr>
            <w:tcW w:w="2603" w:type="pct"/>
            <w:gridSpan w:val="3"/>
            <w:noWrap w:val="0"/>
            <w:vAlign w:val="center"/>
          </w:tcPr>
          <w:p w14:paraId="3818AD5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14.41</w:t>
            </w:r>
          </w:p>
        </w:tc>
      </w:tr>
    </w:tbl>
    <w:p w14:paraId="41494DEA">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5.2.7.</w:t>
      </w:r>
      <w:r>
        <w:rPr>
          <w:rFonts w:hint="eastAsia"/>
          <w:b/>
          <w:bCs/>
          <w:color w:val="000000" w:themeColor="text1"/>
          <w:sz w:val="24"/>
          <w:szCs w:val="28"/>
          <w:lang w:val="en-US" w:eastAsia="zh-CN"/>
          <w14:textFill>
            <w14:solidFill>
              <w14:schemeClr w14:val="tx1"/>
            </w14:solidFill>
          </w14:textFill>
        </w:rPr>
        <w:t>4</w:t>
      </w:r>
      <w:r>
        <w:rPr>
          <w:b/>
          <w:bCs/>
          <w:color w:val="000000" w:themeColor="text1"/>
          <w:sz w:val="24"/>
          <w:szCs w:val="28"/>
          <w14:textFill>
            <w14:solidFill>
              <w14:schemeClr w14:val="tx1"/>
            </w14:solidFill>
          </w14:textFill>
        </w:rPr>
        <w:t>对</w:t>
      </w:r>
      <w:r>
        <w:rPr>
          <w:rFonts w:hint="eastAsia"/>
          <w:b/>
          <w:bCs/>
          <w:color w:val="000000" w:themeColor="text1"/>
          <w:sz w:val="24"/>
          <w:szCs w:val="28"/>
          <w14:textFill>
            <w14:solidFill>
              <w14:schemeClr w14:val="tx1"/>
            </w14:solidFill>
          </w14:textFill>
        </w:rPr>
        <w:t>地形地貌</w:t>
      </w:r>
      <w:r>
        <w:rPr>
          <w:b/>
          <w:bCs/>
          <w:color w:val="000000" w:themeColor="text1"/>
          <w:sz w:val="24"/>
          <w:szCs w:val="28"/>
          <w14:textFill>
            <w14:solidFill>
              <w14:schemeClr w14:val="tx1"/>
            </w14:solidFill>
          </w14:textFill>
        </w:rPr>
        <w:t>影响分析</w:t>
      </w:r>
    </w:p>
    <w:p w14:paraId="066296E0">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kern w:val="0"/>
          <w:sz w:val="24"/>
          <w:lang w:eastAsia="zh-CN"/>
          <w14:textFill>
            <w14:solidFill>
              <w14:schemeClr w14:val="tx1"/>
            </w14:solidFill>
          </w14:textFill>
        </w:rPr>
        <w:t>本项目</w:t>
      </w:r>
      <w:r>
        <w:rPr>
          <w:rFonts w:hint="eastAsia"/>
          <w:color w:val="000000" w:themeColor="text1"/>
          <w:kern w:val="0"/>
          <w:sz w:val="24"/>
          <w14:textFill>
            <w14:solidFill>
              <w14:schemeClr w14:val="tx1"/>
            </w14:solidFill>
          </w14:textFill>
        </w:rPr>
        <w:t>矿区地下开采对区域地形地貌基本无影响，同时</w:t>
      </w:r>
      <w:r>
        <w:rPr>
          <w:rFonts w:hint="eastAsia"/>
          <w:color w:val="000000" w:themeColor="text1"/>
          <w:kern w:val="0"/>
          <w:sz w:val="24"/>
          <w:lang w:eastAsia="zh-CN"/>
          <w14:textFill>
            <w14:solidFill>
              <w14:schemeClr w14:val="tx1"/>
            </w14:solidFill>
          </w14:textFill>
        </w:rPr>
        <w:t>本项目</w:t>
      </w:r>
      <w:r>
        <w:rPr>
          <w:rFonts w:hint="eastAsia"/>
          <w:color w:val="000000" w:themeColor="text1"/>
          <w:kern w:val="0"/>
          <w:sz w:val="24"/>
          <w14:textFill>
            <w14:solidFill>
              <w14:schemeClr w14:val="tx1"/>
            </w14:solidFill>
          </w14:textFill>
        </w:rPr>
        <w:t>需新建</w:t>
      </w:r>
      <w:r>
        <w:rPr>
          <w:rFonts w:hint="eastAsia"/>
          <w:color w:val="000000" w:themeColor="text1"/>
          <w:kern w:val="0"/>
          <w:sz w:val="24"/>
          <w:lang w:val="en-US" w:eastAsia="zh-CN"/>
          <w14:textFill>
            <w14:solidFill>
              <w14:schemeClr w14:val="tx1"/>
            </w14:solidFill>
          </w14:textFill>
        </w:rPr>
        <w:t>2处</w:t>
      </w:r>
      <w:r>
        <w:rPr>
          <w:rFonts w:hint="eastAsia"/>
          <w:color w:val="000000" w:themeColor="text1"/>
          <w:kern w:val="0"/>
          <w:sz w:val="24"/>
          <w14:textFill>
            <w14:solidFill>
              <w14:schemeClr w14:val="tx1"/>
            </w14:solidFill>
          </w14:textFill>
        </w:rPr>
        <w:t>废石堆场。</w:t>
      </w:r>
      <w:r>
        <w:rPr>
          <w:rFonts w:hint="eastAsia"/>
          <w:color w:val="000000" w:themeColor="text1"/>
          <w:kern w:val="0"/>
          <w:sz w:val="24"/>
          <w:lang w:val="en-US" w:eastAsia="zh-CN"/>
          <w14:textFill>
            <w14:solidFill>
              <w14:schemeClr w14:val="tx1"/>
            </w14:solidFill>
          </w14:textFill>
        </w:rPr>
        <w:t>1号</w:t>
      </w:r>
      <w:r>
        <w:rPr>
          <w:color w:val="000000" w:themeColor="text1"/>
          <w:kern w:val="0"/>
          <w:sz w:val="24"/>
          <w:szCs w:val="20"/>
          <w14:textFill>
            <w14:solidFill>
              <w14:schemeClr w14:val="tx1"/>
            </w14:solidFill>
          </w14:textFill>
        </w:rPr>
        <w:t>废石堆场</w:t>
      </w:r>
      <w:r>
        <w:rPr>
          <w:rFonts w:hint="eastAsia"/>
          <w:color w:val="000000" w:themeColor="text1"/>
          <w:kern w:val="0"/>
          <w:sz w:val="24"/>
          <w:szCs w:val="20"/>
          <w14:textFill>
            <w14:solidFill>
              <w14:schemeClr w14:val="tx1"/>
            </w14:solidFill>
          </w14:textFill>
        </w:rPr>
        <w:t>布置在</w:t>
      </w:r>
      <w:r>
        <w:rPr>
          <w:rFonts w:hint="eastAsia"/>
          <w:color w:val="000000" w:themeColor="text1"/>
          <w:kern w:val="0"/>
          <w:sz w:val="24"/>
          <w14:textFill>
            <w14:solidFill>
              <w14:schemeClr w14:val="tx1"/>
            </w14:solidFill>
          </w14:textFill>
        </w:rPr>
        <w:t>矿区</w:t>
      </w:r>
      <w:r>
        <w:rPr>
          <w:rFonts w:hint="eastAsia"/>
          <w:color w:val="000000" w:themeColor="text1"/>
          <w:kern w:val="0"/>
          <w:sz w:val="24"/>
          <w:lang w:eastAsia="zh-CN"/>
          <w14:textFill>
            <w14:solidFill>
              <w14:schemeClr w14:val="tx1"/>
            </w14:solidFill>
          </w14:textFill>
        </w:rPr>
        <w:t>中部道路南</w:t>
      </w:r>
      <w:r>
        <w:rPr>
          <w:rFonts w:hint="eastAsia"/>
          <w:color w:val="000000" w:themeColor="text1"/>
          <w:kern w:val="0"/>
          <w:sz w:val="24"/>
          <w14:textFill>
            <w14:solidFill>
              <w14:schemeClr w14:val="tx1"/>
            </w14:solidFill>
          </w14:textFill>
        </w:rPr>
        <w:t>侧</w:t>
      </w:r>
      <w:r>
        <w:rPr>
          <w:rFonts w:hint="eastAsia"/>
          <w:color w:val="000000" w:themeColor="text1"/>
          <w:kern w:val="0"/>
          <w:sz w:val="24"/>
          <w:szCs w:val="20"/>
          <w14:textFill>
            <w14:solidFill>
              <w14:schemeClr w14:val="tx1"/>
            </w14:solidFill>
          </w14:textFill>
        </w:rPr>
        <w:t>，容积为</w:t>
      </w:r>
      <w:r>
        <w:rPr>
          <w:rFonts w:hint="eastAsia"/>
          <w:color w:val="000000" w:themeColor="text1"/>
          <w:kern w:val="0"/>
          <w:sz w:val="24"/>
          <w:szCs w:val="20"/>
          <w:lang w:val="en-US" w:eastAsia="zh-CN"/>
          <w14:textFill>
            <w14:solidFill>
              <w14:schemeClr w14:val="tx1"/>
            </w14:solidFill>
          </w14:textFill>
        </w:rPr>
        <w:t>19.6</w:t>
      </w:r>
      <w:r>
        <w:rPr>
          <w:rFonts w:hint="eastAsia"/>
          <w:color w:val="000000" w:themeColor="text1"/>
          <w:kern w:val="0"/>
          <w:sz w:val="24"/>
          <w:szCs w:val="20"/>
          <w14:textFill>
            <w14:solidFill>
              <w14:schemeClr w14:val="tx1"/>
            </w14:solidFill>
          </w14:textFill>
        </w:rPr>
        <w:t>万m</w:t>
      </w:r>
      <w:r>
        <w:rPr>
          <w:rFonts w:hint="eastAsia"/>
          <w:color w:val="000000" w:themeColor="text1"/>
          <w:kern w:val="0"/>
          <w:sz w:val="24"/>
          <w:szCs w:val="20"/>
          <w:vertAlign w:val="superscript"/>
          <w14:textFill>
            <w14:solidFill>
              <w14:schemeClr w14:val="tx1"/>
            </w14:solidFill>
          </w14:textFill>
        </w:rPr>
        <w:t>3</w:t>
      </w: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占地面积</w:t>
      </w:r>
      <w:r>
        <w:rPr>
          <w:rFonts w:hint="eastAsia"/>
          <w:color w:val="000000" w:themeColor="text1"/>
          <w:kern w:val="0"/>
          <w:sz w:val="24"/>
          <w:szCs w:val="20"/>
          <w:lang w:val="en-US" w:eastAsia="zh-CN"/>
          <w14:textFill>
            <w14:solidFill>
              <w14:schemeClr w14:val="tx1"/>
            </w14:solidFill>
          </w14:textFill>
        </w:rPr>
        <w:t>3.12h</w:t>
      </w:r>
      <w:r>
        <w:rPr>
          <w:color w:val="000000" w:themeColor="text1"/>
          <w:kern w:val="0"/>
          <w:sz w:val="24"/>
          <w:szCs w:val="20"/>
          <w14:textFill>
            <w14:solidFill>
              <w14:schemeClr w14:val="tx1"/>
            </w14:solidFill>
          </w14:textFill>
        </w:rPr>
        <w:t>m</w:t>
      </w:r>
      <w:r>
        <w:rPr>
          <w:color w:val="000000" w:themeColor="text1"/>
          <w:kern w:val="0"/>
          <w:sz w:val="24"/>
          <w:szCs w:val="20"/>
          <w:vertAlign w:val="superscript"/>
          <w14:textFill>
            <w14:solidFill>
              <w14:schemeClr w14:val="tx1"/>
            </w14:solidFill>
          </w14:textFill>
        </w:rPr>
        <w:t>2</w:t>
      </w:r>
      <w:r>
        <w:rPr>
          <w:rFonts w:hint="eastAsia"/>
          <w:color w:val="000000" w:themeColor="text1"/>
          <w:kern w:val="0"/>
          <w:sz w:val="24"/>
          <w:szCs w:val="20"/>
          <w:vertAlign w:val="baseline"/>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2号</w:t>
      </w:r>
      <w:r>
        <w:rPr>
          <w:color w:val="000000" w:themeColor="text1"/>
          <w:kern w:val="0"/>
          <w:sz w:val="24"/>
          <w:szCs w:val="20"/>
          <w14:textFill>
            <w14:solidFill>
              <w14:schemeClr w14:val="tx1"/>
            </w14:solidFill>
          </w14:textFill>
        </w:rPr>
        <w:t>废石堆场</w:t>
      </w:r>
      <w:r>
        <w:rPr>
          <w:rFonts w:hint="eastAsia"/>
          <w:color w:val="000000" w:themeColor="text1"/>
          <w:kern w:val="0"/>
          <w:sz w:val="24"/>
          <w:szCs w:val="20"/>
          <w14:textFill>
            <w14:solidFill>
              <w14:schemeClr w14:val="tx1"/>
            </w14:solidFill>
          </w14:textFill>
        </w:rPr>
        <w:t>布置在</w:t>
      </w:r>
      <w:r>
        <w:rPr>
          <w:rFonts w:hint="eastAsia"/>
          <w:color w:val="000000" w:themeColor="text1"/>
          <w:kern w:val="0"/>
          <w:sz w:val="24"/>
          <w14:textFill>
            <w14:solidFill>
              <w14:schemeClr w14:val="tx1"/>
            </w14:solidFill>
          </w14:textFill>
        </w:rPr>
        <w:t>矿区</w:t>
      </w:r>
      <w:r>
        <w:rPr>
          <w:rFonts w:hint="eastAsia"/>
          <w:color w:val="000000" w:themeColor="text1"/>
          <w:kern w:val="0"/>
          <w:sz w:val="24"/>
          <w:lang w:eastAsia="zh-CN"/>
          <w14:textFill>
            <w14:solidFill>
              <w14:schemeClr w14:val="tx1"/>
            </w14:solidFill>
          </w14:textFill>
        </w:rPr>
        <w:t>中部道路北</w:t>
      </w:r>
      <w:r>
        <w:rPr>
          <w:rFonts w:hint="eastAsia"/>
          <w:color w:val="000000" w:themeColor="text1"/>
          <w:kern w:val="0"/>
          <w:sz w:val="24"/>
          <w14:textFill>
            <w14:solidFill>
              <w14:schemeClr w14:val="tx1"/>
            </w14:solidFill>
          </w14:textFill>
        </w:rPr>
        <w:t>侧</w:t>
      </w:r>
      <w:r>
        <w:rPr>
          <w:rFonts w:hint="eastAsia"/>
          <w:color w:val="000000" w:themeColor="text1"/>
          <w:kern w:val="0"/>
          <w:sz w:val="24"/>
          <w:szCs w:val="20"/>
          <w14:textFill>
            <w14:solidFill>
              <w14:schemeClr w14:val="tx1"/>
            </w14:solidFill>
          </w14:textFill>
        </w:rPr>
        <w:t>，容积为</w:t>
      </w:r>
      <w:r>
        <w:rPr>
          <w:rFonts w:hint="eastAsia"/>
          <w:color w:val="000000" w:themeColor="text1"/>
          <w:kern w:val="0"/>
          <w:sz w:val="24"/>
          <w:szCs w:val="20"/>
          <w:lang w:val="en-US" w:eastAsia="zh-CN"/>
          <w14:textFill>
            <w14:solidFill>
              <w14:schemeClr w14:val="tx1"/>
            </w14:solidFill>
          </w14:textFill>
        </w:rPr>
        <w:t>14.2</w:t>
      </w:r>
      <w:r>
        <w:rPr>
          <w:rFonts w:hint="eastAsia"/>
          <w:color w:val="000000" w:themeColor="text1"/>
          <w:kern w:val="0"/>
          <w:sz w:val="24"/>
          <w:szCs w:val="20"/>
          <w14:textFill>
            <w14:solidFill>
              <w14:schemeClr w14:val="tx1"/>
            </w14:solidFill>
          </w14:textFill>
        </w:rPr>
        <w:t>万m</w:t>
      </w:r>
      <w:r>
        <w:rPr>
          <w:rFonts w:hint="eastAsia"/>
          <w:color w:val="000000" w:themeColor="text1"/>
          <w:kern w:val="0"/>
          <w:sz w:val="24"/>
          <w:szCs w:val="20"/>
          <w:vertAlign w:val="superscript"/>
          <w14:textFill>
            <w14:solidFill>
              <w14:schemeClr w14:val="tx1"/>
            </w14:solidFill>
          </w14:textFill>
        </w:rPr>
        <w:t>3</w:t>
      </w: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占地面积</w:t>
      </w:r>
      <w:r>
        <w:rPr>
          <w:rFonts w:hint="eastAsia"/>
          <w:color w:val="000000" w:themeColor="text1"/>
          <w:kern w:val="0"/>
          <w:sz w:val="24"/>
          <w:szCs w:val="20"/>
          <w:lang w:val="en-US" w:eastAsia="zh-CN"/>
          <w14:textFill>
            <w14:solidFill>
              <w14:schemeClr w14:val="tx1"/>
            </w14:solidFill>
          </w14:textFill>
        </w:rPr>
        <w:t>2.24h</w:t>
      </w:r>
      <w:r>
        <w:rPr>
          <w:color w:val="000000" w:themeColor="text1"/>
          <w:kern w:val="0"/>
          <w:sz w:val="24"/>
          <w:szCs w:val="20"/>
          <w14:textFill>
            <w14:solidFill>
              <w14:schemeClr w14:val="tx1"/>
            </w14:solidFill>
          </w14:textFill>
        </w:rPr>
        <w:t>m</w:t>
      </w:r>
      <w:r>
        <w:rPr>
          <w:color w:val="000000" w:themeColor="text1"/>
          <w:kern w:val="0"/>
          <w:sz w:val="24"/>
          <w:szCs w:val="20"/>
          <w:vertAlign w:val="superscript"/>
          <w14:textFill>
            <w14:solidFill>
              <w14:schemeClr w14:val="tx1"/>
            </w14:solidFill>
          </w14:textFill>
        </w:rPr>
        <w:t>2</w:t>
      </w:r>
      <w:r>
        <w:rPr>
          <w:rFonts w:hint="eastAsia"/>
          <w:color w:val="000000" w:themeColor="text1"/>
          <w:kern w:val="0"/>
          <w:sz w:val="24"/>
          <w:szCs w:val="20"/>
          <w:vertAlign w:val="baseline"/>
          <w:lang w:eastAsia="zh-CN"/>
          <w14:textFill>
            <w14:solidFill>
              <w14:schemeClr w14:val="tx1"/>
            </w14:solidFill>
          </w14:textFill>
        </w:rPr>
        <w:t>。</w:t>
      </w:r>
      <w:r>
        <w:rPr>
          <w:rFonts w:hint="eastAsia"/>
          <w:color w:val="000000" w:themeColor="text1"/>
          <w:kern w:val="0"/>
          <w:sz w:val="24"/>
          <w:szCs w:val="20"/>
          <w14:textFill>
            <w14:solidFill>
              <w14:schemeClr w14:val="tx1"/>
            </w14:solidFill>
          </w14:textFill>
        </w:rPr>
        <w:t>在采取边开采边恢复、闭矿期对扰动区域的生态恢复工作后，最终对区域地形地貌的影响较小。</w:t>
      </w:r>
    </w:p>
    <w:p w14:paraId="70EF88B3">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5.2.7.</w:t>
      </w:r>
      <w:r>
        <w:rPr>
          <w:rFonts w:hint="eastAsia"/>
          <w:b/>
          <w:bCs/>
          <w:color w:val="000000" w:themeColor="text1"/>
          <w:sz w:val="24"/>
          <w:szCs w:val="28"/>
          <w:lang w:val="en-US" w:eastAsia="zh-CN"/>
          <w14:textFill>
            <w14:solidFill>
              <w14:schemeClr w14:val="tx1"/>
            </w14:solidFill>
          </w14:textFill>
        </w:rPr>
        <w:t>5</w:t>
      </w:r>
      <w:r>
        <w:rPr>
          <w:b/>
          <w:bCs/>
          <w:color w:val="000000" w:themeColor="text1"/>
          <w:sz w:val="24"/>
          <w:szCs w:val="28"/>
          <w14:textFill>
            <w14:solidFill>
              <w14:schemeClr w14:val="tx1"/>
            </w14:solidFill>
          </w14:textFill>
        </w:rPr>
        <w:t>对植被影响分析</w:t>
      </w:r>
    </w:p>
    <w:p w14:paraId="566A3197">
      <w:pPr>
        <w:spacing w:line="480" w:lineRule="exact"/>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地表错动对植被的影响</w:t>
      </w:r>
    </w:p>
    <w:p w14:paraId="7EB37A7C">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矿山设计采矿方式为井下开采，随着采矿活动的进行，将会在地下形成一定的采空区，引起地面塌陷及沉降。</w:t>
      </w:r>
    </w:p>
    <w:p w14:paraId="187364B8">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开采活动对地表的破坏还表现在废石堆放可能改变原有的地形、地貌，对</w:t>
      </w:r>
      <w:r>
        <w:rPr>
          <w:rFonts w:hint="eastAsia"/>
          <w:color w:val="000000" w:themeColor="text1"/>
          <w:sz w:val="24"/>
          <w:szCs w:val="24"/>
          <w:lang w:eastAsia="zh-CN"/>
          <w14:textFill>
            <w14:solidFill>
              <w14:schemeClr w14:val="tx1"/>
            </w14:solidFill>
          </w14:textFill>
        </w:rPr>
        <w:t>废石堆场</w:t>
      </w:r>
      <w:r>
        <w:rPr>
          <w:rFonts w:hint="eastAsia"/>
          <w:color w:val="000000" w:themeColor="text1"/>
          <w:sz w:val="24"/>
          <w:szCs w:val="24"/>
          <w14:textFill>
            <w14:solidFill>
              <w14:schemeClr w14:val="tx1"/>
            </w14:solidFill>
          </w14:textFill>
        </w:rPr>
        <w:t>地范围极少量的原生植被有一定的破坏。由于评价区域处于低山丘陵区，地表植被不发育，因此地表沉陷所产生的生态环境影响也是较为有限的。</w:t>
      </w:r>
    </w:p>
    <w:p w14:paraId="1F43317A">
      <w:pPr>
        <w:spacing w:line="480" w:lineRule="exact"/>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lang w:eastAsia="zh-CN" w:bidi="ar"/>
          <w14:textFill>
            <w14:solidFill>
              <w14:schemeClr w14:val="tx1"/>
            </w14:solidFill>
          </w14:textFill>
        </w:rPr>
        <w:t>运营区占地对植被的破坏</w:t>
      </w:r>
    </w:p>
    <w:p w14:paraId="37E804C1">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根据项目特点，本项目工业场地、废石</w:t>
      </w:r>
      <w:r>
        <w:rPr>
          <w:rFonts w:hint="eastAsia"/>
          <w:color w:val="000000" w:themeColor="text1"/>
          <w:sz w:val="24"/>
          <w:szCs w:val="24"/>
          <w:lang w:eastAsia="zh-CN"/>
          <w14:textFill>
            <w14:solidFill>
              <w14:schemeClr w14:val="tx1"/>
            </w14:solidFill>
          </w14:textFill>
        </w:rPr>
        <w:t>堆</w:t>
      </w:r>
      <w:r>
        <w:rPr>
          <w:rFonts w:hint="eastAsia"/>
          <w:color w:val="000000" w:themeColor="text1"/>
          <w:sz w:val="24"/>
          <w:szCs w:val="24"/>
          <w14:textFill>
            <w14:solidFill>
              <w14:schemeClr w14:val="tx1"/>
            </w14:solidFill>
          </w14:textFill>
        </w:rPr>
        <w:t>场、运输道路均为永久性占地。项目区地处低山丘陵区，原有人为活动稀少，项目建设运行后矿区周围单位面积上人类活动的频率将大大增加，以及施工初期的挖土工程和车辆无规律的运行等将对区域内表层土壤和天然植被进行践踏、碾压，从而破坏地表植被，使其变为裸地。</w:t>
      </w:r>
    </w:p>
    <w:p w14:paraId="431DF46F">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但就项目区现状来看，区域环境极度</w:t>
      </w:r>
      <w:r>
        <w:rPr>
          <w:rFonts w:hint="eastAsia"/>
          <w:color w:val="000000" w:themeColor="text1"/>
          <w:sz w:val="24"/>
          <w:szCs w:val="24"/>
          <w:lang w:eastAsia="zh-CN"/>
          <w14:textFill>
            <w14:solidFill>
              <w14:schemeClr w14:val="tx1"/>
            </w14:solidFill>
          </w14:textFill>
        </w:rPr>
        <w:t>干旱</w:t>
      </w:r>
      <w:r>
        <w:rPr>
          <w:rFonts w:hint="eastAsia"/>
          <w:color w:val="000000" w:themeColor="text1"/>
          <w:sz w:val="24"/>
          <w:szCs w:val="24"/>
          <w14:textFill>
            <w14:solidFill>
              <w14:schemeClr w14:val="tx1"/>
            </w14:solidFill>
          </w14:textFill>
        </w:rPr>
        <w:t>，降雨稀少，地表裸岩分布，生态环境较恶劣。</w:t>
      </w:r>
    </w:p>
    <w:p w14:paraId="1D78B630">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项目建设期土地的占用主要是废石</w:t>
      </w:r>
      <w:r>
        <w:rPr>
          <w:rFonts w:hint="eastAsia"/>
          <w:color w:val="000000" w:themeColor="text1"/>
          <w:sz w:val="24"/>
          <w:szCs w:val="24"/>
          <w:lang w:eastAsia="zh-CN"/>
          <w14:textFill>
            <w14:solidFill>
              <w14:schemeClr w14:val="tx1"/>
            </w14:solidFill>
          </w14:textFill>
        </w:rPr>
        <w:t>堆</w:t>
      </w:r>
      <w:r>
        <w:rPr>
          <w:rFonts w:hint="eastAsia"/>
          <w:color w:val="000000" w:themeColor="text1"/>
          <w:sz w:val="24"/>
          <w:szCs w:val="24"/>
          <w14:textFill>
            <w14:solidFill>
              <w14:schemeClr w14:val="tx1"/>
            </w14:solidFill>
          </w14:textFill>
        </w:rPr>
        <w:t>场、矿区道路、工业场地的</w:t>
      </w:r>
      <w:r>
        <w:rPr>
          <w:rFonts w:hint="eastAsia"/>
          <w:color w:val="000000" w:themeColor="text1"/>
          <w:sz w:val="24"/>
          <w:szCs w:val="24"/>
          <w:lang w:eastAsia="zh-CN"/>
          <w14:textFill>
            <w14:solidFill>
              <w14:schemeClr w14:val="tx1"/>
            </w14:solidFill>
          </w14:textFill>
        </w:rPr>
        <w:t>建设</w:t>
      </w:r>
      <w:r>
        <w:rPr>
          <w:rFonts w:hint="eastAsia"/>
          <w:color w:val="000000" w:themeColor="text1"/>
          <w:sz w:val="24"/>
          <w:szCs w:val="24"/>
          <w14:textFill>
            <w14:solidFill>
              <w14:schemeClr w14:val="tx1"/>
            </w14:solidFill>
          </w14:textFill>
        </w:rPr>
        <w:t>等，在此期间对土壤和植被的影响范围约</w:t>
      </w:r>
      <w:r>
        <w:rPr>
          <w:rFonts w:hint="eastAsia"/>
          <w:color w:val="000000" w:themeColor="text1"/>
          <w:sz w:val="24"/>
          <w:szCs w:val="24"/>
          <w:lang w:val="en-US" w:eastAsia="zh-CN"/>
          <w14:textFill>
            <w14:solidFill>
              <w14:schemeClr w14:val="tx1"/>
            </w14:solidFill>
          </w14:textFill>
        </w:rPr>
        <w:t>5.65hm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。随时间的推移，施工期对土壤和植被的破坏程度将渐渐缩小。因此，就整个评价区域来说，建设项目对土壤和天然植被的影响相对较小。</w:t>
      </w:r>
    </w:p>
    <w:p w14:paraId="72EDD3AC">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）粉尘对植物生长影响分析</w:t>
      </w:r>
    </w:p>
    <w:p w14:paraId="6A7D1BD3">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本项目</w:t>
      </w:r>
      <w:r>
        <w:rPr>
          <w:rFonts w:hint="eastAsia"/>
          <w:color w:val="000000" w:themeColor="text1"/>
          <w:sz w:val="24"/>
          <w:szCs w:val="24"/>
          <w14:textFill>
            <w14:solidFill>
              <w14:schemeClr w14:val="tx1"/>
            </w14:solidFill>
          </w14:textFill>
        </w:rPr>
        <w:t>车辆运输</w:t>
      </w:r>
      <w:r>
        <w:rPr>
          <w:rFonts w:hint="eastAsia"/>
          <w:color w:val="000000" w:themeColor="text1"/>
          <w:sz w:val="24"/>
          <w:szCs w:val="24"/>
          <w:lang w:eastAsia="zh-CN"/>
          <w14:textFill>
            <w14:solidFill>
              <w14:schemeClr w14:val="tx1"/>
            </w14:solidFill>
          </w14:textFill>
        </w:rPr>
        <w:t>过程</w:t>
      </w:r>
      <w:r>
        <w:rPr>
          <w:rFonts w:hint="eastAsia"/>
          <w:color w:val="000000" w:themeColor="text1"/>
          <w:sz w:val="24"/>
          <w:szCs w:val="24"/>
          <w14:textFill>
            <w14:solidFill>
              <w14:schemeClr w14:val="tx1"/>
            </w14:solidFill>
          </w14:textFill>
        </w:rPr>
        <w:t>及生产过程产生的粉尘等污染物会对项目区周围空气环境产生影响。污染物可通过自然沉降和降水淋溶等途径进入土壤环境，从物理、化学等方面影响周围土壤的孔隙度、团粒结构、酸碱度、土壤肥力及微量元素含量等，从而间接影响植被生长。粉尘降落到植物叶面上，将堵塞叶面气孔，使光合作用强度下降。同时，覆尘叶片吸收红外光辐射的能力增强，导致叶温增高，蒸腾速度加快，引起失水，使植物生长发育不良。</w:t>
      </w:r>
      <w:r>
        <w:rPr>
          <w:rFonts w:hint="eastAsia"/>
          <w:color w:val="000000" w:themeColor="text1"/>
          <w:sz w:val="24"/>
          <w:szCs w:val="24"/>
          <w:lang w:eastAsia="zh-CN"/>
          <w14:textFill>
            <w14:solidFill>
              <w14:schemeClr w14:val="tx1"/>
            </w14:solidFill>
          </w14:textFill>
        </w:rPr>
        <w:t>本项目</w:t>
      </w:r>
      <w:r>
        <w:rPr>
          <w:rFonts w:hint="eastAsia"/>
          <w:color w:val="000000" w:themeColor="text1"/>
          <w:sz w:val="24"/>
          <w:szCs w:val="24"/>
          <w14:textFill>
            <w14:solidFill>
              <w14:schemeClr w14:val="tx1"/>
            </w14:solidFill>
          </w14:textFill>
        </w:rPr>
        <w:t>在生产过程中采取防尘措施，将尽可能降低扩散到附近植被的粉尘量。</w:t>
      </w:r>
    </w:p>
    <w:p w14:paraId="2DA1D423">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）对植被演替的影响</w:t>
      </w:r>
    </w:p>
    <w:p w14:paraId="6BB04F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项目实施后，原有的地表植被被破坏，在土地复垦及矿区绿化过程中，种植适宜环境的植被类型，以播撒杂草种子为主。由于</w:t>
      </w:r>
      <w:r>
        <w:rPr>
          <w:rFonts w:hint="eastAsia"/>
          <w:color w:val="000000" w:themeColor="text1"/>
          <w:sz w:val="24"/>
          <w:szCs w:val="24"/>
          <w:lang w:val="en-US" w:eastAsia="zh-CN"/>
          <w14:textFill>
            <w14:solidFill>
              <w14:schemeClr w14:val="tx1"/>
            </w14:solidFill>
          </w14:textFill>
        </w:rPr>
        <w:t>项目所在区域以戈壁居多，总体呈荒漠戈壁状态，植被类型为裸地，植物进行移植后难以存活；若进行人工补偿种植，耗费当地极其宝贵的水资源的同时，植物存活率亦较低。因此应采取自然恢复为主，人工养护为辅的治理模式。</w:t>
      </w:r>
      <w:r>
        <w:rPr>
          <w:rFonts w:hint="eastAsia"/>
          <w:color w:val="000000" w:themeColor="text1"/>
          <w:sz w:val="24"/>
          <w:szCs w:val="24"/>
          <w14:textFill>
            <w14:solidFill>
              <w14:schemeClr w14:val="tx1"/>
            </w14:solidFill>
          </w14:textFill>
        </w:rPr>
        <w:t>植被演替是较为漫长的过程，因此，本项目的实施对植被演替的影响几乎可以忽略不计。</w:t>
      </w:r>
    </w:p>
    <w:p w14:paraId="1C9E42A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本项目需合理利用水资源，高效保护植被，建设可持续发展绿色矿山，同时运营期应加强矿区绿化，种植适宜环境的植被类型。</w:t>
      </w:r>
    </w:p>
    <w:p w14:paraId="2142D5A9">
      <w:pPr>
        <w:keepNext/>
        <w:keepLines/>
        <w:spacing w:line="480" w:lineRule="exact"/>
        <w:ind w:firstLine="482" w:firstLineChars="200"/>
        <w:outlineLvl w:val="3"/>
        <w:rPr>
          <w:b/>
          <w:bCs/>
          <w:color w:val="000000" w:themeColor="text1"/>
          <w:sz w:val="24"/>
          <w:szCs w:val="28"/>
          <w14:textFill>
            <w14:solidFill>
              <w14:schemeClr w14:val="tx1"/>
            </w14:solidFill>
          </w14:textFill>
        </w:rPr>
      </w:pPr>
      <w:bookmarkStart w:id="447" w:name="_Toc1162"/>
      <w:r>
        <w:rPr>
          <w:b/>
          <w:bCs/>
          <w:color w:val="000000" w:themeColor="text1"/>
          <w:sz w:val="24"/>
          <w:szCs w:val="28"/>
          <w14:textFill>
            <w14:solidFill>
              <w14:schemeClr w14:val="tx1"/>
            </w14:solidFill>
          </w14:textFill>
        </w:rPr>
        <w:t>5.2.7.</w:t>
      </w:r>
      <w:r>
        <w:rPr>
          <w:rFonts w:hint="eastAsia"/>
          <w:b/>
          <w:bCs/>
          <w:color w:val="000000" w:themeColor="text1"/>
          <w:sz w:val="24"/>
          <w:szCs w:val="28"/>
          <w:lang w:val="en-US" w:eastAsia="zh-CN"/>
          <w14:textFill>
            <w14:solidFill>
              <w14:schemeClr w14:val="tx1"/>
            </w14:solidFill>
          </w14:textFill>
        </w:rPr>
        <w:t>6</w:t>
      </w:r>
      <w:r>
        <w:rPr>
          <w:b/>
          <w:bCs/>
          <w:color w:val="000000" w:themeColor="text1"/>
          <w:sz w:val="24"/>
          <w:szCs w:val="28"/>
          <w14:textFill>
            <w14:solidFill>
              <w14:schemeClr w14:val="tx1"/>
            </w14:solidFill>
          </w14:textFill>
        </w:rPr>
        <w:t>对野生动物影响分析</w:t>
      </w:r>
      <w:bookmarkEnd w:id="447"/>
    </w:p>
    <w:p w14:paraId="5A129940">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经调查，</w:t>
      </w:r>
      <w:r>
        <w:rPr>
          <w:rFonts w:hint="eastAsia"/>
          <w:color w:val="000000" w:themeColor="text1"/>
          <w:sz w:val="24"/>
          <w:szCs w:val="24"/>
          <w14:textFill>
            <w14:solidFill>
              <w14:schemeClr w14:val="tx1"/>
            </w14:solidFill>
          </w14:textFill>
        </w:rPr>
        <w:t>项目</w:t>
      </w:r>
      <w:r>
        <w:rPr>
          <w:color w:val="000000" w:themeColor="text1"/>
          <w:sz w:val="24"/>
          <w:szCs w:val="24"/>
          <w14:textFill>
            <w14:solidFill>
              <w14:schemeClr w14:val="tx1"/>
            </w14:solidFill>
          </w14:textFill>
        </w:rPr>
        <w:t>区域</w:t>
      </w:r>
      <w:r>
        <w:rPr>
          <w:rFonts w:hint="eastAsia"/>
          <w:color w:val="000000" w:themeColor="text1"/>
          <w:sz w:val="24"/>
          <w:szCs w:val="24"/>
          <w14:textFill>
            <w14:solidFill>
              <w14:schemeClr w14:val="tx1"/>
            </w14:solidFill>
          </w14:textFill>
        </w:rPr>
        <w:t>动物区系组成简单，野生动物种类及分布均很少。经过林业、农业部门咨询和沿途踏勘、访谈，当地分布的野生动物有壁虎和鼠类，但平时比较少见</w:t>
      </w:r>
      <w:r>
        <w:rPr>
          <w:color w:val="000000" w:themeColor="text1"/>
          <w:sz w:val="24"/>
          <w:szCs w:val="24"/>
          <w14:textFill>
            <w14:solidFill>
              <w14:schemeClr w14:val="tx1"/>
            </w14:solidFill>
          </w14:textFill>
        </w:rPr>
        <w:t>，野生动物分布密度和种群数量较小。</w:t>
      </w:r>
    </w:p>
    <w:p w14:paraId="1BC64E25">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项目厂界围栏对外环境野生动物进行了隔离，避免了外界野生动物进入而造成影响。且项目区各种机械</w:t>
      </w:r>
      <w:r>
        <w:rPr>
          <w:rFonts w:hint="eastAsia"/>
          <w:color w:val="000000" w:themeColor="text1"/>
          <w:sz w:val="24"/>
          <w:szCs w:val="24"/>
          <w:lang w:eastAsia="zh-CN"/>
          <w14:textFill>
            <w14:solidFill>
              <w14:schemeClr w14:val="tx1"/>
            </w14:solidFill>
          </w14:textFill>
        </w:rPr>
        <w:t>产生</w:t>
      </w:r>
      <w:r>
        <w:rPr>
          <w:color w:val="000000" w:themeColor="text1"/>
          <w:sz w:val="24"/>
          <w:szCs w:val="24"/>
          <w14:textFill>
            <w14:solidFill>
              <w14:schemeClr w14:val="tx1"/>
            </w14:solidFill>
          </w14:textFill>
        </w:rPr>
        <w:t>的噪声和人员活动对外环境动物造成干扰，大型野生动物很少出现，仅有少量小型爬行类动物出没。</w:t>
      </w:r>
    </w:p>
    <w:p w14:paraId="3424E091">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本项目</w:t>
      </w:r>
      <w:r>
        <w:rPr>
          <w:color w:val="000000" w:themeColor="text1"/>
          <w:sz w:val="24"/>
          <w:szCs w:val="24"/>
          <w14:textFill>
            <w14:solidFill>
              <w14:schemeClr w14:val="tx1"/>
            </w14:solidFill>
          </w14:textFill>
        </w:rPr>
        <w:t>新增地面建筑</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在项目的建设过程中，会破坏鼠类的洞穴和导致部分洞穴中的鼠类死亡，对飞翔的鸟类，项目建设有驱赶作用，但影响不大。对爬行动物及昆虫，其影响与对鼠类的影响近似，由于该区域野生动物密度较低，总体上影响较小。</w:t>
      </w:r>
    </w:p>
    <w:p w14:paraId="138C06BF">
      <w:pPr>
        <w:keepNext/>
        <w:keepLines/>
        <w:spacing w:line="480" w:lineRule="exact"/>
        <w:ind w:firstLine="482" w:firstLineChars="200"/>
        <w:outlineLvl w:val="3"/>
        <w:rPr>
          <w:b/>
          <w:bCs/>
          <w:color w:val="000000" w:themeColor="text1"/>
          <w:sz w:val="24"/>
          <w:szCs w:val="28"/>
          <w14:textFill>
            <w14:solidFill>
              <w14:schemeClr w14:val="tx1"/>
            </w14:solidFill>
          </w14:textFill>
        </w:rPr>
      </w:pPr>
      <w:bookmarkStart w:id="448" w:name="_Toc10418"/>
      <w:r>
        <w:rPr>
          <w:b/>
          <w:bCs/>
          <w:color w:val="000000" w:themeColor="text1"/>
          <w:sz w:val="24"/>
          <w:szCs w:val="28"/>
          <w14:textFill>
            <w14:solidFill>
              <w14:schemeClr w14:val="tx1"/>
            </w14:solidFill>
          </w14:textFill>
        </w:rPr>
        <w:t>5.2.7.</w:t>
      </w:r>
      <w:r>
        <w:rPr>
          <w:rFonts w:hint="eastAsia"/>
          <w:b/>
          <w:bCs/>
          <w:color w:val="000000" w:themeColor="text1"/>
          <w:sz w:val="24"/>
          <w:szCs w:val="28"/>
          <w:lang w:val="en-US" w:eastAsia="zh-CN"/>
          <w14:textFill>
            <w14:solidFill>
              <w14:schemeClr w14:val="tx1"/>
            </w14:solidFill>
          </w14:textFill>
        </w:rPr>
        <w:t>7</w:t>
      </w:r>
      <w:r>
        <w:rPr>
          <w:b/>
          <w:bCs/>
          <w:color w:val="000000" w:themeColor="text1"/>
          <w:sz w:val="24"/>
          <w:szCs w:val="28"/>
          <w14:textFill>
            <w14:solidFill>
              <w14:schemeClr w14:val="tx1"/>
            </w14:solidFill>
          </w14:textFill>
        </w:rPr>
        <w:t>对</w:t>
      </w:r>
      <w:r>
        <w:rPr>
          <w:rFonts w:hint="eastAsia"/>
          <w:b/>
          <w:bCs/>
          <w:color w:val="000000" w:themeColor="text1"/>
          <w:sz w:val="24"/>
          <w:szCs w:val="28"/>
          <w14:textFill>
            <w14:solidFill>
              <w14:schemeClr w14:val="tx1"/>
            </w14:solidFill>
          </w14:textFill>
        </w:rPr>
        <w:t>景观格局的</w:t>
      </w:r>
      <w:r>
        <w:rPr>
          <w:b/>
          <w:bCs/>
          <w:color w:val="000000" w:themeColor="text1"/>
          <w:sz w:val="24"/>
          <w:szCs w:val="28"/>
          <w14:textFill>
            <w14:solidFill>
              <w14:schemeClr w14:val="tx1"/>
            </w14:solidFill>
          </w14:textFill>
        </w:rPr>
        <w:t>影响分析</w:t>
      </w:r>
      <w:bookmarkEnd w:id="448"/>
    </w:p>
    <w:p w14:paraId="11802B6D">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经过多年的生产建设，矿区在一定程度上已经破坏了范围内原有的景观格局，使区域内自然景观类型变为容纳工业厂房、废石堆场、道路等人工景观，从而对原来的景观进行</w:t>
      </w:r>
      <w:r>
        <w:rPr>
          <w:rFonts w:hint="eastAsia"/>
          <w:color w:val="000000" w:themeColor="text1"/>
          <w:sz w:val="24"/>
          <w:szCs w:val="24"/>
          <w14:textFill>
            <w14:solidFill>
              <w14:schemeClr w14:val="tx1"/>
            </w14:solidFill>
          </w14:textFill>
        </w:rPr>
        <w:t>分割</w:t>
      </w:r>
      <w:r>
        <w:rPr>
          <w:color w:val="000000" w:themeColor="text1"/>
          <w:sz w:val="24"/>
          <w:szCs w:val="24"/>
          <w14:textFill>
            <w14:solidFill>
              <w14:schemeClr w14:val="tx1"/>
            </w14:solidFill>
          </w14:textFill>
        </w:rPr>
        <w:t>，造成空间上的非连续性和一些人为的劣质景观，与周围自然环境不协调</w:t>
      </w:r>
      <w:r>
        <w:rPr>
          <w:rFonts w:hint="eastAsia"/>
          <w:color w:val="000000" w:themeColor="text1"/>
          <w:sz w:val="24"/>
          <w:szCs w:val="24"/>
          <w14:textFill>
            <w14:solidFill>
              <w14:schemeClr w14:val="tx1"/>
            </w14:solidFill>
          </w14:textFill>
        </w:rPr>
        <w:t>。</w:t>
      </w:r>
    </w:p>
    <w:p w14:paraId="33883369">
      <w:pPr>
        <w:spacing w:line="480" w:lineRule="exact"/>
        <w:ind w:firstLine="480" w:firstLineChars="20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新增</w:t>
      </w:r>
      <w:r>
        <w:rPr>
          <w:rFonts w:hint="eastAsia"/>
          <w:color w:val="000000" w:themeColor="text1"/>
          <w:sz w:val="24"/>
          <w:szCs w:val="24"/>
          <w:lang w:val="en-US" w:eastAsia="zh-CN"/>
          <w14:textFill>
            <w14:solidFill>
              <w14:schemeClr w14:val="tx1"/>
            </w14:solidFill>
          </w14:textFill>
        </w:rPr>
        <w:t>占用5.65</w:t>
      </w:r>
      <w:r>
        <w:rPr>
          <w:rFonts w:hint="eastAsia"/>
          <w:color w:val="000000" w:themeColor="text1"/>
          <w:sz w:val="24"/>
          <w:szCs w:val="24"/>
          <w14:textFill>
            <w14:solidFill>
              <w14:schemeClr w14:val="tx1"/>
            </w14:solidFill>
          </w14:textFill>
        </w:rPr>
        <w:t>hm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工业用地。</w:t>
      </w:r>
      <w:r>
        <w:rPr>
          <w:color w:val="000000" w:themeColor="text1"/>
          <w:sz w:val="24"/>
          <w:szCs w:val="24"/>
          <w14:textFill>
            <w14:solidFill>
              <w14:schemeClr w14:val="tx1"/>
            </w14:solidFill>
          </w14:textFill>
        </w:rPr>
        <w:t>在项目建设期，项目建设带来的人工生态系统优势度增加</w:t>
      </w:r>
      <w:r>
        <w:rPr>
          <w:rFonts w:hint="eastAsia"/>
          <w:color w:val="000000" w:themeColor="text1"/>
          <w:sz w:val="24"/>
          <w:szCs w:val="24"/>
          <w:lang w:eastAsia="zh-CN"/>
          <w14:textFill>
            <w14:solidFill>
              <w14:schemeClr w14:val="tx1"/>
            </w14:solidFill>
          </w14:textFill>
        </w:rPr>
        <w:t>，裸岩石砾地、戈壁</w:t>
      </w:r>
      <w:r>
        <w:rPr>
          <w:color w:val="000000" w:themeColor="text1"/>
          <w:sz w:val="24"/>
          <w:szCs w:val="24"/>
          <w14:textFill>
            <w14:solidFill>
              <w14:schemeClr w14:val="tx1"/>
            </w14:solidFill>
          </w14:textFill>
        </w:rPr>
        <w:t>生态系统优势度的减少</w:t>
      </w:r>
      <w:r>
        <w:rPr>
          <w:rFonts w:hint="eastAsia"/>
          <w:color w:val="000000" w:themeColor="text1"/>
          <w:sz w:val="24"/>
          <w:szCs w:val="24"/>
          <w14:textFill>
            <w14:solidFill>
              <w14:schemeClr w14:val="tx1"/>
            </w14:solidFill>
          </w14:textFill>
        </w:rPr>
        <w:t>，对矿区自然景观将会产生较大影响。</w:t>
      </w:r>
      <w:r>
        <w:rPr>
          <w:color w:val="000000" w:themeColor="text1"/>
          <w:sz w:val="24"/>
          <w:szCs w:val="24"/>
          <w14:textFill>
            <w14:solidFill>
              <w14:schemeClr w14:val="tx1"/>
            </w14:solidFill>
          </w14:textFill>
        </w:rPr>
        <w:t>根据生态环境现状调查可知，</w:t>
      </w:r>
      <w:r>
        <w:rPr>
          <w:rFonts w:hint="eastAsia"/>
          <w:color w:val="000000" w:themeColor="text1"/>
          <w:sz w:val="24"/>
          <w:szCs w:val="24"/>
          <w14:textFill>
            <w14:solidFill>
              <w14:schemeClr w14:val="tx1"/>
            </w14:solidFill>
          </w14:textFill>
        </w:rPr>
        <w:t>本项目</w:t>
      </w:r>
      <w:r>
        <w:rPr>
          <w:color w:val="000000" w:themeColor="text1"/>
          <w:sz w:val="24"/>
          <w:szCs w:val="24"/>
          <w14:textFill>
            <w14:solidFill>
              <w14:schemeClr w14:val="tx1"/>
            </w14:solidFill>
          </w14:textFill>
        </w:rPr>
        <w:t>各主要工程建设场地是依照所处</w:t>
      </w:r>
      <w:r>
        <w:rPr>
          <w:rFonts w:hint="eastAsia"/>
          <w:color w:val="000000" w:themeColor="text1"/>
          <w:sz w:val="24"/>
          <w:szCs w:val="24"/>
          <w14:textFill>
            <w14:solidFill>
              <w14:schemeClr w14:val="tx1"/>
            </w14:solidFill>
          </w14:textFill>
        </w:rPr>
        <w:t>位置</w:t>
      </w:r>
      <w:r>
        <w:rPr>
          <w:color w:val="000000" w:themeColor="text1"/>
          <w:sz w:val="24"/>
          <w:szCs w:val="24"/>
          <w14:textFill>
            <w14:solidFill>
              <w14:schemeClr w14:val="tx1"/>
            </w14:solidFill>
          </w14:textFill>
        </w:rPr>
        <w:t>的地形地貌及项目要求进行了较为合理的布局，因此，</w:t>
      </w:r>
      <w:r>
        <w:rPr>
          <w:rFonts w:hint="eastAsia"/>
          <w:color w:val="000000" w:themeColor="text1"/>
          <w:sz w:val="24"/>
          <w:szCs w:val="24"/>
          <w14:textFill>
            <w14:solidFill>
              <w14:schemeClr w14:val="tx1"/>
            </w14:solidFill>
          </w14:textFill>
        </w:rPr>
        <w:t>本次</w:t>
      </w:r>
      <w:r>
        <w:rPr>
          <w:color w:val="000000" w:themeColor="text1"/>
          <w:sz w:val="24"/>
          <w:szCs w:val="24"/>
          <w14:textFill>
            <w14:solidFill>
              <w14:schemeClr w14:val="tx1"/>
            </w14:solidFill>
          </w14:textFill>
        </w:rPr>
        <w:t>项目建设将原有的</w:t>
      </w:r>
      <w:r>
        <w:rPr>
          <w:rFonts w:hint="eastAsia"/>
          <w:color w:val="000000" w:themeColor="text1"/>
          <w:sz w:val="24"/>
          <w:szCs w:val="24"/>
          <w:lang w:eastAsia="zh-CN"/>
          <w14:textFill>
            <w14:solidFill>
              <w14:schemeClr w14:val="tx1"/>
            </w14:solidFill>
          </w14:textFill>
        </w:rPr>
        <w:t>裸岩石砾地、戈壁</w:t>
      </w:r>
      <w:r>
        <w:rPr>
          <w:color w:val="000000" w:themeColor="text1"/>
          <w:sz w:val="24"/>
          <w:szCs w:val="24"/>
          <w14:textFill>
            <w14:solidFill>
              <w14:schemeClr w14:val="tx1"/>
            </w14:solidFill>
          </w14:textFill>
        </w:rPr>
        <w:t>景观改变为工矿用地景观，对于周边的景观格局和功能不会带来明显改变。本次环评要求服务期满后，对采矿区进行生态恢复，</w:t>
      </w:r>
      <w:r>
        <w:rPr>
          <w:rFonts w:hint="eastAsia"/>
          <w:color w:val="000000" w:themeColor="text1"/>
          <w:sz w:val="24"/>
          <w:szCs w:val="24"/>
          <w14:textFill>
            <w14:solidFill>
              <w14:schemeClr w14:val="tx1"/>
            </w14:solidFill>
          </w14:textFill>
        </w:rPr>
        <w:t>在工业场地均拆除及进行了生态恢复的前提下，</w:t>
      </w:r>
      <w:r>
        <w:rPr>
          <w:color w:val="000000" w:themeColor="text1"/>
          <w:sz w:val="24"/>
          <w:szCs w:val="24"/>
          <w14:textFill>
            <w14:solidFill>
              <w14:schemeClr w14:val="tx1"/>
            </w14:solidFill>
          </w14:textFill>
        </w:rPr>
        <w:t>自然景观影响将得到一定程度的恢复和改善</w:t>
      </w:r>
      <w:r>
        <w:rPr>
          <w:rFonts w:hint="eastAsia"/>
          <w:color w:val="000000" w:themeColor="text1"/>
          <w:sz w:val="24"/>
          <w:szCs w:val="24"/>
          <w14:textFill>
            <w14:solidFill>
              <w14:schemeClr w14:val="tx1"/>
            </w14:solidFill>
          </w14:textFill>
        </w:rPr>
        <w:t>，随着生态保护与恢复措施，将逐渐形成新的</w:t>
      </w:r>
      <w:r>
        <w:rPr>
          <w:rFonts w:hint="eastAsia"/>
          <w:color w:val="000000" w:themeColor="text1"/>
          <w:sz w:val="24"/>
          <w:szCs w:val="24"/>
          <w:lang w:eastAsia="zh-CN"/>
          <w14:textFill>
            <w14:solidFill>
              <w14:schemeClr w14:val="tx1"/>
            </w14:solidFill>
          </w14:textFill>
        </w:rPr>
        <w:t>山地</w:t>
      </w:r>
      <w:r>
        <w:rPr>
          <w:rFonts w:hint="eastAsia"/>
          <w:color w:val="000000" w:themeColor="text1"/>
          <w:sz w:val="24"/>
          <w:szCs w:val="24"/>
          <w14:textFill>
            <w14:solidFill>
              <w14:schemeClr w14:val="tx1"/>
            </w14:solidFill>
          </w14:textFill>
        </w:rPr>
        <w:t>草原生态系统，原有破坏的植被将得到恢复，绿化程度相应提高，对景观完整性影响较小，不会对评价区景观格局产生较大的改变。</w:t>
      </w:r>
    </w:p>
    <w:p w14:paraId="5183F218">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5.2.7.</w:t>
      </w:r>
      <w:r>
        <w:rPr>
          <w:rFonts w:hint="eastAsia"/>
          <w:b/>
          <w:bCs/>
          <w:color w:val="000000" w:themeColor="text1"/>
          <w:sz w:val="24"/>
          <w:szCs w:val="28"/>
          <w:lang w:val="en-US" w:eastAsia="zh-CN"/>
          <w14:textFill>
            <w14:solidFill>
              <w14:schemeClr w14:val="tx1"/>
            </w14:solidFill>
          </w14:textFill>
        </w:rPr>
        <w:t>8</w:t>
      </w:r>
      <w:r>
        <w:rPr>
          <w:rFonts w:hint="eastAsia"/>
          <w:b/>
          <w:bCs/>
          <w:color w:val="000000" w:themeColor="text1"/>
          <w:sz w:val="24"/>
          <w:szCs w:val="28"/>
          <w14:textFill>
            <w14:solidFill>
              <w14:schemeClr w14:val="tx1"/>
            </w14:solidFill>
          </w14:textFill>
        </w:rPr>
        <w:t>地表变形影响分析</w:t>
      </w:r>
    </w:p>
    <w:p w14:paraId="0F9142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现状采空塌陷隐患区范围圈定</w:t>
      </w:r>
    </w:p>
    <w:p w14:paraId="0F2E7E2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现状</w:t>
      </w:r>
      <w:r>
        <w:rPr>
          <w:rFonts w:hint="eastAsia"/>
          <w:color w:val="000000" w:themeColor="text1"/>
          <w:sz w:val="24"/>
          <w14:textFill>
            <w14:solidFill>
              <w14:schemeClr w14:val="tx1"/>
            </w14:solidFill>
          </w14:textFill>
        </w:rPr>
        <w:t>I-1</w:t>
      </w:r>
      <w:r>
        <w:rPr>
          <w:rFonts w:hint="eastAsia"/>
          <w:color w:val="000000" w:themeColor="text1"/>
          <w:sz w:val="24"/>
          <w:lang w:val="zh-CN"/>
          <w14:textFill>
            <w14:solidFill>
              <w14:schemeClr w14:val="tx1"/>
            </w14:solidFill>
          </w14:textFill>
        </w:rPr>
        <w:t>矿体采空区地表投影宽度19</w:t>
      </w:r>
      <w:r>
        <w:rPr>
          <w:rFonts w:hint="eastAsia"/>
          <w:color w:val="000000" w:themeColor="text1"/>
          <w:sz w:val="24"/>
          <w:lang w:val="en-US" w:eastAsia="zh-CN"/>
          <w14:textFill>
            <w14:solidFill>
              <w14:schemeClr w14:val="tx1"/>
            </w14:solidFill>
          </w14:textFill>
        </w:rPr>
        <w:t>m</w:t>
      </w:r>
      <w:r>
        <w:rPr>
          <w:rFonts w:hint="eastAsia"/>
          <w:color w:val="000000" w:themeColor="text1"/>
          <w:sz w:val="24"/>
          <w:lang w:val="zh-CN"/>
          <w14:textFill>
            <w14:solidFill>
              <w14:schemeClr w14:val="tx1"/>
            </w14:solidFill>
          </w14:textFill>
        </w:rPr>
        <w:t>，现状采空区地面塌陷倾向宽度167</w:t>
      </w:r>
      <w:r>
        <w:rPr>
          <w:rFonts w:hint="eastAsia"/>
          <w:color w:val="000000" w:themeColor="text1"/>
          <w:sz w:val="24"/>
          <w:lang w:val="en-US" w:eastAsia="zh-CN"/>
          <w14:textFill>
            <w14:solidFill>
              <w14:schemeClr w14:val="tx1"/>
            </w14:solidFill>
          </w14:textFill>
        </w:rPr>
        <w:t>m</w:t>
      </w:r>
      <w:r>
        <w:rPr>
          <w:rFonts w:hint="eastAsia"/>
          <w:color w:val="000000" w:themeColor="text1"/>
          <w:sz w:val="24"/>
          <w:lang w:val="zh-CN"/>
          <w14:textFill>
            <w14:solidFill>
              <w14:schemeClr w14:val="tx1"/>
            </w14:solidFill>
          </w14:textFill>
        </w:rPr>
        <w:t>（</w:t>
      </w:r>
      <w:r>
        <w:rPr>
          <w:rFonts w:hint="eastAsia"/>
          <w:color w:val="000000" w:themeColor="text1"/>
          <w:sz w:val="24"/>
          <w:highlight w:val="none"/>
          <w:lang w:val="zh-CN"/>
          <w14:textFill>
            <w14:solidFill>
              <w14:schemeClr w14:val="tx1"/>
            </w14:solidFill>
          </w14:textFill>
        </w:rPr>
        <w:t>图</w:t>
      </w:r>
      <w:r>
        <w:rPr>
          <w:rFonts w:hint="eastAsia"/>
          <w:color w:val="000000" w:themeColor="text1"/>
          <w:sz w:val="24"/>
          <w:highlight w:val="none"/>
          <w:lang w:val="en-US" w:eastAsia="zh-CN"/>
          <w14:textFill>
            <w14:solidFill>
              <w14:schemeClr w14:val="tx1"/>
            </w14:solidFill>
          </w14:textFill>
        </w:rPr>
        <w:t>5.2-7</w:t>
      </w:r>
      <w:r>
        <w:rPr>
          <w:rFonts w:hint="eastAsia"/>
          <w:color w:val="000000" w:themeColor="text1"/>
          <w:sz w:val="24"/>
          <w:lang w:val="zh-CN"/>
          <w14:textFill>
            <w14:solidFill>
              <w14:schemeClr w14:val="tx1"/>
            </w14:solidFill>
          </w14:textFill>
        </w:rPr>
        <w:t>）。</w:t>
      </w:r>
    </w:p>
    <w:p w14:paraId="31058B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583C7E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69AF0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5A1FC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435D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8A4C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09933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8B352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5EA70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BE1D2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49E7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3CD86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0C8D3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3AC063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22EEE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CDD9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21E33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061BC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A6EED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1DCA1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10A4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21671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1EE6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0B3C1D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64E66C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248EC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F64E9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2D71F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5B938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10363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D4A65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6751C4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8D38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B3EC2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AAEA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6D517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5A167B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381766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2AD6C00">
      <w:pPr>
        <w:spacing w:line="480" w:lineRule="exact"/>
        <w:jc w:val="center"/>
        <w:rPr>
          <w:rFonts w:hint="eastAsia" w:ascii="Times New Roman" w:hAnsi="Times New Roman" w:eastAsia="宋体" w:cs="Times New Roman"/>
          <w:b/>
          <w:bCs/>
          <w:color w:val="000000" w:themeColor="text1"/>
          <w:kern w:val="0"/>
          <w:sz w:val="24"/>
          <w:szCs w:val="21"/>
          <w14:textFill>
            <w14:solidFill>
              <w14:schemeClr w14:val="tx1"/>
            </w14:solidFill>
          </w14:textFill>
        </w:rPr>
      </w:pPr>
      <w:r>
        <w:rPr>
          <w:rFonts w:hint="eastAsia" w:ascii="Times New Roman" w:hAnsi="Times New Roman" w:eastAsia="宋体" w:cs="Times New Roman"/>
          <w:b/>
          <w:bCs/>
          <w:color w:val="000000" w:themeColor="text1"/>
          <w:kern w:val="0"/>
          <w:sz w:val="24"/>
          <w:szCs w:val="21"/>
          <w14:textFill>
            <w14:solidFill>
              <w14:schemeClr w14:val="tx1"/>
            </w14:solidFill>
          </w14:textFill>
        </w:rPr>
        <w:t>图</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5.2-</w:t>
      </w:r>
      <w:r>
        <w:rPr>
          <w:rFonts w:hint="eastAsia" w:cs="Times New Roman"/>
          <w:b/>
          <w:bCs/>
          <w:color w:val="000000" w:themeColor="text1"/>
          <w:kern w:val="0"/>
          <w:sz w:val="24"/>
          <w:szCs w:val="21"/>
          <w:lang w:val="en-US" w:eastAsia="zh-CN"/>
          <w14:textFill>
            <w14:solidFill>
              <w14:schemeClr w14:val="tx1"/>
            </w14:solidFill>
          </w14:textFill>
        </w:rPr>
        <w:t>7</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14:textFill>
            <w14:solidFill>
              <w14:schemeClr w14:val="tx1"/>
            </w14:solidFill>
          </w14:textFill>
        </w:rPr>
        <w:t xml:space="preserve">  1-1号勘探线剖面计算I-1号矿体现状采空区影响范围示意图</w:t>
      </w:r>
    </w:p>
    <w:p w14:paraId="1407A7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根据1-1号勘探线圈定的I-1矿体现状采空区地表投影总面积4763</w:t>
      </w:r>
      <w:r>
        <w:rPr>
          <w:rFonts w:hint="eastAsia"/>
          <w:color w:val="000000" w:themeColor="text1"/>
          <w:sz w:val="24"/>
          <w:lang w:val="en-US" w:eastAsia="zh-CN"/>
          <w14:textFill>
            <w14:solidFill>
              <w14:schemeClr w14:val="tx1"/>
            </w14:solidFill>
          </w14:textFill>
        </w:rPr>
        <w:t>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14:textFill>
            <w14:solidFill>
              <w14:schemeClr w14:val="tx1"/>
            </w14:solidFill>
          </w14:textFill>
        </w:rPr>
        <w:t>，现状采空区地面塌陷隐患区地表投影面积37409</w:t>
      </w:r>
      <w:r>
        <w:rPr>
          <w:rFonts w:hint="eastAsia"/>
          <w:color w:val="000000" w:themeColor="text1"/>
          <w:sz w:val="24"/>
          <w:lang w:val="en-US" w:eastAsia="zh-CN"/>
          <w14:textFill>
            <w14:solidFill>
              <w14:schemeClr w14:val="tx1"/>
            </w14:solidFill>
          </w14:textFill>
        </w:rPr>
        <w:t>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p>
    <w:p w14:paraId="0FFE37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现状采空区地面塌陷隐患区评估</w:t>
      </w:r>
    </w:p>
    <w:p w14:paraId="7708B7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评估区内I-1矿体现状采空区地面塌陷灾害隐患区总面积为37409</w:t>
      </w:r>
      <w:r>
        <w:rPr>
          <w:rFonts w:hint="eastAsia"/>
          <w:color w:val="000000" w:themeColor="text1"/>
          <w:sz w:val="24"/>
          <w:lang w:val="en-US" w:eastAsia="zh-CN"/>
          <w14:textFill>
            <w14:solidFill>
              <w14:schemeClr w14:val="tx1"/>
            </w14:solidFill>
          </w14:textFill>
        </w:rPr>
        <w:t>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14:textFill>
            <w14:solidFill>
              <w14:schemeClr w14:val="tx1"/>
            </w14:solidFill>
          </w14:textFill>
        </w:rPr>
        <w:t>。矿山建设场地占地总面积48.14hm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，现状采空塌陷灾害隐患区占建设场地面积约8%，矿体开采深厚比均＜80，依据《地质灾害危险性评估规范》（GB/T40112-2021）“采空塌陷发育程度分级表”（表</w:t>
      </w:r>
      <w:r>
        <w:rPr>
          <w:rFonts w:hint="eastAsia"/>
          <w:color w:val="000000" w:themeColor="text1"/>
          <w:sz w:val="24"/>
          <w:lang w:val="en-US" w:eastAsia="zh-CN"/>
          <w14:textFill>
            <w14:solidFill>
              <w14:schemeClr w14:val="tx1"/>
            </w14:solidFill>
          </w14:textFill>
        </w:rPr>
        <w:t>5.2-28</w:t>
      </w:r>
      <w:r>
        <w:rPr>
          <w:rFonts w:hint="eastAsia"/>
          <w:color w:val="000000" w:themeColor="text1"/>
          <w:sz w:val="24"/>
          <w14:textFill>
            <w14:solidFill>
              <w14:schemeClr w14:val="tx1"/>
            </w14:solidFill>
          </w14:textFill>
        </w:rPr>
        <w:t>）判定，现状采空塌陷发育程度为强发育，见表</w:t>
      </w:r>
      <w:r>
        <w:rPr>
          <w:rFonts w:hint="eastAsia"/>
          <w:color w:val="000000" w:themeColor="text1"/>
          <w:sz w:val="24"/>
          <w:lang w:val="en-US" w:eastAsia="zh-CN"/>
          <w14:textFill>
            <w14:solidFill>
              <w14:schemeClr w14:val="tx1"/>
            </w14:solidFill>
          </w14:textFill>
        </w:rPr>
        <w:t>5.2-29</w:t>
      </w:r>
      <w:r>
        <w:rPr>
          <w:rFonts w:hint="eastAsia"/>
          <w:color w:val="000000" w:themeColor="text1"/>
          <w:sz w:val="24"/>
          <w14:textFill>
            <w14:solidFill>
              <w14:schemeClr w14:val="tx1"/>
            </w14:solidFill>
          </w14:textFill>
        </w:rPr>
        <w:t>。</w:t>
      </w:r>
    </w:p>
    <w:p w14:paraId="732EDAD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据调查，I-1矿体现状采空区未发生地面塌陷，地表也无地裂缝、沉陷等变形迹象，但存在地面塌陷隐患，现状矿山处于停产状态，无人员活动，因此不</w:t>
      </w:r>
      <w:r>
        <w:rPr>
          <w:rFonts w:hint="eastAsia"/>
          <w:color w:val="000000" w:themeColor="text1"/>
          <w:sz w:val="24"/>
          <w:lang w:val="en-US" w:eastAsia="zh-CN"/>
          <w14:textFill>
            <w14:solidFill>
              <w14:schemeClr w14:val="tx1"/>
            </w14:solidFill>
          </w14:textFill>
        </w:rPr>
        <w:t>会</w:t>
      </w:r>
      <w:r>
        <w:rPr>
          <w:rFonts w:hint="eastAsia"/>
          <w:color w:val="000000" w:themeColor="text1"/>
          <w:sz w:val="24"/>
          <w14:textFill>
            <w14:solidFill>
              <w14:schemeClr w14:val="tx1"/>
            </w14:solidFill>
          </w14:textFill>
        </w:rPr>
        <w:t>对矿山从业人员造成危害</w:t>
      </w:r>
      <w:r>
        <w:rPr>
          <w:rFonts w:hint="eastAsia"/>
          <w:color w:val="000000" w:themeColor="text1"/>
          <w:sz w:val="24"/>
          <w:lang w:eastAsia="zh-CN"/>
          <w14:textFill>
            <w14:solidFill>
              <w14:schemeClr w14:val="tx1"/>
            </w14:solidFill>
          </w14:textFill>
        </w:rPr>
        <w:t>，威胁井下设备</w:t>
      </w:r>
      <w:r>
        <w:rPr>
          <w:rFonts w:hint="eastAsia"/>
          <w:color w:val="000000" w:themeColor="text1"/>
          <w:sz w:val="24"/>
          <w:lang w:val="en-US" w:eastAsia="zh-CN"/>
          <w14:textFill>
            <w14:solidFill>
              <w14:schemeClr w14:val="tx1"/>
            </w14:solidFill>
          </w14:textFill>
        </w:rPr>
        <w:t>80万元；</w:t>
      </w:r>
      <w:r>
        <w:rPr>
          <w:rFonts w:hint="eastAsia"/>
          <w:color w:val="000000" w:themeColor="text1"/>
          <w:sz w:val="24"/>
          <w14:textFill>
            <w14:solidFill>
              <w14:schemeClr w14:val="tx1"/>
            </w14:solidFill>
          </w14:textFill>
        </w:rPr>
        <w:t>现状评估采空塌陷发育程度强，危害程度小，危险性中等。</w:t>
      </w:r>
    </w:p>
    <w:p w14:paraId="3DAFE469">
      <w:pPr>
        <w:spacing w:line="480" w:lineRule="exact"/>
        <w:jc w:val="center"/>
        <w:rPr>
          <w:rFonts w:hint="eastAsia" w:ascii="Times New Roman" w:hAnsi="Times New Roman" w:eastAsia="宋体" w:cs="Times New Roman"/>
          <w:b/>
          <w:bCs/>
          <w:color w:val="000000" w:themeColor="text1"/>
          <w:kern w:val="0"/>
          <w:sz w:val="24"/>
          <w:szCs w:val="21"/>
          <w14:textFill>
            <w14:solidFill>
              <w14:schemeClr w14:val="tx1"/>
            </w14:solidFill>
          </w14:textFill>
        </w:rPr>
      </w:pPr>
    </w:p>
    <w:p w14:paraId="122AD787">
      <w:pPr>
        <w:spacing w:line="480" w:lineRule="exact"/>
        <w:jc w:val="center"/>
        <w:rPr>
          <w:rFonts w:hint="eastAsia" w:ascii="Times New Roman" w:hAnsi="Times New Roman" w:eastAsia="宋体" w:cs="Times New Roman"/>
          <w:b/>
          <w:bCs/>
          <w:color w:val="000000" w:themeColor="text1"/>
          <w:kern w:val="0"/>
          <w:sz w:val="24"/>
          <w:szCs w:val="21"/>
          <w14:textFill>
            <w14:solidFill>
              <w14:schemeClr w14:val="tx1"/>
            </w14:solidFill>
          </w14:textFill>
        </w:rPr>
      </w:pPr>
      <w:r>
        <w:rPr>
          <w:rFonts w:hint="eastAsia" w:ascii="Times New Roman" w:hAnsi="Times New Roman" w:eastAsia="宋体" w:cs="Times New Roman"/>
          <w:b/>
          <w:bCs/>
          <w:color w:val="000000" w:themeColor="text1"/>
          <w:kern w:val="0"/>
          <w:sz w:val="24"/>
          <w:szCs w:val="21"/>
          <w14:textFill>
            <w14:solidFill>
              <w14:schemeClr w14:val="tx1"/>
            </w14:solidFill>
          </w14:textFill>
        </w:rPr>
        <w:t>表</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5.2</w:t>
      </w:r>
      <w:r>
        <w:rPr>
          <w:rFonts w:hint="eastAsia" w:ascii="Times New Roman" w:hAnsi="Times New Roman" w:eastAsia="宋体" w:cs="Times New Roman"/>
          <w:b/>
          <w:bCs/>
          <w:color w:val="000000" w:themeColor="text1"/>
          <w:kern w:val="0"/>
          <w:sz w:val="24"/>
          <w:szCs w:val="21"/>
          <w14:textFill>
            <w14:solidFill>
              <w14:schemeClr w14:val="tx1"/>
            </w14:solidFill>
          </w14:textFill>
        </w:rPr>
        <w:t>-</w:t>
      </w:r>
      <w:r>
        <w:rPr>
          <w:rFonts w:hint="eastAsia" w:cs="Times New Roman"/>
          <w:b/>
          <w:bCs/>
          <w:color w:val="000000" w:themeColor="text1"/>
          <w:kern w:val="0"/>
          <w:sz w:val="24"/>
          <w:szCs w:val="21"/>
          <w:lang w:val="en-US" w:eastAsia="zh-CN"/>
          <w14:textFill>
            <w14:solidFill>
              <w14:schemeClr w14:val="tx1"/>
            </w14:solidFill>
          </w14:textFill>
        </w:rPr>
        <w:t>29</w:t>
      </w:r>
      <w:r>
        <w:rPr>
          <w:rFonts w:hint="eastAsia" w:ascii="Times New Roman" w:hAnsi="Times New Roman" w:eastAsia="宋体" w:cs="Times New Roman"/>
          <w:b/>
          <w:bCs/>
          <w:color w:val="000000" w:themeColor="text1"/>
          <w:kern w:val="0"/>
          <w:sz w:val="24"/>
          <w:szCs w:val="21"/>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采空塌陷发育程度分级</w:t>
      </w:r>
      <w:r>
        <w:rPr>
          <w:rFonts w:hint="eastAsia" w:ascii="Times New Roman" w:hAnsi="Times New Roman" w:eastAsia="宋体" w:cs="Times New Roman"/>
          <w:b/>
          <w:bCs/>
          <w:color w:val="000000" w:themeColor="text1"/>
          <w:kern w:val="0"/>
          <w:sz w:val="24"/>
          <w:szCs w:val="21"/>
          <w14:textFill>
            <w14:solidFill>
              <w14:schemeClr w14:val="tx1"/>
            </w14:solidFill>
          </w14:textFill>
        </w:rPr>
        <w:t>表</w:t>
      </w:r>
    </w:p>
    <w:p w14:paraId="7A3B760B">
      <w:pPr>
        <w:keepNext w:val="0"/>
        <w:keepLines w:val="0"/>
        <w:pageBreakBefore w:val="0"/>
        <w:widowControl w:val="0"/>
        <w:kinsoku/>
        <w:wordWrap/>
        <w:overflowPunct/>
        <w:topLinePunct w:val="0"/>
        <w:autoSpaceDE/>
        <w:autoSpaceDN/>
        <w:bidi w:val="0"/>
        <w:adjustRightInd/>
        <w:snapToGrid/>
        <w:spacing w:line="240" w:lineRule="auto"/>
        <w:ind w:left="-210" w:leftChars="-100" w:right="-210" w:rightChars="-100"/>
        <w:jc w:val="center"/>
        <w:textAlignment w:val="auto"/>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drawing>
          <wp:inline distT="0" distB="0" distL="114300" distR="114300">
            <wp:extent cx="5378450" cy="2329815"/>
            <wp:effectExtent l="0" t="0" r="1270" b="1905"/>
            <wp:docPr id="261" name="图片 26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图片2"/>
                    <pic:cNvPicPr>
                      <a:picLocks noChangeAspect="1"/>
                    </pic:cNvPicPr>
                  </pic:nvPicPr>
                  <pic:blipFill>
                    <a:blip r:embed="rId63"/>
                    <a:stretch>
                      <a:fillRect/>
                    </a:stretch>
                  </pic:blipFill>
                  <pic:spPr>
                    <a:xfrm>
                      <a:off x="0" y="0"/>
                      <a:ext cx="5378450" cy="2329815"/>
                    </a:xfrm>
                    <a:prstGeom prst="rect">
                      <a:avLst/>
                    </a:prstGeom>
                  </pic:spPr>
                </pic:pic>
              </a:graphicData>
            </a:graphic>
          </wp:inline>
        </w:drawing>
      </w:r>
    </w:p>
    <w:p w14:paraId="5A38397D">
      <w:pPr>
        <w:spacing w:line="480" w:lineRule="exact"/>
        <w:jc w:val="center"/>
        <w:rPr>
          <w:rFonts w:hint="eastAsia" w:ascii="Times New Roman" w:hAnsi="Times New Roman" w:eastAsia="宋体" w:cs="Times New Roman"/>
          <w:b/>
          <w:bCs/>
          <w:color w:val="000000" w:themeColor="text1"/>
          <w:kern w:val="0"/>
          <w:sz w:val="24"/>
          <w:szCs w:val="21"/>
          <w14:textFill>
            <w14:solidFill>
              <w14:schemeClr w14:val="tx1"/>
            </w14:solidFill>
          </w14:textFill>
        </w:rPr>
      </w:pPr>
      <w:r>
        <w:rPr>
          <w:rFonts w:hint="eastAsia" w:ascii="Times New Roman" w:hAnsi="Times New Roman" w:eastAsia="宋体" w:cs="Times New Roman"/>
          <w:b/>
          <w:bCs/>
          <w:color w:val="000000" w:themeColor="text1"/>
          <w:kern w:val="0"/>
          <w:sz w:val="24"/>
          <w:szCs w:val="21"/>
          <w14:textFill>
            <w14:solidFill>
              <w14:schemeClr w14:val="tx1"/>
            </w14:solidFill>
          </w14:textFill>
        </w:rPr>
        <w:t>表</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5.2-</w:t>
      </w:r>
      <w:r>
        <w:rPr>
          <w:rFonts w:hint="eastAsia" w:cs="Times New Roman"/>
          <w:b/>
          <w:bCs/>
          <w:color w:val="000000" w:themeColor="text1"/>
          <w:kern w:val="0"/>
          <w:sz w:val="24"/>
          <w:szCs w:val="21"/>
          <w:lang w:val="en-US" w:eastAsia="zh-CN"/>
          <w14:textFill>
            <w14:solidFill>
              <w14:schemeClr w14:val="tx1"/>
            </w14:solidFill>
          </w14:textFill>
        </w:rPr>
        <w:t>30</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14:textFill>
            <w14:solidFill>
              <w14:schemeClr w14:val="tx1"/>
            </w14:solidFill>
          </w14:textFill>
        </w:rPr>
        <w:t xml:space="preserve">   地面塌陷发育程度评价表</w:t>
      </w:r>
    </w:p>
    <w:tbl>
      <w:tblPr>
        <w:tblStyle w:val="79"/>
        <w:tblW w:w="49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2263"/>
        <w:gridCol w:w="1309"/>
        <w:gridCol w:w="1610"/>
        <w:gridCol w:w="2521"/>
      </w:tblGrid>
      <w:tr w14:paraId="4B48D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dxa"/>
            <w:tcBorders>
              <w:tl2br w:val="nil"/>
              <w:tr2bl w:val="nil"/>
            </w:tcBorders>
            <w:noWrap w:val="0"/>
            <w:vAlign w:val="center"/>
          </w:tcPr>
          <w:p w14:paraId="3A66EA61">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263" w:type="dxa"/>
            <w:tcBorders>
              <w:tl2br w:val="nil"/>
              <w:tr2bl w:val="nil"/>
            </w:tcBorders>
            <w:noWrap w:val="0"/>
            <w:vAlign w:val="center"/>
          </w:tcPr>
          <w:p w14:paraId="6E57774D">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矿体平均厚度</w:t>
            </w:r>
          </w:p>
        </w:tc>
        <w:tc>
          <w:tcPr>
            <w:tcW w:w="1309" w:type="dxa"/>
            <w:tcBorders>
              <w:tl2br w:val="nil"/>
              <w:tr2bl w:val="nil"/>
            </w:tcBorders>
            <w:noWrap w:val="0"/>
            <w:vAlign w:val="center"/>
          </w:tcPr>
          <w:p w14:paraId="1E0BBD56">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最大采深</w:t>
            </w:r>
          </w:p>
        </w:tc>
        <w:tc>
          <w:tcPr>
            <w:tcW w:w="1610" w:type="dxa"/>
            <w:tcBorders>
              <w:tl2br w:val="nil"/>
              <w:tr2bl w:val="nil"/>
            </w:tcBorders>
            <w:noWrap w:val="0"/>
            <w:vAlign w:val="center"/>
          </w:tcPr>
          <w:p w14:paraId="12017121">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开采深厚比</w:t>
            </w:r>
          </w:p>
        </w:tc>
        <w:tc>
          <w:tcPr>
            <w:tcW w:w="2521" w:type="dxa"/>
            <w:tcBorders>
              <w:tl2br w:val="nil"/>
              <w:tr2bl w:val="nil"/>
            </w:tcBorders>
            <w:noWrap w:val="0"/>
            <w:vAlign w:val="center"/>
          </w:tcPr>
          <w:p w14:paraId="080DB5B1">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地面塌陷发育程度</w:t>
            </w:r>
          </w:p>
        </w:tc>
      </w:tr>
      <w:tr w14:paraId="1EDE3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dxa"/>
            <w:tcBorders>
              <w:tl2br w:val="nil"/>
              <w:tr2bl w:val="nil"/>
            </w:tcBorders>
            <w:noWrap w:val="0"/>
            <w:vAlign w:val="center"/>
          </w:tcPr>
          <w:p w14:paraId="4F444EA7">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263" w:type="dxa"/>
            <w:tcBorders>
              <w:tl2br w:val="nil"/>
              <w:tr2bl w:val="nil"/>
            </w:tcBorders>
            <w:noWrap w:val="0"/>
            <w:vAlign w:val="center"/>
          </w:tcPr>
          <w:p w14:paraId="075A2D90">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14.64</w:t>
            </w:r>
          </w:p>
        </w:tc>
        <w:tc>
          <w:tcPr>
            <w:tcW w:w="1309" w:type="dxa"/>
            <w:tcBorders>
              <w:tl2br w:val="nil"/>
              <w:tr2bl w:val="nil"/>
            </w:tcBorders>
            <w:noWrap w:val="0"/>
            <w:vAlign w:val="center"/>
          </w:tcPr>
          <w:p w14:paraId="3A163C2A">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281.24</w:t>
            </w:r>
          </w:p>
        </w:tc>
        <w:tc>
          <w:tcPr>
            <w:tcW w:w="1610" w:type="dxa"/>
            <w:tcBorders>
              <w:tl2br w:val="nil"/>
              <w:tr2bl w:val="nil"/>
            </w:tcBorders>
            <w:noWrap w:val="0"/>
            <w:vAlign w:val="center"/>
          </w:tcPr>
          <w:p w14:paraId="722D2579">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19.21</w:t>
            </w:r>
          </w:p>
        </w:tc>
        <w:tc>
          <w:tcPr>
            <w:tcW w:w="2521" w:type="dxa"/>
            <w:tcBorders>
              <w:tl2br w:val="nil"/>
              <w:tr2bl w:val="nil"/>
            </w:tcBorders>
            <w:noWrap w:val="0"/>
            <w:vAlign w:val="center"/>
          </w:tcPr>
          <w:p w14:paraId="6B7FF053">
            <w:pPr>
              <w:pStyle w:val="1013"/>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w:t>
            </w:r>
          </w:p>
        </w:tc>
      </w:tr>
    </w:tbl>
    <w:p w14:paraId="0221106B">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、地面塌陷影响分析</w:t>
      </w:r>
    </w:p>
    <w:p w14:paraId="0701C67D">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地面塌陷主要由于地下工程活动形成采空区，采空区顶板在振动、降雨和重力等作用影响下发生冒落，引起地表变形并形成地面塌陷坑。</w:t>
      </w:r>
    </w:p>
    <w:p w14:paraId="5CF079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矿体赋存条件可知，拟开采的Ⅰ-1、Ⅲ号矿体赋存在矿区东侧，呈东西走向、南倾、层状排列，相距较近，矿山统一开拓开采，现开拓有主、副竖井为主要生产采区；另外对赋存在矿区西侧的Ⅰ-2号矿体，因离东侧矿区最近500</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，搭配开采。</w:t>
      </w:r>
    </w:p>
    <w:p w14:paraId="47F15B4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具体开采顺序是：各中段内采场采用先上盘后下盘，自端部向提升竖井方向的后退式回采顺序开采。</w:t>
      </w:r>
    </w:p>
    <w:p w14:paraId="6A590C1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矿区具体开拓为：利用现有的</w:t>
      </w:r>
      <w:r>
        <w:rPr>
          <w:rFonts w:hint="eastAsia"/>
          <w:color w:val="000000" w:themeColor="text1"/>
          <w:sz w:val="24"/>
          <w:lang w:val="zh-CN"/>
          <w14:textFill>
            <w14:solidFill>
              <w14:schemeClr w14:val="tx1"/>
            </w14:solidFill>
          </w14:textFill>
        </w:rPr>
        <w:t>主、副竖井开拓系统，</w:t>
      </w:r>
      <w:r>
        <w:rPr>
          <w:rFonts w:hint="eastAsia"/>
          <w:color w:val="000000" w:themeColor="text1"/>
          <w:sz w:val="24"/>
          <w14:textFill>
            <w14:solidFill>
              <w14:schemeClr w14:val="tx1"/>
            </w14:solidFill>
          </w14:textFill>
        </w:rPr>
        <w:t>并进行</w:t>
      </w:r>
      <w:r>
        <w:rPr>
          <w:rFonts w:hint="eastAsia"/>
          <w:color w:val="000000" w:themeColor="text1"/>
          <w:sz w:val="24"/>
          <w:lang w:val="en-US" w:eastAsia="zh-CN"/>
          <w14:textFill>
            <w14:solidFill>
              <w14:schemeClr w14:val="tx1"/>
            </w14:solidFill>
          </w14:textFill>
        </w:rPr>
        <w:t>延伸</w:t>
      </w:r>
      <w:r>
        <w:rPr>
          <w:rFonts w:hint="eastAsia"/>
          <w:color w:val="000000" w:themeColor="text1"/>
          <w:sz w:val="24"/>
          <w14:textFill>
            <w14:solidFill>
              <w14:schemeClr w14:val="tx1"/>
            </w14:solidFill>
          </w14:textFill>
        </w:rPr>
        <w:t>改造</w:t>
      </w:r>
      <w:r>
        <w:rPr>
          <w:rFonts w:hint="eastAsia"/>
          <w:color w:val="000000" w:themeColor="text1"/>
          <w:sz w:val="24"/>
          <w:lang w:val="zh-CN"/>
          <w14:textFill>
            <w14:solidFill>
              <w14:schemeClr w14:val="tx1"/>
            </w14:solidFill>
          </w14:textFill>
        </w:rPr>
        <w:t>。井下共设</w:t>
      </w:r>
      <w:r>
        <w:rPr>
          <w:rFonts w:hint="eastAsia"/>
          <w:color w:val="000000" w:themeColor="text1"/>
          <w:sz w:val="24"/>
          <w14:textFill>
            <w14:solidFill>
              <w14:schemeClr w14:val="tx1"/>
            </w14:solidFill>
          </w14:textFill>
        </w:rPr>
        <w:t>1187m、1144m、1080m（1070m）、1030m、990m、950m、900m</w:t>
      </w:r>
      <w:r>
        <w:rPr>
          <w:rFonts w:hint="eastAsia"/>
          <w:color w:val="000000" w:themeColor="text1"/>
          <w:sz w:val="24"/>
          <w:lang w:val="zh-CN"/>
          <w14:textFill>
            <w14:solidFill>
              <w14:schemeClr w14:val="tx1"/>
            </w14:solidFill>
          </w14:textFill>
        </w:rPr>
        <w:t>共</w:t>
      </w:r>
      <w:r>
        <w:rPr>
          <w:rFonts w:hint="eastAsia"/>
          <w:color w:val="000000" w:themeColor="text1"/>
          <w:sz w:val="24"/>
          <w14:textFill>
            <w14:solidFill>
              <w14:schemeClr w14:val="tx1"/>
            </w14:solidFill>
          </w14:textFill>
        </w:rPr>
        <w:t>7</w:t>
      </w:r>
      <w:r>
        <w:rPr>
          <w:rFonts w:hint="eastAsia"/>
          <w:color w:val="000000" w:themeColor="text1"/>
          <w:sz w:val="24"/>
          <w:lang w:val="zh-CN"/>
          <w14:textFill>
            <w14:solidFill>
              <w14:schemeClr w14:val="tx1"/>
            </w14:solidFill>
          </w14:textFill>
        </w:rPr>
        <w:t>个开拓中段。</w:t>
      </w:r>
      <w:r>
        <w:rPr>
          <w:rFonts w:hint="eastAsia"/>
          <w:color w:val="000000" w:themeColor="text1"/>
          <w:sz w:val="24"/>
          <w14:textFill>
            <w14:solidFill>
              <w14:schemeClr w14:val="tx1"/>
            </w14:solidFill>
          </w14:textFill>
        </w:rPr>
        <w:t>生产中仍采用以东矿区（Ⅰ-1、Ⅲ矿体）开采为主，西矿区（Ⅰ-2号矿体）为辅，均采用竖井地下开拓开采。</w:t>
      </w:r>
    </w:p>
    <w:p w14:paraId="1594692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根据设计利用的资源储量、矿山地下开采生产服务年限、生产能力、开采方式和开采标高、中段布置等相关数据，确定适用期5年和生产服务年限</w:t>
      </w:r>
      <w:r>
        <w:rPr>
          <w:rFonts w:hint="eastAsia"/>
          <w:color w:val="000000" w:themeColor="text1"/>
          <w:sz w:val="24"/>
          <w:lang w:val="en-US" w:eastAsia="zh-CN"/>
          <w14:textFill>
            <w14:solidFill>
              <w14:schemeClr w14:val="tx1"/>
            </w14:solidFill>
          </w14:textFill>
        </w:rPr>
        <w:t>13.31</w:t>
      </w:r>
      <w:r>
        <w:rPr>
          <w:rFonts w:hint="eastAsia"/>
          <w:color w:val="000000" w:themeColor="text1"/>
          <w:sz w:val="24"/>
          <w14:textFill>
            <w14:solidFill>
              <w14:schemeClr w14:val="tx1"/>
            </w14:solidFill>
          </w14:textFill>
        </w:rPr>
        <w:t>年的开采范围及标高，具体如下：</w:t>
      </w:r>
    </w:p>
    <w:p w14:paraId="781E8B7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近期5年开采范围：生产期矿体开拓系统开采至Ⅰ-1、Ⅲ、Ⅰ-2号矿体1080（1070m）</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中段。</w:t>
      </w:r>
    </w:p>
    <w:p w14:paraId="51C91D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生产服务年限</w:t>
      </w:r>
      <w:r>
        <w:rPr>
          <w:rFonts w:hint="eastAsia"/>
          <w:color w:val="000000" w:themeColor="text1"/>
          <w:sz w:val="24"/>
          <w:lang w:val="en-US" w:eastAsia="zh-CN"/>
          <w14:textFill>
            <w14:solidFill>
              <w14:schemeClr w14:val="tx1"/>
            </w14:solidFill>
          </w14:textFill>
        </w:rPr>
        <w:t>13.31</w:t>
      </w:r>
      <w:r>
        <w:rPr>
          <w:rFonts w:hint="eastAsia"/>
          <w:color w:val="000000" w:themeColor="text1"/>
          <w:sz w:val="24"/>
          <w14:textFill>
            <w14:solidFill>
              <w14:schemeClr w14:val="tx1"/>
            </w14:solidFill>
          </w14:textFill>
        </w:rPr>
        <w:t>年开采范围：所有矿体开采完毕，矿体开拓系统开采至Ⅰ-1、Ⅲ、Ⅰ-2号矿体最低开采标高900</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w:t>
      </w:r>
    </w:p>
    <w:p w14:paraId="24B225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①垮落带及导水裂缝带计算</w:t>
      </w:r>
    </w:p>
    <w:p w14:paraId="78FD1EF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根据矿产资源开发利用内容，矿山统一开拓开采，中段高段40-64</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，主要开采矿体Ⅰ-1、Ⅲ、Ⅰ-2号矿体，各矿体特征见下表</w:t>
      </w:r>
      <w:r>
        <w:rPr>
          <w:rFonts w:hint="eastAsia"/>
          <w:color w:val="000000" w:themeColor="text1"/>
          <w:sz w:val="24"/>
          <w:lang w:eastAsia="zh-CN"/>
          <w14:textFill>
            <w14:solidFill>
              <w14:schemeClr w14:val="tx1"/>
            </w14:solidFill>
          </w14:textFill>
        </w:rPr>
        <w:t>：</w:t>
      </w:r>
    </w:p>
    <w:p w14:paraId="4A51D18E">
      <w:pPr>
        <w:spacing w:line="480" w:lineRule="exact"/>
        <w:jc w:val="center"/>
        <w:rPr>
          <w:rFonts w:hint="eastAsia" w:ascii="Times New Roman" w:hAnsi="Times New Roman" w:eastAsia="宋体" w:cs="Times New Roman"/>
          <w:b/>
          <w:bCs/>
          <w:color w:val="000000" w:themeColor="text1"/>
          <w:kern w:val="0"/>
          <w:sz w:val="24"/>
          <w:szCs w:val="21"/>
          <w14:textFill>
            <w14:solidFill>
              <w14:schemeClr w14:val="tx1"/>
            </w14:solidFill>
          </w14:textFill>
        </w:rPr>
      </w:pPr>
      <w:r>
        <w:rPr>
          <w:rFonts w:hint="eastAsia" w:ascii="Times New Roman" w:hAnsi="Times New Roman" w:eastAsia="宋体" w:cs="Times New Roman"/>
          <w:b/>
          <w:bCs/>
          <w:color w:val="000000" w:themeColor="text1"/>
          <w:kern w:val="0"/>
          <w:sz w:val="24"/>
          <w:szCs w:val="21"/>
          <w14:textFill>
            <w14:solidFill>
              <w14:schemeClr w14:val="tx1"/>
            </w14:solidFill>
          </w14:textFill>
        </w:rPr>
        <w:t>表</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5.2</w:t>
      </w:r>
      <w:r>
        <w:rPr>
          <w:rFonts w:hint="eastAsia" w:ascii="Times New Roman" w:hAnsi="Times New Roman" w:eastAsia="宋体" w:cs="Times New Roman"/>
          <w:b/>
          <w:bCs/>
          <w:color w:val="000000" w:themeColor="text1"/>
          <w:kern w:val="0"/>
          <w:sz w:val="24"/>
          <w:szCs w:val="21"/>
          <w14:textFill>
            <w14:solidFill>
              <w14:schemeClr w14:val="tx1"/>
            </w14:solidFill>
          </w14:textFill>
        </w:rPr>
        <w:t>-</w:t>
      </w:r>
      <w:r>
        <w:rPr>
          <w:rFonts w:hint="eastAsia" w:cs="Times New Roman"/>
          <w:b/>
          <w:bCs/>
          <w:color w:val="000000" w:themeColor="text1"/>
          <w:kern w:val="0"/>
          <w:sz w:val="24"/>
          <w:szCs w:val="21"/>
          <w:lang w:val="en-US" w:eastAsia="zh-CN"/>
          <w14:textFill>
            <w14:solidFill>
              <w14:schemeClr w14:val="tx1"/>
            </w14:solidFill>
          </w14:textFill>
        </w:rPr>
        <w:t>31</w:t>
      </w:r>
      <w:r>
        <w:rPr>
          <w:rFonts w:hint="eastAsia" w:ascii="Times New Roman" w:hAnsi="Times New Roman" w:eastAsia="宋体" w:cs="Times New Roman"/>
          <w:b/>
          <w:bCs/>
          <w:color w:val="000000" w:themeColor="text1"/>
          <w:kern w:val="0"/>
          <w:sz w:val="24"/>
          <w:szCs w:val="21"/>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各矿体特征一览</w:t>
      </w:r>
      <w:r>
        <w:rPr>
          <w:rFonts w:hint="eastAsia" w:ascii="Times New Roman" w:hAnsi="Times New Roman" w:eastAsia="宋体" w:cs="Times New Roman"/>
          <w:b/>
          <w:bCs/>
          <w:color w:val="000000" w:themeColor="text1"/>
          <w:kern w:val="0"/>
          <w:sz w:val="24"/>
          <w:szCs w:val="21"/>
          <w14:textFill>
            <w14:solidFill>
              <w14:schemeClr w14:val="tx1"/>
            </w14:solidFill>
          </w14:textFill>
        </w:rPr>
        <w:t>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395"/>
        <w:gridCol w:w="1622"/>
        <w:gridCol w:w="1303"/>
        <w:gridCol w:w="1350"/>
        <w:gridCol w:w="1125"/>
        <w:gridCol w:w="1090"/>
      </w:tblGrid>
      <w:tr w14:paraId="6866D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14:paraId="135EF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395" w:type="dxa"/>
            <w:tcBorders>
              <w:tl2br w:val="nil"/>
              <w:tr2bl w:val="nil"/>
            </w:tcBorders>
            <w:noWrap w:val="0"/>
            <w:vAlign w:val="center"/>
          </w:tcPr>
          <w:p w14:paraId="03D6D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矿体编号</w:t>
            </w:r>
          </w:p>
        </w:tc>
        <w:tc>
          <w:tcPr>
            <w:tcW w:w="1622" w:type="dxa"/>
            <w:tcBorders>
              <w:tl2br w:val="nil"/>
              <w:tr2bl w:val="nil"/>
            </w:tcBorders>
            <w:noWrap w:val="0"/>
            <w:vAlign w:val="center"/>
          </w:tcPr>
          <w:p w14:paraId="2B49A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矿体平均厚度（</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303" w:type="dxa"/>
            <w:tcBorders>
              <w:tl2br w:val="nil"/>
              <w:tr2bl w:val="nil"/>
            </w:tcBorders>
            <w:noWrap w:val="0"/>
            <w:vAlign w:val="center"/>
          </w:tcPr>
          <w:p w14:paraId="4674E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w:t>
            </w:r>
          </w:p>
          <w:p w14:paraId="73208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350" w:type="dxa"/>
            <w:tcBorders>
              <w:tl2br w:val="nil"/>
              <w:tr2bl w:val="nil"/>
            </w:tcBorders>
            <w:noWrap w:val="0"/>
            <w:vAlign w:val="center"/>
          </w:tcPr>
          <w:p w14:paraId="039EE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平均倾向</w:t>
            </w:r>
          </w:p>
          <w:p w14:paraId="16455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125" w:type="dxa"/>
            <w:tcBorders>
              <w:tl2br w:val="nil"/>
              <w:tr2bl w:val="nil"/>
            </w:tcBorders>
            <w:noWrap w:val="0"/>
            <w:vAlign w:val="center"/>
          </w:tcPr>
          <w:p w14:paraId="1E27C0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倾角</w:t>
            </w:r>
          </w:p>
          <w:p w14:paraId="371E6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090" w:type="dxa"/>
            <w:tcBorders>
              <w:tl2br w:val="nil"/>
              <w:tr2bl w:val="nil"/>
            </w:tcBorders>
            <w:noWrap w:val="0"/>
            <w:vAlign w:val="center"/>
          </w:tcPr>
          <w:p w14:paraId="77761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14:paraId="60B58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14:paraId="34E60D3F">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95" w:type="dxa"/>
            <w:tcBorders>
              <w:tl2br w:val="nil"/>
              <w:tr2bl w:val="nil"/>
            </w:tcBorders>
            <w:noWrap w:val="0"/>
            <w:vAlign w:val="center"/>
          </w:tcPr>
          <w:p w14:paraId="71AA5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Ⅰ-1</w:t>
            </w:r>
          </w:p>
        </w:tc>
        <w:tc>
          <w:tcPr>
            <w:tcW w:w="1622" w:type="dxa"/>
            <w:tcBorders>
              <w:tl2br w:val="nil"/>
              <w:tr2bl w:val="nil"/>
            </w:tcBorders>
            <w:noWrap w:val="0"/>
            <w:vAlign w:val="center"/>
          </w:tcPr>
          <w:p w14:paraId="0C8C0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14.64</w:t>
            </w:r>
          </w:p>
        </w:tc>
        <w:tc>
          <w:tcPr>
            <w:tcW w:w="1303" w:type="dxa"/>
            <w:tcBorders>
              <w:tl2br w:val="nil"/>
              <w:tr2bl w:val="nil"/>
            </w:tcBorders>
            <w:noWrap w:val="0"/>
            <w:vAlign w:val="center"/>
          </w:tcPr>
          <w:p w14:paraId="031C8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268</w:t>
            </w:r>
          </w:p>
        </w:tc>
        <w:tc>
          <w:tcPr>
            <w:tcW w:w="1350" w:type="dxa"/>
            <w:tcBorders>
              <w:tl2br w:val="nil"/>
              <w:tr2bl w:val="nil"/>
            </w:tcBorders>
            <w:noWrap w:val="0"/>
            <w:vAlign w:val="center"/>
          </w:tcPr>
          <w:p w14:paraId="550EE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178</w:t>
            </w:r>
          </w:p>
        </w:tc>
        <w:tc>
          <w:tcPr>
            <w:tcW w:w="1125" w:type="dxa"/>
            <w:tcBorders>
              <w:tl2br w:val="nil"/>
              <w:tr2bl w:val="nil"/>
            </w:tcBorders>
            <w:noWrap w:val="0"/>
            <w:vAlign w:val="center"/>
          </w:tcPr>
          <w:p w14:paraId="53D6E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w:t>
            </w:r>
          </w:p>
        </w:tc>
        <w:tc>
          <w:tcPr>
            <w:tcW w:w="1090" w:type="dxa"/>
            <w:tcBorders>
              <w:tl2br w:val="nil"/>
              <w:tr2bl w:val="nil"/>
            </w:tcBorders>
            <w:noWrap w:val="0"/>
            <w:vAlign w:val="center"/>
          </w:tcPr>
          <w:p w14:paraId="0BEA7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隐伏矿</w:t>
            </w:r>
          </w:p>
        </w:tc>
      </w:tr>
      <w:tr w14:paraId="3BD72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14:paraId="07D24DAA">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95" w:type="dxa"/>
            <w:tcBorders>
              <w:tl2br w:val="nil"/>
              <w:tr2bl w:val="nil"/>
            </w:tcBorders>
            <w:noWrap w:val="0"/>
            <w:vAlign w:val="center"/>
          </w:tcPr>
          <w:p w14:paraId="02215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w:t>
            </w:r>
          </w:p>
        </w:tc>
        <w:tc>
          <w:tcPr>
            <w:tcW w:w="1622" w:type="dxa"/>
            <w:tcBorders>
              <w:tl2br w:val="nil"/>
              <w:tr2bl w:val="nil"/>
            </w:tcBorders>
            <w:noWrap w:val="0"/>
            <w:vAlign w:val="center"/>
          </w:tcPr>
          <w:p w14:paraId="423F2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9.63</w:t>
            </w:r>
          </w:p>
        </w:tc>
        <w:tc>
          <w:tcPr>
            <w:tcW w:w="1303" w:type="dxa"/>
            <w:tcBorders>
              <w:tl2br w:val="nil"/>
              <w:tr2bl w:val="nil"/>
            </w:tcBorders>
            <w:noWrap w:val="0"/>
            <w:vAlign w:val="center"/>
          </w:tcPr>
          <w:p w14:paraId="3A076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271</w:t>
            </w:r>
          </w:p>
        </w:tc>
        <w:tc>
          <w:tcPr>
            <w:tcW w:w="1350" w:type="dxa"/>
            <w:tcBorders>
              <w:tl2br w:val="nil"/>
              <w:tr2bl w:val="nil"/>
            </w:tcBorders>
            <w:noWrap w:val="0"/>
            <w:vAlign w:val="center"/>
          </w:tcPr>
          <w:p w14:paraId="7B113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w:t>
            </w:r>
          </w:p>
        </w:tc>
        <w:tc>
          <w:tcPr>
            <w:tcW w:w="1125" w:type="dxa"/>
            <w:tcBorders>
              <w:tl2br w:val="nil"/>
              <w:tr2bl w:val="nil"/>
            </w:tcBorders>
            <w:noWrap w:val="0"/>
            <w:vAlign w:val="center"/>
          </w:tcPr>
          <w:p w14:paraId="59617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w:t>
            </w:r>
          </w:p>
        </w:tc>
        <w:tc>
          <w:tcPr>
            <w:tcW w:w="1090" w:type="dxa"/>
            <w:tcBorders>
              <w:tl2br w:val="nil"/>
              <w:tr2bl w:val="nil"/>
            </w:tcBorders>
            <w:noWrap w:val="0"/>
            <w:vAlign w:val="center"/>
          </w:tcPr>
          <w:p w14:paraId="70E29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隐伏矿</w:t>
            </w:r>
          </w:p>
        </w:tc>
      </w:tr>
      <w:tr w14:paraId="1D0CA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14:paraId="2C3947E7">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95" w:type="dxa"/>
            <w:tcBorders>
              <w:tl2br w:val="nil"/>
              <w:tr2bl w:val="nil"/>
            </w:tcBorders>
            <w:noWrap w:val="0"/>
            <w:vAlign w:val="center"/>
          </w:tcPr>
          <w:p w14:paraId="5905F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Ⅰ-2</w:t>
            </w:r>
          </w:p>
        </w:tc>
        <w:tc>
          <w:tcPr>
            <w:tcW w:w="1622" w:type="dxa"/>
            <w:tcBorders>
              <w:tl2br w:val="nil"/>
              <w:tr2bl w:val="nil"/>
            </w:tcBorders>
            <w:noWrap w:val="0"/>
            <w:vAlign w:val="center"/>
          </w:tcPr>
          <w:p w14:paraId="54F71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3.79</w:t>
            </w:r>
          </w:p>
        </w:tc>
        <w:tc>
          <w:tcPr>
            <w:tcW w:w="1303" w:type="dxa"/>
            <w:tcBorders>
              <w:tl2br w:val="nil"/>
              <w:tr2bl w:val="nil"/>
            </w:tcBorders>
            <w:noWrap w:val="0"/>
            <w:vAlign w:val="center"/>
          </w:tcPr>
          <w:p w14:paraId="4F86A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255</w:t>
            </w:r>
          </w:p>
        </w:tc>
        <w:tc>
          <w:tcPr>
            <w:tcW w:w="1350" w:type="dxa"/>
            <w:tcBorders>
              <w:tl2br w:val="nil"/>
              <w:tr2bl w:val="nil"/>
            </w:tcBorders>
            <w:noWrap w:val="0"/>
            <w:vAlign w:val="center"/>
          </w:tcPr>
          <w:p w14:paraId="51141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125" w:type="dxa"/>
            <w:tcBorders>
              <w:tl2br w:val="nil"/>
              <w:tr2bl w:val="nil"/>
            </w:tcBorders>
            <w:noWrap w:val="0"/>
            <w:vAlign w:val="center"/>
          </w:tcPr>
          <w:p w14:paraId="3ED92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w:t>
            </w:r>
          </w:p>
        </w:tc>
        <w:tc>
          <w:tcPr>
            <w:tcW w:w="1090" w:type="dxa"/>
            <w:tcBorders>
              <w:tl2br w:val="nil"/>
              <w:tr2bl w:val="nil"/>
            </w:tcBorders>
            <w:noWrap w:val="0"/>
            <w:vAlign w:val="center"/>
          </w:tcPr>
          <w:p w14:paraId="7D6C76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5" w:leftChars="-31" w:right="-92" w:rightChars="-44"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隐伏矿</w:t>
            </w:r>
          </w:p>
        </w:tc>
      </w:tr>
    </w:tbl>
    <w:p w14:paraId="5BA9BB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矿体顶底板围岩为Ⅰ-1矿体顶底板主要以黑云母长英质角岩、绿泥石石英片岩为主，抗压强度47.80</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56.50MPa兆帕，岩石呈致密块状，属坚硬岩。参照《矿区水文地质工程地质勘探规范》（GB12719-2021），Ⅰ-1、Ⅲ、Ⅰ-2号矿体倾角均大于55°，均选用急倾斜坚硬覆岩条件下的公式来计算顶板岩层垮落裂缝带高度。</w:t>
      </w:r>
    </w:p>
    <w:p w14:paraId="2EDB9B4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选用00、02号勘探线剖面图计算Ⅰ-1、Ⅲ号矿体采空区垮落带及导水裂缝带高度，06号勘探线剖面图计算Ⅰ-2号矿体采空区垮落带及导水裂缝带高度。</w:t>
      </w:r>
    </w:p>
    <w:p w14:paraId="7C09AB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各矿体近期5年采空区垮落带及导水裂缝带计算结果见表</w:t>
      </w:r>
      <w:r>
        <w:rPr>
          <w:rFonts w:hint="eastAsia"/>
          <w:color w:val="000000" w:themeColor="text1"/>
          <w:sz w:val="24"/>
          <w:lang w:val="en-US" w:eastAsia="zh-CN"/>
          <w14:textFill>
            <w14:solidFill>
              <w14:schemeClr w14:val="tx1"/>
            </w14:solidFill>
          </w14:textFill>
        </w:rPr>
        <w:t>5.2-32</w:t>
      </w:r>
      <w:r>
        <w:rPr>
          <w:rFonts w:hint="eastAsia"/>
          <w:color w:val="000000" w:themeColor="text1"/>
          <w:sz w:val="24"/>
          <w14:textFill>
            <w14:solidFill>
              <w14:schemeClr w14:val="tx1"/>
            </w14:solidFill>
          </w14:textFill>
        </w:rPr>
        <w:t>。</w:t>
      </w:r>
    </w:p>
    <w:p w14:paraId="527B6202">
      <w:pPr>
        <w:spacing w:line="480" w:lineRule="exact"/>
        <w:jc w:val="center"/>
        <w:rPr>
          <w:rFonts w:hint="eastAsia" w:ascii="Times New Roman" w:hAnsi="Times New Roman" w:eastAsia="宋体" w:cs="Times New Roman"/>
          <w:b/>
          <w:bCs/>
          <w:color w:val="000000" w:themeColor="text1"/>
          <w:kern w:val="0"/>
          <w:sz w:val="24"/>
          <w:szCs w:val="21"/>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表</w:t>
      </w:r>
      <w:r>
        <w:rPr>
          <w:rFonts w:hint="eastAsia" w:cs="Times New Roman"/>
          <w:b/>
          <w:bCs/>
          <w:color w:val="000000" w:themeColor="text1"/>
          <w:kern w:val="0"/>
          <w:sz w:val="24"/>
          <w:szCs w:val="21"/>
          <w:lang w:val="en-US" w:eastAsia="zh-CN"/>
          <w14:textFill>
            <w14:solidFill>
              <w14:schemeClr w14:val="tx1"/>
            </w14:solidFill>
          </w14:textFill>
        </w:rPr>
        <w:t xml:space="preserve">5.2-32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近期5年矿体的采空区垮落带及裂缝带最大高度计</w:t>
      </w:r>
      <w:r>
        <w:rPr>
          <w:rFonts w:hint="eastAsia" w:ascii="Times New Roman" w:hAnsi="Times New Roman" w:eastAsia="宋体" w:cs="Times New Roman"/>
          <w:b/>
          <w:bCs/>
          <w:color w:val="000000" w:themeColor="text1"/>
          <w:kern w:val="0"/>
          <w:sz w:val="24"/>
          <w:szCs w:val="21"/>
          <w14:textFill>
            <w14:solidFill>
              <w14:schemeClr w14:val="tx1"/>
            </w14:solidFill>
          </w14:textFill>
        </w:rPr>
        <w:t>算成果表</w:t>
      </w:r>
    </w:p>
    <w:tbl>
      <w:tblPr>
        <w:tblStyle w:val="79"/>
        <w:tblW w:w="82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45"/>
        <w:gridCol w:w="930"/>
        <w:gridCol w:w="930"/>
        <w:gridCol w:w="945"/>
        <w:gridCol w:w="960"/>
        <w:gridCol w:w="885"/>
        <w:gridCol w:w="1095"/>
        <w:gridCol w:w="1134"/>
      </w:tblGrid>
      <w:tr w14:paraId="4DA42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678" w:type="dxa"/>
            <w:vMerge w:val="restart"/>
            <w:tcBorders>
              <w:tl2br w:val="nil"/>
              <w:tr2bl w:val="nil"/>
            </w:tcBorders>
            <w:noWrap w:val="0"/>
            <w:vAlign w:val="center"/>
          </w:tcPr>
          <w:p w14:paraId="574E77A7">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勘探线剖面编号</w:t>
            </w:r>
          </w:p>
        </w:tc>
        <w:tc>
          <w:tcPr>
            <w:tcW w:w="645" w:type="dxa"/>
            <w:vMerge w:val="restart"/>
            <w:tcBorders>
              <w:tl2br w:val="nil"/>
              <w:tr2bl w:val="nil"/>
            </w:tcBorders>
            <w:noWrap w:val="0"/>
            <w:vAlign w:val="center"/>
          </w:tcPr>
          <w:p w14:paraId="5B6448D2">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矿体编号</w:t>
            </w:r>
          </w:p>
        </w:tc>
        <w:tc>
          <w:tcPr>
            <w:tcW w:w="930" w:type="dxa"/>
            <w:tcBorders>
              <w:tl2br w:val="nil"/>
              <w:tr2bl w:val="nil"/>
            </w:tcBorders>
            <w:noWrap w:val="0"/>
            <w:vAlign w:val="center"/>
          </w:tcPr>
          <w:p w14:paraId="41DD0DED">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矿体平均厚度</w:t>
            </w:r>
          </w:p>
        </w:tc>
        <w:tc>
          <w:tcPr>
            <w:tcW w:w="930" w:type="dxa"/>
            <w:tcBorders>
              <w:tl2br w:val="nil"/>
              <w:tr2bl w:val="nil"/>
            </w:tcBorders>
            <w:noWrap w:val="0"/>
            <w:vAlign w:val="center"/>
          </w:tcPr>
          <w:p w14:paraId="1BA745E3">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与上层矿体平均间距</w:t>
            </w:r>
          </w:p>
        </w:tc>
        <w:tc>
          <w:tcPr>
            <w:tcW w:w="945" w:type="dxa"/>
            <w:tcBorders>
              <w:tl2br w:val="nil"/>
              <w:tr2bl w:val="nil"/>
            </w:tcBorders>
            <w:noWrap w:val="0"/>
            <w:vAlign w:val="center"/>
          </w:tcPr>
          <w:p w14:paraId="499C30AF">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垮落带最大高度</w:t>
            </w:r>
          </w:p>
        </w:tc>
        <w:tc>
          <w:tcPr>
            <w:tcW w:w="960" w:type="dxa"/>
            <w:tcBorders>
              <w:tl2br w:val="nil"/>
              <w:tr2bl w:val="nil"/>
            </w:tcBorders>
            <w:noWrap w:val="0"/>
            <w:vAlign w:val="center"/>
          </w:tcPr>
          <w:p w14:paraId="011879E4">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导水裂缝带最大高度</w:t>
            </w:r>
          </w:p>
        </w:tc>
        <w:tc>
          <w:tcPr>
            <w:tcW w:w="885" w:type="dxa"/>
            <w:tcBorders>
              <w:tl2br w:val="nil"/>
              <w:tr2bl w:val="nil"/>
            </w:tcBorders>
            <w:noWrap w:val="0"/>
            <w:vAlign w:val="center"/>
          </w:tcPr>
          <w:p w14:paraId="7067011E">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矿体综合平均</w:t>
            </w:r>
          </w:p>
          <w:p w14:paraId="41C80C13">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采厚</w:t>
            </w:r>
          </w:p>
        </w:tc>
        <w:tc>
          <w:tcPr>
            <w:tcW w:w="1095" w:type="dxa"/>
            <w:tcBorders>
              <w:tl2br w:val="nil"/>
              <w:tr2bl w:val="nil"/>
            </w:tcBorders>
            <w:noWrap w:val="0"/>
            <w:vAlign w:val="center"/>
          </w:tcPr>
          <w:p w14:paraId="0B8494F8">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矿体综合导水裂缝带最大高度</w:t>
            </w:r>
          </w:p>
        </w:tc>
        <w:tc>
          <w:tcPr>
            <w:tcW w:w="1134" w:type="dxa"/>
            <w:tcBorders>
              <w:tl2br w:val="nil"/>
              <w:tr2bl w:val="nil"/>
            </w:tcBorders>
            <w:noWrap w:val="0"/>
            <w:vAlign w:val="center"/>
          </w:tcPr>
          <w:p w14:paraId="61CDC5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采空区</w:t>
            </w:r>
          </w:p>
          <w:p w14:paraId="2E30327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埋深</w:t>
            </w:r>
          </w:p>
        </w:tc>
      </w:tr>
      <w:tr w14:paraId="18CD6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678" w:type="dxa"/>
            <w:vMerge w:val="continue"/>
            <w:tcBorders>
              <w:tl2br w:val="nil"/>
              <w:tr2bl w:val="nil"/>
            </w:tcBorders>
            <w:noWrap w:val="0"/>
            <w:vAlign w:val="center"/>
          </w:tcPr>
          <w:p w14:paraId="21575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645" w:type="dxa"/>
            <w:vMerge w:val="continue"/>
            <w:tcBorders>
              <w:tl2br w:val="nil"/>
              <w:tr2bl w:val="nil"/>
            </w:tcBorders>
            <w:noWrap w:val="0"/>
            <w:vAlign w:val="center"/>
          </w:tcPr>
          <w:p w14:paraId="23ED3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930" w:type="dxa"/>
            <w:tcBorders>
              <w:tl2br w:val="nil"/>
              <w:tr2bl w:val="nil"/>
            </w:tcBorders>
            <w:noWrap w:val="0"/>
            <w:vAlign w:val="center"/>
          </w:tcPr>
          <w:p w14:paraId="24DF6EF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M（</w:t>
            </w:r>
            <w:r>
              <w:rPr>
                <w:rFonts w:hint="eastAsia" w:cs="Times New Roman" w:eastAsiaTheme="minorEastAsia"/>
                <w:b/>
                <w:bCs/>
                <w:color w:val="000000" w:themeColor="text1"/>
                <w:kern w:val="0"/>
                <w:sz w:val="21"/>
                <w:szCs w:val="21"/>
                <w:lang w:eastAsia="zh-CN"/>
                <w14:textFill>
                  <w14:solidFill>
                    <w14:schemeClr w14:val="tx1"/>
                  </w14:solidFill>
                </w14:textFill>
              </w:rPr>
              <w:t>m</w:t>
            </w: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p>
        </w:tc>
        <w:tc>
          <w:tcPr>
            <w:tcW w:w="930" w:type="dxa"/>
            <w:tcBorders>
              <w:tl2br w:val="nil"/>
              <w:tr2bl w:val="nil"/>
            </w:tcBorders>
            <w:noWrap w:val="0"/>
            <w:vAlign w:val="center"/>
          </w:tcPr>
          <w:p w14:paraId="7ED5524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r>
              <w:rPr>
                <w:rFonts w:hint="eastAsia" w:cs="Times New Roman" w:eastAsiaTheme="minorEastAsia"/>
                <w:b/>
                <w:bCs/>
                <w:color w:val="000000" w:themeColor="text1"/>
                <w:kern w:val="0"/>
                <w:sz w:val="21"/>
                <w:szCs w:val="21"/>
                <w:lang w:eastAsia="zh-CN"/>
                <w14:textFill>
                  <w14:solidFill>
                    <w14:schemeClr w14:val="tx1"/>
                  </w14:solidFill>
                </w14:textFill>
              </w:rPr>
              <w:t>m</w:t>
            </w: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p>
        </w:tc>
        <w:tc>
          <w:tcPr>
            <w:tcW w:w="945" w:type="dxa"/>
            <w:tcBorders>
              <w:tl2br w:val="nil"/>
              <w:tr2bl w:val="nil"/>
            </w:tcBorders>
            <w:noWrap w:val="0"/>
            <w:vAlign w:val="center"/>
          </w:tcPr>
          <w:p w14:paraId="0FF29BB0">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Hc（</w:t>
            </w:r>
            <w:r>
              <w:rPr>
                <w:rFonts w:hint="eastAsia" w:cs="Times New Roman" w:eastAsiaTheme="minorEastAsia"/>
                <w:b/>
                <w:bCs/>
                <w:color w:val="000000" w:themeColor="text1"/>
                <w:kern w:val="0"/>
                <w:sz w:val="21"/>
                <w:szCs w:val="21"/>
                <w:lang w:eastAsia="zh-CN"/>
                <w14:textFill>
                  <w14:solidFill>
                    <w14:schemeClr w14:val="tx1"/>
                  </w14:solidFill>
                </w14:textFill>
              </w:rPr>
              <w:t>m</w:t>
            </w: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p>
        </w:tc>
        <w:tc>
          <w:tcPr>
            <w:tcW w:w="960" w:type="dxa"/>
            <w:tcBorders>
              <w:tl2br w:val="nil"/>
              <w:tr2bl w:val="nil"/>
            </w:tcBorders>
            <w:noWrap w:val="0"/>
            <w:vAlign w:val="center"/>
          </w:tcPr>
          <w:p w14:paraId="1F32C31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Hf（</w:t>
            </w:r>
            <w:r>
              <w:rPr>
                <w:rFonts w:hint="eastAsia" w:cs="Times New Roman" w:eastAsiaTheme="minorEastAsia"/>
                <w:b/>
                <w:bCs/>
                <w:color w:val="000000" w:themeColor="text1"/>
                <w:kern w:val="0"/>
                <w:sz w:val="21"/>
                <w:szCs w:val="21"/>
                <w:lang w:eastAsia="zh-CN"/>
                <w14:textFill>
                  <w14:solidFill>
                    <w14:schemeClr w14:val="tx1"/>
                  </w14:solidFill>
                </w14:textFill>
              </w:rPr>
              <w:t>m</w:t>
            </w: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p>
        </w:tc>
        <w:tc>
          <w:tcPr>
            <w:tcW w:w="885" w:type="dxa"/>
            <w:tcBorders>
              <w:tl2br w:val="nil"/>
              <w:tr2bl w:val="nil"/>
            </w:tcBorders>
            <w:noWrap w:val="0"/>
            <w:vAlign w:val="center"/>
          </w:tcPr>
          <w:p w14:paraId="21C182AE">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r>
              <w:rPr>
                <w:rFonts w:hint="eastAsia" w:cs="Times New Roman" w:eastAsiaTheme="minorEastAsia"/>
                <w:b/>
                <w:bCs/>
                <w:color w:val="000000" w:themeColor="text1"/>
                <w:kern w:val="0"/>
                <w:sz w:val="21"/>
                <w:szCs w:val="21"/>
                <w:lang w:eastAsia="zh-CN"/>
                <w14:textFill>
                  <w14:solidFill>
                    <w14:schemeClr w14:val="tx1"/>
                  </w14:solidFill>
                </w14:textFill>
              </w:rPr>
              <w:t>m</w:t>
            </w: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p>
        </w:tc>
        <w:tc>
          <w:tcPr>
            <w:tcW w:w="1095" w:type="dxa"/>
            <w:tcBorders>
              <w:tl2br w:val="nil"/>
              <w:tr2bl w:val="nil"/>
            </w:tcBorders>
            <w:noWrap w:val="0"/>
            <w:vAlign w:val="center"/>
          </w:tcPr>
          <w:p w14:paraId="15A34091">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r>
              <w:rPr>
                <w:rFonts w:hint="eastAsia" w:cs="Times New Roman" w:eastAsiaTheme="minorEastAsia"/>
                <w:b/>
                <w:bCs/>
                <w:color w:val="000000" w:themeColor="text1"/>
                <w:kern w:val="0"/>
                <w:sz w:val="21"/>
                <w:szCs w:val="21"/>
                <w:lang w:eastAsia="zh-CN"/>
                <w14:textFill>
                  <w14:solidFill>
                    <w14:schemeClr w14:val="tx1"/>
                  </w14:solidFill>
                </w14:textFill>
              </w:rPr>
              <w:t>m</w:t>
            </w: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p>
        </w:tc>
        <w:tc>
          <w:tcPr>
            <w:tcW w:w="1134" w:type="dxa"/>
            <w:tcBorders>
              <w:tl2br w:val="nil"/>
              <w:tr2bl w:val="nil"/>
            </w:tcBorders>
            <w:noWrap w:val="0"/>
            <w:vAlign w:val="center"/>
          </w:tcPr>
          <w:p w14:paraId="42751D49">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r>
              <w:rPr>
                <w:rFonts w:hint="eastAsia" w:cs="Times New Roman" w:eastAsiaTheme="minorEastAsia"/>
                <w:b/>
                <w:bCs/>
                <w:color w:val="000000" w:themeColor="text1"/>
                <w:kern w:val="0"/>
                <w:sz w:val="21"/>
                <w:szCs w:val="21"/>
                <w:lang w:eastAsia="zh-CN"/>
                <w14:textFill>
                  <w14:solidFill>
                    <w14:schemeClr w14:val="tx1"/>
                  </w14:solidFill>
                </w14:textFill>
              </w:rPr>
              <w:t>m</w:t>
            </w: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w:t>
            </w:r>
          </w:p>
        </w:tc>
      </w:tr>
      <w:tr w14:paraId="35D34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678" w:type="dxa"/>
            <w:vMerge w:val="restart"/>
            <w:tcBorders>
              <w:tl2br w:val="nil"/>
              <w:tr2bl w:val="nil"/>
            </w:tcBorders>
            <w:noWrap w:val="0"/>
            <w:vAlign w:val="center"/>
          </w:tcPr>
          <w:p w14:paraId="228359C4">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00</w:t>
            </w:r>
          </w:p>
        </w:tc>
        <w:tc>
          <w:tcPr>
            <w:tcW w:w="645" w:type="dxa"/>
            <w:tcBorders>
              <w:tl2br w:val="nil"/>
              <w:tr2bl w:val="nil"/>
            </w:tcBorders>
            <w:noWrap w:val="0"/>
            <w:vAlign w:val="center"/>
          </w:tcPr>
          <w:p w14:paraId="4A8A0390">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Ⅰ-1</w:t>
            </w:r>
          </w:p>
        </w:tc>
        <w:tc>
          <w:tcPr>
            <w:tcW w:w="930" w:type="dxa"/>
            <w:tcBorders>
              <w:tl2br w:val="nil"/>
              <w:tr2bl w:val="nil"/>
            </w:tcBorders>
            <w:noWrap w:val="0"/>
            <w:vAlign w:val="center"/>
          </w:tcPr>
          <w:p w14:paraId="2F6BAC08">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14.64</w:t>
            </w:r>
          </w:p>
        </w:tc>
        <w:tc>
          <w:tcPr>
            <w:tcW w:w="930" w:type="dxa"/>
            <w:tcBorders>
              <w:tl2br w:val="nil"/>
              <w:tr2bl w:val="nil"/>
            </w:tcBorders>
            <w:noWrap w:val="0"/>
            <w:vAlign w:val="center"/>
          </w:tcPr>
          <w:p w14:paraId="5BCAE1C2">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p>
        </w:tc>
        <w:tc>
          <w:tcPr>
            <w:tcW w:w="945" w:type="dxa"/>
            <w:tcBorders>
              <w:tl2br w:val="nil"/>
              <w:tr2bl w:val="nil"/>
            </w:tcBorders>
            <w:noWrap w:val="0"/>
            <w:vAlign w:val="center"/>
          </w:tcPr>
          <w:p w14:paraId="1CF1A60F">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7.32</w:t>
            </w:r>
          </w:p>
        </w:tc>
        <w:tc>
          <w:tcPr>
            <w:tcW w:w="960" w:type="dxa"/>
            <w:tcBorders>
              <w:tl2br w:val="nil"/>
              <w:tr2bl w:val="nil"/>
            </w:tcBorders>
            <w:noWrap w:val="0"/>
            <w:vAlign w:val="center"/>
          </w:tcPr>
          <w:p w14:paraId="0699CAC3">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225</w:t>
            </w:r>
          </w:p>
        </w:tc>
        <w:tc>
          <w:tcPr>
            <w:tcW w:w="885" w:type="dxa"/>
            <w:tcBorders>
              <w:tl2br w:val="nil"/>
              <w:tr2bl w:val="nil"/>
            </w:tcBorders>
            <w:noWrap w:val="0"/>
            <w:vAlign w:val="center"/>
          </w:tcPr>
          <w:p w14:paraId="16825774">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7.32</w:t>
            </w:r>
          </w:p>
        </w:tc>
        <w:tc>
          <w:tcPr>
            <w:tcW w:w="1095" w:type="dxa"/>
            <w:tcBorders>
              <w:tl2br w:val="nil"/>
              <w:tr2bl w:val="nil"/>
            </w:tcBorders>
            <w:noWrap w:val="0"/>
            <w:vAlign w:val="center"/>
          </w:tcPr>
          <w:p w14:paraId="10EC5F79">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225</w:t>
            </w:r>
          </w:p>
        </w:tc>
        <w:tc>
          <w:tcPr>
            <w:tcW w:w="1134" w:type="dxa"/>
            <w:tcBorders>
              <w:tl2br w:val="nil"/>
              <w:tr2bl w:val="nil"/>
            </w:tcBorders>
            <w:noWrap w:val="0"/>
            <w:vAlign w:val="center"/>
          </w:tcPr>
          <w:p w14:paraId="53DC19B7">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0-160</w:t>
            </w:r>
          </w:p>
        </w:tc>
      </w:tr>
      <w:tr w14:paraId="5B93A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678" w:type="dxa"/>
            <w:vMerge w:val="continue"/>
            <w:tcBorders>
              <w:tl2br w:val="nil"/>
              <w:tr2bl w:val="nil"/>
            </w:tcBorders>
            <w:noWrap w:val="0"/>
            <w:vAlign w:val="center"/>
          </w:tcPr>
          <w:p w14:paraId="558A7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45" w:type="dxa"/>
            <w:tcBorders>
              <w:tl2br w:val="nil"/>
              <w:tr2bl w:val="nil"/>
            </w:tcBorders>
            <w:noWrap w:val="0"/>
            <w:vAlign w:val="center"/>
          </w:tcPr>
          <w:p w14:paraId="0D220071">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Ⅲ</w:t>
            </w:r>
          </w:p>
        </w:tc>
        <w:tc>
          <w:tcPr>
            <w:tcW w:w="930" w:type="dxa"/>
            <w:tcBorders>
              <w:tl2br w:val="nil"/>
              <w:tr2bl w:val="nil"/>
            </w:tcBorders>
            <w:noWrap w:val="0"/>
            <w:vAlign w:val="center"/>
          </w:tcPr>
          <w:p w14:paraId="7936DCEF">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9.63</w:t>
            </w:r>
          </w:p>
        </w:tc>
        <w:tc>
          <w:tcPr>
            <w:tcW w:w="930" w:type="dxa"/>
            <w:tcBorders>
              <w:tl2br w:val="nil"/>
              <w:tr2bl w:val="nil"/>
            </w:tcBorders>
            <w:noWrap w:val="0"/>
            <w:vAlign w:val="center"/>
          </w:tcPr>
          <w:p w14:paraId="70DA08BB">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p>
        </w:tc>
        <w:tc>
          <w:tcPr>
            <w:tcW w:w="945" w:type="dxa"/>
            <w:tcBorders>
              <w:tl2br w:val="nil"/>
              <w:tr2bl w:val="nil"/>
            </w:tcBorders>
            <w:noWrap w:val="0"/>
            <w:vAlign w:val="center"/>
          </w:tcPr>
          <w:p w14:paraId="2C8034FD">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4.82</w:t>
            </w:r>
          </w:p>
        </w:tc>
        <w:tc>
          <w:tcPr>
            <w:tcW w:w="960" w:type="dxa"/>
            <w:tcBorders>
              <w:tl2br w:val="nil"/>
              <w:tr2bl w:val="nil"/>
            </w:tcBorders>
            <w:noWrap w:val="0"/>
            <w:vAlign w:val="center"/>
          </w:tcPr>
          <w:p w14:paraId="17CE36A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151</w:t>
            </w:r>
          </w:p>
        </w:tc>
        <w:tc>
          <w:tcPr>
            <w:tcW w:w="885" w:type="dxa"/>
            <w:tcBorders>
              <w:tl2br w:val="nil"/>
              <w:tr2bl w:val="nil"/>
            </w:tcBorders>
            <w:noWrap w:val="0"/>
            <w:vAlign w:val="center"/>
          </w:tcPr>
          <w:p w14:paraId="01AC2C05">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4.82</w:t>
            </w:r>
          </w:p>
        </w:tc>
        <w:tc>
          <w:tcPr>
            <w:tcW w:w="1095" w:type="dxa"/>
            <w:tcBorders>
              <w:tl2br w:val="nil"/>
              <w:tr2bl w:val="nil"/>
            </w:tcBorders>
            <w:noWrap w:val="0"/>
            <w:vAlign w:val="center"/>
          </w:tcPr>
          <w:p w14:paraId="26D1BC49">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151</w:t>
            </w:r>
          </w:p>
        </w:tc>
        <w:tc>
          <w:tcPr>
            <w:tcW w:w="1134" w:type="dxa"/>
            <w:tcBorders>
              <w:tl2br w:val="nil"/>
              <w:tr2bl w:val="nil"/>
            </w:tcBorders>
            <w:noWrap w:val="0"/>
            <w:vAlign w:val="center"/>
          </w:tcPr>
          <w:p w14:paraId="719B32B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35-158</w:t>
            </w:r>
          </w:p>
        </w:tc>
      </w:tr>
      <w:tr w14:paraId="5BF9C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678" w:type="dxa"/>
            <w:vMerge w:val="restart"/>
            <w:tcBorders>
              <w:tl2br w:val="nil"/>
              <w:tr2bl w:val="nil"/>
            </w:tcBorders>
            <w:noWrap w:val="0"/>
            <w:vAlign w:val="center"/>
          </w:tcPr>
          <w:p w14:paraId="002BB93B">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02</w:t>
            </w:r>
          </w:p>
        </w:tc>
        <w:tc>
          <w:tcPr>
            <w:tcW w:w="645" w:type="dxa"/>
            <w:tcBorders>
              <w:tl2br w:val="nil"/>
              <w:tr2bl w:val="nil"/>
            </w:tcBorders>
            <w:noWrap w:val="0"/>
            <w:vAlign w:val="center"/>
          </w:tcPr>
          <w:p w14:paraId="4B70AF42">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Ⅰ-1</w:t>
            </w:r>
          </w:p>
        </w:tc>
        <w:tc>
          <w:tcPr>
            <w:tcW w:w="930" w:type="dxa"/>
            <w:tcBorders>
              <w:tl2br w:val="nil"/>
              <w:tr2bl w:val="nil"/>
            </w:tcBorders>
            <w:noWrap w:val="0"/>
            <w:vAlign w:val="center"/>
          </w:tcPr>
          <w:p w14:paraId="042A720D">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14.64</w:t>
            </w:r>
          </w:p>
        </w:tc>
        <w:tc>
          <w:tcPr>
            <w:tcW w:w="930" w:type="dxa"/>
            <w:tcBorders>
              <w:tl2br w:val="nil"/>
              <w:tr2bl w:val="nil"/>
            </w:tcBorders>
            <w:noWrap w:val="0"/>
            <w:vAlign w:val="center"/>
          </w:tcPr>
          <w:p w14:paraId="67934AD0">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p>
        </w:tc>
        <w:tc>
          <w:tcPr>
            <w:tcW w:w="945" w:type="dxa"/>
            <w:tcBorders>
              <w:tl2br w:val="nil"/>
              <w:tr2bl w:val="nil"/>
            </w:tcBorders>
            <w:noWrap w:val="0"/>
            <w:vAlign w:val="center"/>
          </w:tcPr>
          <w:p w14:paraId="4E8C705C">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7.32</w:t>
            </w:r>
          </w:p>
        </w:tc>
        <w:tc>
          <w:tcPr>
            <w:tcW w:w="960" w:type="dxa"/>
            <w:tcBorders>
              <w:tl2br w:val="nil"/>
              <w:tr2bl w:val="nil"/>
            </w:tcBorders>
            <w:noWrap w:val="0"/>
            <w:vAlign w:val="center"/>
          </w:tcPr>
          <w:p w14:paraId="2A2F357F">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225</w:t>
            </w:r>
          </w:p>
        </w:tc>
        <w:tc>
          <w:tcPr>
            <w:tcW w:w="885" w:type="dxa"/>
            <w:tcBorders>
              <w:tl2br w:val="nil"/>
              <w:tr2bl w:val="nil"/>
            </w:tcBorders>
            <w:noWrap w:val="0"/>
            <w:vAlign w:val="center"/>
          </w:tcPr>
          <w:p w14:paraId="27E9D62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7.32</w:t>
            </w:r>
          </w:p>
        </w:tc>
        <w:tc>
          <w:tcPr>
            <w:tcW w:w="1095" w:type="dxa"/>
            <w:tcBorders>
              <w:tl2br w:val="nil"/>
              <w:tr2bl w:val="nil"/>
            </w:tcBorders>
            <w:noWrap w:val="0"/>
            <w:vAlign w:val="center"/>
          </w:tcPr>
          <w:p w14:paraId="1751DA97">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225</w:t>
            </w:r>
          </w:p>
        </w:tc>
        <w:tc>
          <w:tcPr>
            <w:tcW w:w="1134" w:type="dxa"/>
            <w:tcBorders>
              <w:tl2br w:val="nil"/>
              <w:tr2bl w:val="nil"/>
            </w:tcBorders>
            <w:noWrap w:val="0"/>
            <w:vAlign w:val="center"/>
          </w:tcPr>
          <w:p w14:paraId="0AD6F32C">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60-149</w:t>
            </w:r>
          </w:p>
        </w:tc>
      </w:tr>
      <w:tr w14:paraId="0E119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678" w:type="dxa"/>
            <w:vMerge w:val="continue"/>
            <w:tcBorders>
              <w:tl2br w:val="nil"/>
              <w:tr2bl w:val="nil"/>
            </w:tcBorders>
            <w:noWrap w:val="0"/>
            <w:vAlign w:val="center"/>
          </w:tcPr>
          <w:p w14:paraId="7E821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45" w:type="dxa"/>
            <w:tcBorders>
              <w:tl2br w:val="nil"/>
              <w:tr2bl w:val="nil"/>
            </w:tcBorders>
            <w:noWrap w:val="0"/>
            <w:vAlign w:val="center"/>
          </w:tcPr>
          <w:p w14:paraId="5CFFB5E4">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Ⅲ</w:t>
            </w:r>
          </w:p>
        </w:tc>
        <w:tc>
          <w:tcPr>
            <w:tcW w:w="930" w:type="dxa"/>
            <w:tcBorders>
              <w:tl2br w:val="nil"/>
              <w:tr2bl w:val="nil"/>
            </w:tcBorders>
            <w:noWrap w:val="0"/>
            <w:vAlign w:val="center"/>
          </w:tcPr>
          <w:p w14:paraId="5E9AAF3A">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9.63</w:t>
            </w:r>
          </w:p>
        </w:tc>
        <w:tc>
          <w:tcPr>
            <w:tcW w:w="930" w:type="dxa"/>
            <w:tcBorders>
              <w:tl2br w:val="nil"/>
              <w:tr2bl w:val="nil"/>
            </w:tcBorders>
            <w:noWrap w:val="0"/>
            <w:vAlign w:val="center"/>
          </w:tcPr>
          <w:p w14:paraId="0C972114">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w:t>
            </w:r>
          </w:p>
        </w:tc>
        <w:tc>
          <w:tcPr>
            <w:tcW w:w="945" w:type="dxa"/>
            <w:tcBorders>
              <w:tl2br w:val="nil"/>
              <w:tr2bl w:val="nil"/>
            </w:tcBorders>
            <w:noWrap w:val="0"/>
            <w:vAlign w:val="center"/>
          </w:tcPr>
          <w:p w14:paraId="457F638A">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4.82</w:t>
            </w:r>
          </w:p>
        </w:tc>
        <w:tc>
          <w:tcPr>
            <w:tcW w:w="960" w:type="dxa"/>
            <w:tcBorders>
              <w:tl2br w:val="nil"/>
              <w:tr2bl w:val="nil"/>
            </w:tcBorders>
            <w:noWrap w:val="0"/>
            <w:vAlign w:val="center"/>
          </w:tcPr>
          <w:p w14:paraId="0C82843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151</w:t>
            </w:r>
          </w:p>
        </w:tc>
        <w:tc>
          <w:tcPr>
            <w:tcW w:w="885" w:type="dxa"/>
            <w:tcBorders>
              <w:tl2br w:val="nil"/>
              <w:tr2bl w:val="nil"/>
            </w:tcBorders>
            <w:noWrap w:val="0"/>
            <w:vAlign w:val="center"/>
          </w:tcPr>
          <w:p w14:paraId="5D3D8EB8">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4.82</w:t>
            </w:r>
          </w:p>
        </w:tc>
        <w:tc>
          <w:tcPr>
            <w:tcW w:w="1095" w:type="dxa"/>
            <w:tcBorders>
              <w:tl2br w:val="nil"/>
              <w:tr2bl w:val="nil"/>
            </w:tcBorders>
            <w:noWrap w:val="0"/>
            <w:vAlign w:val="center"/>
          </w:tcPr>
          <w:p w14:paraId="2A4F690C">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151</w:t>
            </w:r>
          </w:p>
        </w:tc>
        <w:tc>
          <w:tcPr>
            <w:tcW w:w="1134" w:type="dxa"/>
            <w:tcBorders>
              <w:tl2br w:val="nil"/>
              <w:tr2bl w:val="nil"/>
            </w:tcBorders>
            <w:noWrap w:val="0"/>
            <w:vAlign w:val="center"/>
          </w:tcPr>
          <w:p w14:paraId="3831F44D">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64-157</w:t>
            </w:r>
          </w:p>
        </w:tc>
      </w:tr>
    </w:tbl>
    <w:p w14:paraId="4AB39C7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rFonts w:hint="eastAsia"/>
          <w:color w:val="000000" w:themeColor="text1"/>
          <w:sz w:val="24"/>
          <w:lang w:eastAsia="zh-CN"/>
          <w14:textFill>
            <w14:solidFill>
              <w14:schemeClr w14:val="tx1"/>
            </w14:solidFill>
          </w14:textFill>
        </w:rPr>
        <w:t>上</w:t>
      </w:r>
      <w:r>
        <w:rPr>
          <w:rFonts w:hint="eastAsia"/>
          <w:color w:val="000000" w:themeColor="text1"/>
          <w:sz w:val="24"/>
          <w14:textFill>
            <w14:solidFill>
              <w14:schemeClr w14:val="tx1"/>
            </w14:solidFill>
          </w14:textFill>
        </w:rPr>
        <w:t>表，近期5年Ⅰ-1号矿体导水裂隙带最大高度为225</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。根据图</w:t>
      </w:r>
      <w:r>
        <w:rPr>
          <w:rFonts w:hint="eastAsia"/>
          <w:color w:val="000000" w:themeColor="text1"/>
          <w:sz w:val="24"/>
          <w:lang w:val="en-US" w:eastAsia="zh-CN"/>
          <w14:textFill>
            <w14:solidFill>
              <w14:schemeClr w14:val="tx1"/>
            </w14:solidFill>
          </w14:textFill>
        </w:rPr>
        <w:t>5.2</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和图</w:t>
      </w:r>
      <w:r>
        <w:rPr>
          <w:rFonts w:hint="eastAsia"/>
          <w:color w:val="000000" w:themeColor="text1"/>
          <w:sz w:val="24"/>
          <w:lang w:val="en-US" w:eastAsia="zh-CN"/>
          <w14:textFill>
            <w14:solidFill>
              <w14:schemeClr w14:val="tx1"/>
            </w14:solidFill>
          </w14:textFill>
        </w:rPr>
        <w:t>5.2</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可知，采空区顶板埋深为0-160</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，矿体采空区顶板埋深小于矿体导水裂缝带最大高度225</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，其导水裂隙带最大高度可到达地表，易引发地面塌陷灾害。</w:t>
      </w:r>
    </w:p>
    <w:p w14:paraId="4E07EB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近期5年Ⅲ号矿体导水裂隙带最大高度为151</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，根据图</w:t>
      </w:r>
      <w:r>
        <w:rPr>
          <w:rFonts w:hint="eastAsia"/>
          <w:color w:val="000000" w:themeColor="text1"/>
          <w:sz w:val="24"/>
          <w:lang w:val="en-US" w:eastAsia="zh-CN"/>
          <w14:textFill>
            <w14:solidFill>
              <w14:schemeClr w14:val="tx1"/>
            </w14:solidFill>
          </w14:textFill>
        </w:rPr>
        <w:t>5.2</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和图</w:t>
      </w:r>
      <w:r>
        <w:rPr>
          <w:rFonts w:hint="eastAsia"/>
          <w:color w:val="000000" w:themeColor="text1"/>
          <w:sz w:val="24"/>
          <w:lang w:val="en-US" w:eastAsia="zh-CN"/>
          <w14:textFill>
            <w14:solidFill>
              <w14:schemeClr w14:val="tx1"/>
            </w14:solidFill>
          </w14:textFill>
        </w:rPr>
        <w:t>5.2</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可知，采空区顶板埋深为35-158</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，矿体部分采空区顶板埋深小于矿体导水裂缝带最大高度151</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，顶板埋深35-151</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的采空区其导水裂隙带最大高度可到达地表，易引发地面塌陷灾害；顶板埋深151-158</w:t>
      </w:r>
      <w:r>
        <w:rPr>
          <w:rFonts w:hint="eastAsia"/>
          <w:color w:val="000000" w:themeColor="text1"/>
          <w:sz w:val="24"/>
          <w:lang w:val="en-US" w:eastAsia="zh-CN"/>
          <w14:textFill>
            <w14:solidFill>
              <w14:schemeClr w14:val="tx1"/>
            </w14:solidFill>
          </w14:textFill>
        </w:rPr>
        <w:t>m</w:t>
      </w:r>
      <w:r>
        <w:rPr>
          <w:rFonts w:hint="eastAsia"/>
          <w:color w:val="000000" w:themeColor="text1"/>
          <w:sz w:val="24"/>
          <w14:textFill>
            <w14:solidFill>
              <w14:schemeClr w14:val="tx1"/>
            </w14:solidFill>
          </w14:textFill>
        </w:rPr>
        <w:t>的采空区导水裂隙带最大高度不能到达地表，不易引发地面塌陷灾害</w:t>
      </w:r>
      <w:r>
        <w:rPr>
          <w:rFonts w:hint="eastAsia"/>
          <w:color w:val="000000" w:themeColor="text1"/>
          <w:sz w:val="24"/>
          <w:lang w:eastAsia="zh-CN"/>
          <w14:textFill>
            <w14:solidFill>
              <w14:schemeClr w14:val="tx1"/>
            </w14:solidFill>
          </w14:textFill>
        </w:rPr>
        <w:t>。</w:t>
      </w:r>
    </w:p>
    <w:p w14:paraId="58979F0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生产年限</w:t>
      </w:r>
      <w:r>
        <w:rPr>
          <w:rFonts w:hint="eastAsia"/>
          <w:color w:val="000000" w:themeColor="text1"/>
          <w:sz w:val="24"/>
          <w:lang w:val="en-US" w:eastAsia="zh-CN"/>
          <w14:textFill>
            <w14:solidFill>
              <w14:schemeClr w14:val="tx1"/>
            </w14:solidFill>
          </w14:textFill>
        </w:rPr>
        <w:t>13.31</w:t>
      </w:r>
      <w:r>
        <w:rPr>
          <w:rFonts w:hint="eastAsia"/>
          <w:color w:val="000000" w:themeColor="text1"/>
          <w:sz w:val="24"/>
          <w:lang w:eastAsia="zh-CN"/>
          <w14:textFill>
            <w14:solidFill>
              <w14:schemeClr w14:val="tx1"/>
            </w14:solidFill>
          </w14:textFill>
        </w:rPr>
        <w:t>年采空区垮落带及导水裂缝带计算结果见表</w:t>
      </w:r>
      <w:r>
        <w:rPr>
          <w:rFonts w:hint="eastAsia"/>
          <w:color w:val="000000" w:themeColor="text1"/>
          <w:sz w:val="24"/>
          <w:lang w:val="en-US" w:eastAsia="zh-CN"/>
          <w14:textFill>
            <w14:solidFill>
              <w14:schemeClr w14:val="tx1"/>
            </w14:solidFill>
          </w14:textFill>
        </w:rPr>
        <w:t>5.2-33</w:t>
      </w:r>
      <w:r>
        <w:rPr>
          <w:rFonts w:hint="eastAsia"/>
          <w:color w:val="000000" w:themeColor="text1"/>
          <w:sz w:val="24"/>
          <w:lang w:eastAsia="zh-CN"/>
          <w14:textFill>
            <w14:solidFill>
              <w14:schemeClr w14:val="tx1"/>
            </w14:solidFill>
          </w14:textFill>
        </w:rPr>
        <w:t>。</w:t>
      </w:r>
    </w:p>
    <w:p w14:paraId="3AC25871">
      <w:pPr>
        <w:spacing w:line="480" w:lineRule="exact"/>
        <w:jc w:val="center"/>
        <w:rPr>
          <w:rFonts w:hint="eastAsia" w:ascii="Times New Roman" w:hAnsi="Times New Roman" w:eastAsia="宋体" w:cs="Times New Roman"/>
          <w:b/>
          <w:bCs/>
          <w:color w:val="000000" w:themeColor="text1"/>
          <w:kern w:val="0"/>
          <w:sz w:val="24"/>
          <w:szCs w:val="21"/>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表</w:t>
      </w:r>
      <w:r>
        <w:rPr>
          <w:rFonts w:hint="eastAsia" w:cs="Times New Roman"/>
          <w:b/>
          <w:bCs/>
          <w:color w:val="000000" w:themeColor="text1"/>
          <w:kern w:val="0"/>
          <w:sz w:val="24"/>
          <w:szCs w:val="21"/>
          <w:lang w:val="en-US" w:eastAsia="zh-CN"/>
          <w14:textFill>
            <w14:solidFill>
              <w14:schemeClr w14:val="tx1"/>
            </w14:solidFill>
          </w14:textFill>
        </w:rPr>
        <w:t xml:space="preserve">5.2-33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生产年限13.31年采空区垮落带及裂缝带最大高度计</w:t>
      </w:r>
      <w:r>
        <w:rPr>
          <w:rFonts w:hint="eastAsia" w:ascii="Times New Roman" w:hAnsi="Times New Roman" w:eastAsia="宋体" w:cs="Times New Roman"/>
          <w:b/>
          <w:bCs/>
          <w:color w:val="000000" w:themeColor="text1"/>
          <w:kern w:val="0"/>
          <w:sz w:val="24"/>
          <w:szCs w:val="21"/>
          <w14:textFill>
            <w14:solidFill>
              <w14:schemeClr w14:val="tx1"/>
            </w14:solidFill>
          </w14:textFill>
        </w:rPr>
        <w:t>算成果表</w:t>
      </w:r>
    </w:p>
    <w:tbl>
      <w:tblPr>
        <w:tblStyle w:val="79"/>
        <w:tblW w:w="82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48"/>
        <w:gridCol w:w="930"/>
        <w:gridCol w:w="930"/>
        <w:gridCol w:w="945"/>
        <w:gridCol w:w="960"/>
        <w:gridCol w:w="885"/>
        <w:gridCol w:w="1272"/>
        <w:gridCol w:w="957"/>
      </w:tblGrid>
      <w:tr w14:paraId="069A0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675" w:type="dxa"/>
            <w:vMerge w:val="restart"/>
            <w:tcBorders>
              <w:tl2br w:val="nil"/>
              <w:tr2bl w:val="nil"/>
            </w:tcBorders>
            <w:noWrap w:val="0"/>
            <w:vAlign w:val="center"/>
          </w:tcPr>
          <w:p w14:paraId="1F73E85B">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勘探线剖面编号</w:t>
            </w:r>
          </w:p>
        </w:tc>
        <w:tc>
          <w:tcPr>
            <w:tcW w:w="648" w:type="dxa"/>
            <w:vMerge w:val="restart"/>
            <w:tcBorders>
              <w:tl2br w:val="nil"/>
              <w:tr2bl w:val="nil"/>
            </w:tcBorders>
            <w:noWrap w:val="0"/>
            <w:vAlign w:val="center"/>
          </w:tcPr>
          <w:p w14:paraId="560EC97D">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矿体编号</w:t>
            </w:r>
          </w:p>
        </w:tc>
        <w:tc>
          <w:tcPr>
            <w:tcW w:w="930" w:type="dxa"/>
            <w:tcBorders>
              <w:tl2br w:val="nil"/>
              <w:tr2bl w:val="nil"/>
            </w:tcBorders>
            <w:noWrap w:val="0"/>
            <w:vAlign w:val="center"/>
          </w:tcPr>
          <w:p w14:paraId="2F7F2B37">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矿体平均厚度</w:t>
            </w:r>
          </w:p>
        </w:tc>
        <w:tc>
          <w:tcPr>
            <w:tcW w:w="930" w:type="dxa"/>
            <w:tcBorders>
              <w:tl2br w:val="nil"/>
              <w:tr2bl w:val="nil"/>
            </w:tcBorders>
            <w:noWrap w:val="0"/>
            <w:vAlign w:val="center"/>
          </w:tcPr>
          <w:p w14:paraId="162E7B55">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与上层矿体平均间距</w:t>
            </w:r>
          </w:p>
        </w:tc>
        <w:tc>
          <w:tcPr>
            <w:tcW w:w="945" w:type="dxa"/>
            <w:tcBorders>
              <w:tl2br w:val="nil"/>
              <w:tr2bl w:val="nil"/>
            </w:tcBorders>
            <w:noWrap w:val="0"/>
            <w:vAlign w:val="center"/>
          </w:tcPr>
          <w:p w14:paraId="2CD7FEE3">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垮落带最大高度</w:t>
            </w:r>
          </w:p>
        </w:tc>
        <w:tc>
          <w:tcPr>
            <w:tcW w:w="960" w:type="dxa"/>
            <w:tcBorders>
              <w:tl2br w:val="nil"/>
              <w:tr2bl w:val="nil"/>
            </w:tcBorders>
            <w:noWrap w:val="0"/>
            <w:vAlign w:val="center"/>
          </w:tcPr>
          <w:p w14:paraId="1C47FFA0">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导水裂缝带最大高度</w:t>
            </w:r>
          </w:p>
        </w:tc>
        <w:tc>
          <w:tcPr>
            <w:tcW w:w="885" w:type="dxa"/>
            <w:tcBorders>
              <w:tl2br w:val="nil"/>
              <w:tr2bl w:val="nil"/>
            </w:tcBorders>
            <w:noWrap w:val="0"/>
            <w:vAlign w:val="center"/>
          </w:tcPr>
          <w:p w14:paraId="12093ED2">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矿体综合平均</w:t>
            </w:r>
          </w:p>
          <w:p w14:paraId="5CF8E4BC">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采厚</w:t>
            </w:r>
          </w:p>
        </w:tc>
        <w:tc>
          <w:tcPr>
            <w:tcW w:w="1272" w:type="dxa"/>
            <w:tcBorders>
              <w:tl2br w:val="nil"/>
              <w:tr2bl w:val="nil"/>
            </w:tcBorders>
            <w:noWrap w:val="0"/>
            <w:vAlign w:val="center"/>
          </w:tcPr>
          <w:p w14:paraId="734DDEC0">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矿体综合导水裂缝带最大高度</w:t>
            </w:r>
          </w:p>
        </w:tc>
        <w:tc>
          <w:tcPr>
            <w:tcW w:w="957" w:type="dxa"/>
            <w:tcBorders>
              <w:tl2br w:val="nil"/>
              <w:tr2bl w:val="nil"/>
            </w:tcBorders>
            <w:noWrap w:val="0"/>
            <w:vAlign w:val="center"/>
          </w:tcPr>
          <w:p w14:paraId="3A5B9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采空区</w:t>
            </w:r>
          </w:p>
          <w:p w14:paraId="07CE236D">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埋深</w:t>
            </w:r>
          </w:p>
        </w:tc>
      </w:tr>
      <w:tr w14:paraId="41941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675" w:type="dxa"/>
            <w:vMerge w:val="continue"/>
            <w:tcBorders>
              <w:tl2br w:val="nil"/>
              <w:tr2bl w:val="nil"/>
            </w:tcBorders>
            <w:noWrap w:val="0"/>
            <w:vAlign w:val="center"/>
          </w:tcPr>
          <w:p w14:paraId="37415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648" w:type="dxa"/>
            <w:vMerge w:val="continue"/>
            <w:tcBorders>
              <w:tl2br w:val="nil"/>
              <w:tr2bl w:val="nil"/>
            </w:tcBorders>
            <w:noWrap w:val="0"/>
            <w:vAlign w:val="center"/>
          </w:tcPr>
          <w:p w14:paraId="0A842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930" w:type="dxa"/>
            <w:tcBorders>
              <w:tl2br w:val="nil"/>
              <w:tr2bl w:val="nil"/>
            </w:tcBorders>
            <w:noWrap w:val="0"/>
            <w:vAlign w:val="center"/>
          </w:tcPr>
          <w:p w14:paraId="7D32E904">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M（m）</w:t>
            </w:r>
          </w:p>
        </w:tc>
        <w:tc>
          <w:tcPr>
            <w:tcW w:w="930" w:type="dxa"/>
            <w:tcBorders>
              <w:tl2br w:val="nil"/>
              <w:tr2bl w:val="nil"/>
            </w:tcBorders>
            <w:noWrap w:val="0"/>
            <w:vAlign w:val="center"/>
          </w:tcPr>
          <w:p w14:paraId="2A8684AE">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（m）</w:t>
            </w:r>
          </w:p>
        </w:tc>
        <w:tc>
          <w:tcPr>
            <w:tcW w:w="945" w:type="dxa"/>
            <w:tcBorders>
              <w:tl2br w:val="nil"/>
              <w:tr2bl w:val="nil"/>
            </w:tcBorders>
            <w:noWrap w:val="0"/>
            <w:vAlign w:val="center"/>
          </w:tcPr>
          <w:p w14:paraId="0B5461D5">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Hc（m）</w:t>
            </w:r>
          </w:p>
        </w:tc>
        <w:tc>
          <w:tcPr>
            <w:tcW w:w="960" w:type="dxa"/>
            <w:tcBorders>
              <w:tl2br w:val="nil"/>
              <w:tr2bl w:val="nil"/>
            </w:tcBorders>
            <w:noWrap w:val="0"/>
            <w:vAlign w:val="center"/>
          </w:tcPr>
          <w:p w14:paraId="2E282A25">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Hf（m）</w:t>
            </w:r>
          </w:p>
        </w:tc>
        <w:tc>
          <w:tcPr>
            <w:tcW w:w="885" w:type="dxa"/>
            <w:tcBorders>
              <w:tl2br w:val="nil"/>
              <w:tr2bl w:val="nil"/>
            </w:tcBorders>
            <w:noWrap w:val="0"/>
            <w:vAlign w:val="center"/>
          </w:tcPr>
          <w:p w14:paraId="036A0AF6">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（m）</w:t>
            </w:r>
          </w:p>
        </w:tc>
        <w:tc>
          <w:tcPr>
            <w:tcW w:w="1272" w:type="dxa"/>
            <w:tcBorders>
              <w:tl2br w:val="nil"/>
              <w:tr2bl w:val="nil"/>
            </w:tcBorders>
            <w:noWrap w:val="0"/>
            <w:vAlign w:val="center"/>
          </w:tcPr>
          <w:p w14:paraId="1E75393E">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（m）</w:t>
            </w:r>
          </w:p>
        </w:tc>
        <w:tc>
          <w:tcPr>
            <w:tcW w:w="957" w:type="dxa"/>
            <w:tcBorders>
              <w:tl2br w:val="nil"/>
              <w:tr2bl w:val="nil"/>
            </w:tcBorders>
            <w:noWrap w:val="0"/>
            <w:vAlign w:val="center"/>
          </w:tcPr>
          <w:p w14:paraId="07E862D2">
            <w:pPr>
              <w:pStyle w:val="10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（m）</w:t>
            </w:r>
          </w:p>
        </w:tc>
      </w:tr>
      <w:tr w14:paraId="67754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675" w:type="dxa"/>
            <w:vMerge w:val="restart"/>
            <w:tcBorders>
              <w:tl2br w:val="nil"/>
              <w:tr2bl w:val="nil"/>
            </w:tcBorders>
            <w:noWrap w:val="0"/>
            <w:vAlign w:val="center"/>
          </w:tcPr>
          <w:p w14:paraId="134B8D64">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00</w:t>
            </w:r>
          </w:p>
        </w:tc>
        <w:tc>
          <w:tcPr>
            <w:tcW w:w="648" w:type="dxa"/>
            <w:tcBorders>
              <w:tl2br w:val="nil"/>
              <w:tr2bl w:val="nil"/>
            </w:tcBorders>
            <w:noWrap w:val="0"/>
            <w:vAlign w:val="center"/>
          </w:tcPr>
          <w:p w14:paraId="6AFA24A6">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Ⅰ-1</w:t>
            </w:r>
          </w:p>
        </w:tc>
        <w:tc>
          <w:tcPr>
            <w:tcW w:w="930" w:type="dxa"/>
            <w:tcBorders>
              <w:tl2br w:val="nil"/>
              <w:tr2bl w:val="nil"/>
            </w:tcBorders>
            <w:noWrap w:val="0"/>
            <w:vAlign w:val="center"/>
          </w:tcPr>
          <w:p w14:paraId="3DC15F5A">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14.64</w:t>
            </w:r>
          </w:p>
        </w:tc>
        <w:tc>
          <w:tcPr>
            <w:tcW w:w="930" w:type="dxa"/>
            <w:tcBorders>
              <w:tl2br w:val="nil"/>
              <w:tr2bl w:val="nil"/>
            </w:tcBorders>
            <w:noWrap w:val="0"/>
            <w:vAlign w:val="center"/>
          </w:tcPr>
          <w:p w14:paraId="0FB8027D">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945" w:type="dxa"/>
            <w:tcBorders>
              <w:tl2br w:val="nil"/>
              <w:tr2bl w:val="nil"/>
            </w:tcBorders>
            <w:noWrap w:val="0"/>
            <w:vAlign w:val="center"/>
          </w:tcPr>
          <w:p w14:paraId="3D8B06EA">
            <w:pPr>
              <w:pStyle w:val="1013"/>
              <w:keepNext w:val="0"/>
              <w:keepLines w:val="0"/>
              <w:suppressLineNumbers w:val="0"/>
              <w:spacing w:before="0" w:beforeAutospacing="0" w:after="0" w:afterAutospacing="0"/>
              <w:ind w:left="0" w:right="0" w:firstLine="0" w:firstLineChars="0"/>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7.32</w:t>
            </w:r>
          </w:p>
        </w:tc>
        <w:tc>
          <w:tcPr>
            <w:tcW w:w="960" w:type="dxa"/>
            <w:tcBorders>
              <w:tl2br w:val="nil"/>
              <w:tr2bl w:val="nil"/>
            </w:tcBorders>
            <w:noWrap w:val="0"/>
            <w:vAlign w:val="center"/>
          </w:tcPr>
          <w:p w14:paraId="55146C3E">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225</w:t>
            </w:r>
          </w:p>
        </w:tc>
        <w:tc>
          <w:tcPr>
            <w:tcW w:w="885" w:type="dxa"/>
            <w:tcBorders>
              <w:tl2br w:val="nil"/>
              <w:tr2bl w:val="nil"/>
            </w:tcBorders>
            <w:noWrap w:val="0"/>
            <w:vAlign w:val="center"/>
          </w:tcPr>
          <w:p w14:paraId="22BE7B30">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7.32</w:t>
            </w:r>
          </w:p>
        </w:tc>
        <w:tc>
          <w:tcPr>
            <w:tcW w:w="1272" w:type="dxa"/>
            <w:tcBorders>
              <w:tl2br w:val="nil"/>
              <w:tr2bl w:val="nil"/>
            </w:tcBorders>
            <w:noWrap w:val="0"/>
            <w:vAlign w:val="center"/>
          </w:tcPr>
          <w:p w14:paraId="6039EEEC">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225</w:t>
            </w:r>
          </w:p>
        </w:tc>
        <w:tc>
          <w:tcPr>
            <w:tcW w:w="957" w:type="dxa"/>
            <w:tcBorders>
              <w:tl2br w:val="nil"/>
              <w:tr2bl w:val="nil"/>
            </w:tcBorders>
            <w:noWrap w:val="0"/>
            <w:vAlign w:val="center"/>
          </w:tcPr>
          <w:p w14:paraId="70FDBF89">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0-339</w:t>
            </w:r>
          </w:p>
        </w:tc>
      </w:tr>
      <w:tr w14:paraId="576F8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675" w:type="dxa"/>
            <w:vMerge w:val="continue"/>
            <w:tcBorders>
              <w:tl2br w:val="nil"/>
              <w:tr2bl w:val="nil"/>
            </w:tcBorders>
            <w:noWrap w:val="0"/>
            <w:vAlign w:val="center"/>
          </w:tcPr>
          <w:p w14:paraId="75A1269C">
            <w:pPr>
              <w:keepNext w:val="0"/>
              <w:keepLines w:val="0"/>
              <w:suppressLineNumbers w:val="0"/>
              <w:spacing w:before="0" w:beforeAutospacing="0" w:after="0" w:afterAutospacing="0"/>
              <w:ind w:left="0" w:right="0" w:firstLine="48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48" w:type="dxa"/>
            <w:tcBorders>
              <w:tl2br w:val="nil"/>
              <w:tr2bl w:val="nil"/>
            </w:tcBorders>
            <w:noWrap w:val="0"/>
            <w:vAlign w:val="center"/>
          </w:tcPr>
          <w:p w14:paraId="5040BDA3">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Ⅲ</w:t>
            </w:r>
          </w:p>
        </w:tc>
        <w:tc>
          <w:tcPr>
            <w:tcW w:w="930" w:type="dxa"/>
            <w:tcBorders>
              <w:tl2br w:val="nil"/>
              <w:tr2bl w:val="nil"/>
            </w:tcBorders>
            <w:noWrap w:val="0"/>
            <w:vAlign w:val="center"/>
          </w:tcPr>
          <w:p w14:paraId="2EB66292">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9.63</w:t>
            </w:r>
          </w:p>
        </w:tc>
        <w:tc>
          <w:tcPr>
            <w:tcW w:w="930" w:type="dxa"/>
            <w:tcBorders>
              <w:tl2br w:val="nil"/>
              <w:tr2bl w:val="nil"/>
            </w:tcBorders>
            <w:noWrap w:val="0"/>
            <w:vAlign w:val="center"/>
          </w:tcPr>
          <w:p w14:paraId="458E6B56">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945" w:type="dxa"/>
            <w:tcBorders>
              <w:tl2br w:val="nil"/>
              <w:tr2bl w:val="nil"/>
            </w:tcBorders>
            <w:noWrap w:val="0"/>
            <w:vAlign w:val="center"/>
          </w:tcPr>
          <w:p w14:paraId="0E5D32B6">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4.82</w:t>
            </w:r>
          </w:p>
        </w:tc>
        <w:tc>
          <w:tcPr>
            <w:tcW w:w="960" w:type="dxa"/>
            <w:tcBorders>
              <w:tl2br w:val="nil"/>
              <w:tr2bl w:val="nil"/>
            </w:tcBorders>
            <w:noWrap w:val="0"/>
            <w:vAlign w:val="center"/>
          </w:tcPr>
          <w:p w14:paraId="611669EE">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151</w:t>
            </w:r>
          </w:p>
        </w:tc>
        <w:tc>
          <w:tcPr>
            <w:tcW w:w="885" w:type="dxa"/>
            <w:tcBorders>
              <w:tl2br w:val="nil"/>
              <w:tr2bl w:val="nil"/>
            </w:tcBorders>
            <w:noWrap w:val="0"/>
            <w:vAlign w:val="center"/>
          </w:tcPr>
          <w:p w14:paraId="18A5454C">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4.82</w:t>
            </w:r>
          </w:p>
        </w:tc>
        <w:tc>
          <w:tcPr>
            <w:tcW w:w="1272" w:type="dxa"/>
            <w:tcBorders>
              <w:tl2br w:val="nil"/>
              <w:tr2bl w:val="nil"/>
            </w:tcBorders>
            <w:noWrap w:val="0"/>
            <w:vAlign w:val="center"/>
          </w:tcPr>
          <w:p w14:paraId="20C77BF2">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151</w:t>
            </w:r>
          </w:p>
        </w:tc>
        <w:tc>
          <w:tcPr>
            <w:tcW w:w="957" w:type="dxa"/>
            <w:tcBorders>
              <w:tl2br w:val="nil"/>
              <w:tr2bl w:val="nil"/>
            </w:tcBorders>
            <w:noWrap w:val="0"/>
            <w:vAlign w:val="center"/>
          </w:tcPr>
          <w:p w14:paraId="3829FCD8">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35-291</w:t>
            </w:r>
          </w:p>
        </w:tc>
      </w:tr>
      <w:tr w14:paraId="01981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675" w:type="dxa"/>
            <w:vMerge w:val="restart"/>
            <w:tcBorders>
              <w:tl2br w:val="nil"/>
              <w:tr2bl w:val="nil"/>
            </w:tcBorders>
            <w:noWrap w:val="0"/>
            <w:vAlign w:val="center"/>
          </w:tcPr>
          <w:p w14:paraId="3A2FD5C4">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02</w:t>
            </w:r>
          </w:p>
        </w:tc>
        <w:tc>
          <w:tcPr>
            <w:tcW w:w="648" w:type="dxa"/>
            <w:tcBorders>
              <w:tl2br w:val="nil"/>
              <w:tr2bl w:val="nil"/>
            </w:tcBorders>
            <w:noWrap w:val="0"/>
            <w:vAlign w:val="center"/>
          </w:tcPr>
          <w:p w14:paraId="39189435">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Ⅰ-1</w:t>
            </w:r>
          </w:p>
        </w:tc>
        <w:tc>
          <w:tcPr>
            <w:tcW w:w="930" w:type="dxa"/>
            <w:tcBorders>
              <w:tl2br w:val="nil"/>
              <w:tr2bl w:val="nil"/>
            </w:tcBorders>
            <w:noWrap w:val="0"/>
            <w:vAlign w:val="center"/>
          </w:tcPr>
          <w:p w14:paraId="217140DE">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14.64</w:t>
            </w:r>
          </w:p>
        </w:tc>
        <w:tc>
          <w:tcPr>
            <w:tcW w:w="930" w:type="dxa"/>
            <w:tcBorders>
              <w:tl2br w:val="nil"/>
              <w:tr2bl w:val="nil"/>
            </w:tcBorders>
            <w:noWrap w:val="0"/>
            <w:vAlign w:val="center"/>
          </w:tcPr>
          <w:p w14:paraId="1651487D">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945" w:type="dxa"/>
            <w:tcBorders>
              <w:tl2br w:val="nil"/>
              <w:tr2bl w:val="nil"/>
            </w:tcBorders>
            <w:noWrap w:val="0"/>
            <w:vAlign w:val="center"/>
          </w:tcPr>
          <w:p w14:paraId="6BE0A523">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7.32</w:t>
            </w:r>
          </w:p>
        </w:tc>
        <w:tc>
          <w:tcPr>
            <w:tcW w:w="960" w:type="dxa"/>
            <w:tcBorders>
              <w:tl2br w:val="nil"/>
              <w:tr2bl w:val="nil"/>
            </w:tcBorders>
            <w:noWrap w:val="0"/>
            <w:vAlign w:val="center"/>
          </w:tcPr>
          <w:p w14:paraId="3953E908">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225</w:t>
            </w:r>
          </w:p>
        </w:tc>
        <w:tc>
          <w:tcPr>
            <w:tcW w:w="885" w:type="dxa"/>
            <w:tcBorders>
              <w:tl2br w:val="nil"/>
              <w:tr2bl w:val="nil"/>
            </w:tcBorders>
            <w:noWrap w:val="0"/>
            <w:vAlign w:val="center"/>
          </w:tcPr>
          <w:p w14:paraId="16EA3950">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7.32</w:t>
            </w:r>
          </w:p>
        </w:tc>
        <w:tc>
          <w:tcPr>
            <w:tcW w:w="1272" w:type="dxa"/>
            <w:tcBorders>
              <w:tl2br w:val="nil"/>
              <w:tr2bl w:val="nil"/>
            </w:tcBorders>
            <w:noWrap w:val="0"/>
            <w:vAlign w:val="center"/>
          </w:tcPr>
          <w:p w14:paraId="16998362">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225</w:t>
            </w:r>
          </w:p>
        </w:tc>
        <w:tc>
          <w:tcPr>
            <w:tcW w:w="957" w:type="dxa"/>
            <w:tcBorders>
              <w:tl2br w:val="nil"/>
              <w:tr2bl w:val="nil"/>
            </w:tcBorders>
            <w:noWrap w:val="0"/>
            <w:vAlign w:val="center"/>
          </w:tcPr>
          <w:p w14:paraId="7629C12D">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60-149</w:t>
            </w:r>
          </w:p>
        </w:tc>
      </w:tr>
      <w:tr w14:paraId="46558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675" w:type="dxa"/>
            <w:vMerge w:val="continue"/>
            <w:tcBorders>
              <w:tl2br w:val="nil"/>
              <w:tr2bl w:val="nil"/>
            </w:tcBorders>
            <w:noWrap w:val="0"/>
            <w:vAlign w:val="center"/>
          </w:tcPr>
          <w:p w14:paraId="44F79B5E">
            <w:pPr>
              <w:keepNext w:val="0"/>
              <w:keepLines w:val="0"/>
              <w:suppressLineNumbers w:val="0"/>
              <w:spacing w:before="0" w:beforeAutospacing="0" w:after="0" w:afterAutospacing="0"/>
              <w:ind w:left="0" w:right="0" w:firstLine="48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48" w:type="dxa"/>
            <w:tcBorders>
              <w:tl2br w:val="nil"/>
              <w:tr2bl w:val="nil"/>
            </w:tcBorders>
            <w:noWrap w:val="0"/>
            <w:vAlign w:val="center"/>
          </w:tcPr>
          <w:p w14:paraId="0BAAD8CF">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Ⅲ</w:t>
            </w:r>
          </w:p>
        </w:tc>
        <w:tc>
          <w:tcPr>
            <w:tcW w:w="930" w:type="dxa"/>
            <w:tcBorders>
              <w:tl2br w:val="nil"/>
              <w:tr2bl w:val="nil"/>
            </w:tcBorders>
            <w:noWrap w:val="0"/>
            <w:vAlign w:val="center"/>
          </w:tcPr>
          <w:p w14:paraId="7CB77C83">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9.63</w:t>
            </w:r>
          </w:p>
        </w:tc>
        <w:tc>
          <w:tcPr>
            <w:tcW w:w="930" w:type="dxa"/>
            <w:tcBorders>
              <w:tl2br w:val="nil"/>
              <w:tr2bl w:val="nil"/>
            </w:tcBorders>
            <w:noWrap w:val="0"/>
            <w:vAlign w:val="center"/>
          </w:tcPr>
          <w:p w14:paraId="460289A9">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945" w:type="dxa"/>
            <w:tcBorders>
              <w:tl2br w:val="nil"/>
              <w:tr2bl w:val="nil"/>
            </w:tcBorders>
            <w:noWrap w:val="0"/>
            <w:vAlign w:val="center"/>
          </w:tcPr>
          <w:p w14:paraId="146DA597">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4.82</w:t>
            </w:r>
          </w:p>
        </w:tc>
        <w:tc>
          <w:tcPr>
            <w:tcW w:w="960" w:type="dxa"/>
            <w:tcBorders>
              <w:tl2br w:val="nil"/>
              <w:tr2bl w:val="nil"/>
            </w:tcBorders>
            <w:noWrap w:val="0"/>
            <w:vAlign w:val="center"/>
          </w:tcPr>
          <w:p w14:paraId="583A5C44">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151</w:t>
            </w:r>
          </w:p>
        </w:tc>
        <w:tc>
          <w:tcPr>
            <w:tcW w:w="885" w:type="dxa"/>
            <w:tcBorders>
              <w:tl2br w:val="nil"/>
              <w:tr2bl w:val="nil"/>
            </w:tcBorders>
            <w:noWrap w:val="0"/>
            <w:vAlign w:val="center"/>
          </w:tcPr>
          <w:p w14:paraId="3822AA53">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4.82</w:t>
            </w:r>
          </w:p>
        </w:tc>
        <w:tc>
          <w:tcPr>
            <w:tcW w:w="1272" w:type="dxa"/>
            <w:tcBorders>
              <w:tl2br w:val="nil"/>
              <w:tr2bl w:val="nil"/>
            </w:tcBorders>
            <w:noWrap w:val="0"/>
            <w:vAlign w:val="center"/>
          </w:tcPr>
          <w:p w14:paraId="361F30E4">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151</w:t>
            </w:r>
          </w:p>
        </w:tc>
        <w:tc>
          <w:tcPr>
            <w:tcW w:w="957" w:type="dxa"/>
            <w:tcBorders>
              <w:tl2br w:val="nil"/>
              <w:tr2bl w:val="nil"/>
            </w:tcBorders>
            <w:noWrap w:val="0"/>
            <w:vAlign w:val="center"/>
          </w:tcPr>
          <w:p w14:paraId="32DC3AB8">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64-207</w:t>
            </w:r>
          </w:p>
        </w:tc>
      </w:tr>
      <w:tr w14:paraId="0A9DC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675" w:type="dxa"/>
            <w:tcBorders>
              <w:tl2br w:val="nil"/>
              <w:tr2bl w:val="nil"/>
            </w:tcBorders>
            <w:noWrap w:val="0"/>
            <w:vAlign w:val="center"/>
          </w:tcPr>
          <w:p w14:paraId="1DAE3E61">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06</w:t>
            </w:r>
          </w:p>
        </w:tc>
        <w:tc>
          <w:tcPr>
            <w:tcW w:w="648" w:type="dxa"/>
            <w:tcBorders>
              <w:tl2br w:val="nil"/>
              <w:tr2bl w:val="nil"/>
            </w:tcBorders>
            <w:noWrap w:val="0"/>
            <w:vAlign w:val="center"/>
          </w:tcPr>
          <w:p w14:paraId="780601BE">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Ⅰ-2</w:t>
            </w:r>
          </w:p>
        </w:tc>
        <w:tc>
          <w:tcPr>
            <w:tcW w:w="930" w:type="dxa"/>
            <w:tcBorders>
              <w:tl2br w:val="nil"/>
              <w:tr2bl w:val="nil"/>
            </w:tcBorders>
            <w:noWrap w:val="0"/>
            <w:vAlign w:val="center"/>
          </w:tcPr>
          <w:p w14:paraId="6A6F3515">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3.79</w:t>
            </w:r>
          </w:p>
        </w:tc>
        <w:tc>
          <w:tcPr>
            <w:tcW w:w="930" w:type="dxa"/>
            <w:tcBorders>
              <w:tl2br w:val="nil"/>
              <w:tr2bl w:val="nil"/>
            </w:tcBorders>
            <w:noWrap w:val="0"/>
            <w:vAlign w:val="center"/>
          </w:tcPr>
          <w:p w14:paraId="4F0E8AFB">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945" w:type="dxa"/>
            <w:tcBorders>
              <w:tl2br w:val="nil"/>
              <w:tr2bl w:val="nil"/>
            </w:tcBorders>
            <w:noWrap w:val="0"/>
            <w:vAlign w:val="center"/>
          </w:tcPr>
          <w:p w14:paraId="26E00890">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1.90</w:t>
            </w:r>
          </w:p>
        </w:tc>
        <w:tc>
          <w:tcPr>
            <w:tcW w:w="960" w:type="dxa"/>
            <w:tcBorders>
              <w:tl2br w:val="nil"/>
              <w:tr2bl w:val="nil"/>
            </w:tcBorders>
            <w:noWrap w:val="0"/>
            <w:vAlign w:val="center"/>
          </w:tcPr>
          <w:p w14:paraId="23BEB744">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64</w:t>
            </w:r>
          </w:p>
        </w:tc>
        <w:tc>
          <w:tcPr>
            <w:tcW w:w="885" w:type="dxa"/>
            <w:tcBorders>
              <w:tl2br w:val="nil"/>
              <w:tr2bl w:val="nil"/>
            </w:tcBorders>
            <w:noWrap w:val="0"/>
            <w:vAlign w:val="center"/>
          </w:tcPr>
          <w:p w14:paraId="6A9BEAE6">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1.90</w:t>
            </w:r>
          </w:p>
        </w:tc>
        <w:tc>
          <w:tcPr>
            <w:tcW w:w="1272" w:type="dxa"/>
            <w:tcBorders>
              <w:tl2br w:val="nil"/>
              <w:tr2bl w:val="nil"/>
            </w:tcBorders>
            <w:noWrap w:val="0"/>
            <w:vAlign w:val="center"/>
          </w:tcPr>
          <w:p w14:paraId="60ECF045">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64</w:t>
            </w:r>
          </w:p>
        </w:tc>
        <w:tc>
          <w:tcPr>
            <w:tcW w:w="957" w:type="dxa"/>
            <w:tcBorders>
              <w:tl2br w:val="nil"/>
              <w:tr2bl w:val="nil"/>
            </w:tcBorders>
            <w:noWrap w:val="0"/>
            <w:vAlign w:val="center"/>
          </w:tcPr>
          <w:p w14:paraId="7FDCB2F1">
            <w:pPr>
              <w:pStyle w:val="1013"/>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194-290</w:t>
            </w:r>
          </w:p>
        </w:tc>
      </w:tr>
    </w:tbl>
    <w:p w14:paraId="33EE8B8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根据上表，生产年限</w:t>
      </w:r>
      <w:r>
        <w:rPr>
          <w:rFonts w:hint="eastAsia"/>
          <w:color w:val="000000" w:themeColor="text1"/>
          <w:sz w:val="24"/>
          <w:lang w:val="en-US" w:eastAsia="zh-CN"/>
          <w14:textFill>
            <w14:solidFill>
              <w14:schemeClr w14:val="tx1"/>
            </w14:solidFill>
          </w14:textFill>
        </w:rPr>
        <w:t>13.31</w:t>
      </w:r>
      <w:r>
        <w:rPr>
          <w:rFonts w:hint="eastAsia"/>
          <w:color w:val="000000" w:themeColor="text1"/>
          <w:sz w:val="24"/>
          <w:lang w:eastAsia="zh-CN"/>
          <w14:textFill>
            <w14:solidFill>
              <w14:schemeClr w14:val="tx1"/>
            </w14:solidFill>
          </w14:textFill>
        </w:rPr>
        <w:t>年Ⅰ-1号矿体导水裂隙带最大高度为225m。根据图</w:t>
      </w:r>
      <w:r>
        <w:rPr>
          <w:rFonts w:hint="eastAsia"/>
          <w:color w:val="000000" w:themeColor="text1"/>
          <w:sz w:val="24"/>
          <w:lang w:val="en-US" w:eastAsia="zh-CN"/>
          <w14:textFill>
            <w14:solidFill>
              <w14:schemeClr w14:val="tx1"/>
            </w14:solidFill>
          </w14:textFill>
        </w:rPr>
        <w:t>5.2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10</w:t>
      </w:r>
      <w:r>
        <w:rPr>
          <w:rFonts w:hint="eastAsia"/>
          <w:color w:val="000000" w:themeColor="text1"/>
          <w:sz w:val="24"/>
          <w:lang w:eastAsia="zh-CN"/>
          <w14:textFill>
            <w14:solidFill>
              <w14:schemeClr w14:val="tx1"/>
            </w14:solidFill>
          </w14:textFill>
        </w:rPr>
        <w:t>和图</w:t>
      </w:r>
      <w:r>
        <w:rPr>
          <w:rFonts w:hint="eastAsia"/>
          <w:color w:val="000000" w:themeColor="text1"/>
          <w:sz w:val="24"/>
          <w:lang w:val="en-US" w:eastAsia="zh-CN"/>
          <w14:textFill>
            <w14:solidFill>
              <w14:schemeClr w14:val="tx1"/>
            </w14:solidFill>
          </w14:textFill>
        </w:rPr>
        <w:t>5.2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11</w:t>
      </w:r>
      <w:r>
        <w:rPr>
          <w:rFonts w:hint="eastAsia"/>
          <w:color w:val="000000" w:themeColor="text1"/>
          <w:sz w:val="24"/>
          <w:lang w:eastAsia="zh-CN"/>
          <w14:textFill>
            <w14:solidFill>
              <w14:schemeClr w14:val="tx1"/>
            </w14:solidFill>
          </w14:textFill>
        </w:rPr>
        <w:t>可知，采空区顶板埋深为0-339m，矿体部分采空区顶板埋深小于矿体导水裂缝带最大高度225m，顶板埋深0-225m的采空区其导水裂隙带最大高度可到达地表，易引发地面塌陷灾害；顶板埋深225-309m的采空区导水裂隙带最大高度不能到达地表，不易引发地面塌陷灾害。</w:t>
      </w:r>
    </w:p>
    <w:p w14:paraId="18E1D6A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生产年限</w:t>
      </w:r>
      <w:r>
        <w:rPr>
          <w:rFonts w:hint="eastAsia"/>
          <w:color w:val="000000" w:themeColor="text1"/>
          <w:sz w:val="24"/>
          <w:lang w:val="en-US" w:eastAsia="zh-CN"/>
          <w14:textFill>
            <w14:solidFill>
              <w14:schemeClr w14:val="tx1"/>
            </w14:solidFill>
          </w14:textFill>
        </w:rPr>
        <w:t>13.31</w:t>
      </w:r>
      <w:r>
        <w:rPr>
          <w:rFonts w:hint="eastAsia"/>
          <w:color w:val="000000" w:themeColor="text1"/>
          <w:sz w:val="24"/>
          <w:lang w:eastAsia="zh-CN"/>
          <w14:textFill>
            <w14:solidFill>
              <w14:schemeClr w14:val="tx1"/>
            </w14:solidFill>
          </w14:textFill>
        </w:rPr>
        <w:t>年Ⅲ号矿体导水裂隙带最大高度为151m，根据图</w:t>
      </w:r>
      <w:r>
        <w:rPr>
          <w:rFonts w:hint="eastAsia"/>
          <w:color w:val="000000" w:themeColor="text1"/>
          <w:sz w:val="24"/>
          <w:lang w:val="en-US" w:eastAsia="zh-CN"/>
          <w14:textFill>
            <w14:solidFill>
              <w14:schemeClr w14:val="tx1"/>
            </w14:solidFill>
          </w14:textFill>
        </w:rPr>
        <w:t>5.2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10</w:t>
      </w:r>
      <w:r>
        <w:rPr>
          <w:rFonts w:hint="eastAsia"/>
          <w:color w:val="000000" w:themeColor="text1"/>
          <w:sz w:val="24"/>
          <w:lang w:eastAsia="zh-CN"/>
          <w14:textFill>
            <w14:solidFill>
              <w14:schemeClr w14:val="tx1"/>
            </w14:solidFill>
          </w14:textFill>
        </w:rPr>
        <w:t>和图</w:t>
      </w:r>
      <w:r>
        <w:rPr>
          <w:rFonts w:hint="eastAsia"/>
          <w:color w:val="000000" w:themeColor="text1"/>
          <w:sz w:val="24"/>
          <w:lang w:val="en-US" w:eastAsia="zh-CN"/>
          <w14:textFill>
            <w14:solidFill>
              <w14:schemeClr w14:val="tx1"/>
            </w14:solidFill>
          </w14:textFill>
        </w:rPr>
        <w:t>5.2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11</w:t>
      </w:r>
      <w:r>
        <w:rPr>
          <w:rFonts w:hint="eastAsia"/>
          <w:color w:val="000000" w:themeColor="text1"/>
          <w:sz w:val="24"/>
          <w:lang w:eastAsia="zh-CN"/>
          <w14:textFill>
            <w14:solidFill>
              <w14:schemeClr w14:val="tx1"/>
            </w14:solidFill>
          </w14:textFill>
        </w:rPr>
        <w:t>可知，采空区顶板埋深为35-291m，矿体部分采空区顶板埋深小于矿体导水裂缝带最大高度151m，顶板埋深35-151m的采空区其导水裂隙带最大高度可到达地表，易引发地面塌陷灾害；顶板埋深151-291m的采空区导水裂隙带最大高度不能到达地表，不易引发地面塌陷灾害。</w:t>
      </w:r>
    </w:p>
    <w:p w14:paraId="0DDF1D8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生产年限</w:t>
      </w:r>
      <w:r>
        <w:rPr>
          <w:rFonts w:hint="eastAsia"/>
          <w:color w:val="000000" w:themeColor="text1"/>
          <w:sz w:val="24"/>
          <w:lang w:val="en-US" w:eastAsia="zh-CN"/>
          <w14:textFill>
            <w14:solidFill>
              <w14:schemeClr w14:val="tx1"/>
            </w14:solidFill>
          </w14:textFill>
        </w:rPr>
        <w:t>13.31</w:t>
      </w:r>
      <w:r>
        <w:rPr>
          <w:rFonts w:hint="eastAsia"/>
          <w:color w:val="000000" w:themeColor="text1"/>
          <w:sz w:val="24"/>
          <w:lang w:eastAsia="zh-CN"/>
          <w14:textFill>
            <w14:solidFill>
              <w14:schemeClr w14:val="tx1"/>
            </w14:solidFill>
          </w14:textFill>
        </w:rPr>
        <w:t>年Ⅰ-2号矿体导水裂隙带最大高度为64m。根据图</w:t>
      </w:r>
      <w:r>
        <w:rPr>
          <w:rFonts w:hint="eastAsia"/>
          <w:color w:val="000000" w:themeColor="text1"/>
          <w:sz w:val="24"/>
          <w:lang w:val="en-US" w:eastAsia="zh-CN"/>
          <w14:textFill>
            <w14:solidFill>
              <w14:schemeClr w14:val="tx1"/>
            </w14:solidFill>
          </w14:textFill>
        </w:rPr>
        <w:t>5.2-12</w:t>
      </w:r>
      <w:r>
        <w:rPr>
          <w:rFonts w:hint="eastAsia"/>
          <w:color w:val="000000" w:themeColor="text1"/>
          <w:sz w:val="24"/>
          <w:lang w:eastAsia="zh-CN"/>
          <w14:textFill>
            <w14:solidFill>
              <w14:schemeClr w14:val="tx1"/>
            </w14:solidFill>
          </w14:textFill>
        </w:rPr>
        <w:t>可知，采空区顶板埋深为194-212m，矿体采空区顶板埋深大于矿体导水裂缝带最大高度64m，其导水裂隙带最大高度不能到达地表，不易引发地面塌陷灾害。</w:t>
      </w:r>
    </w:p>
    <w:p w14:paraId="19B3D79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42FDC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261E1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E91503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60E04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83035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FAAD4E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6F903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EE9FEA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F01CAE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EFCF11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4CC32E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D0588D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4E3C43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66DEE4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E3EA76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E2821A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BBD969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0DBF6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2DA5D4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48013A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B8E880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7A3C0D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3DD564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FAE521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DF923B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13D6B8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80EED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839B7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AADAEE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08B803D">
      <w:pPr>
        <w:spacing w:line="480" w:lineRule="exact"/>
        <w:jc w:val="cente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cs="Times New Roman"/>
          <w:b/>
          <w:bCs/>
          <w:color w:val="000000" w:themeColor="text1"/>
          <w:kern w:val="0"/>
          <w:sz w:val="24"/>
          <w:szCs w:val="21"/>
          <w:lang w:val="en-US" w:eastAsia="zh-CN"/>
          <w14:textFill>
            <w14:solidFill>
              <w14:schemeClr w14:val="tx1"/>
            </w14:solidFill>
          </w14:textFill>
        </w:rPr>
        <w:t>图5.2-8</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00号线勘探线剖面计算Ⅰ-1和Ⅲ号矿体采空区、地面塌陷倾向范围示意图（近期5年）</w:t>
      </w:r>
    </w:p>
    <w:p w14:paraId="5627D6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6165B5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1483F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DAC649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C30BC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25A48F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EF1F8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EFBCD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36D307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D7473D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6E4B4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719B8B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3D65C5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C4AEA0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5C7C5D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2477D3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A7EF53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EAC3EE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88265C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42B91F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AA2344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30E12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2149F0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C0D20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9D7053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89653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2AA36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EF8A2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0FDAF6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96D3C7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6ACD4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B91C3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4A62AD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C7C83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C088F9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207FF4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DC563B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0F711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AEEEB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27504C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E169D7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A4AC205">
      <w:pPr>
        <w:spacing w:line="480" w:lineRule="exact"/>
        <w:jc w:val="center"/>
        <w:rPr>
          <w:rFonts w:hint="eastAsia"/>
          <w:color w:val="000000" w:themeColor="text1"/>
          <w:sz w:val="24"/>
          <w14:textFill>
            <w14:solidFill>
              <w14:schemeClr w14:val="tx1"/>
            </w14:solidFill>
          </w14:textFill>
        </w:rPr>
      </w:pPr>
      <w:r>
        <w:rPr>
          <w:rFonts w:hint="eastAsia" w:cs="Times New Roman"/>
          <w:b/>
          <w:bCs/>
          <w:color w:val="000000" w:themeColor="text1"/>
          <w:kern w:val="0"/>
          <w:sz w:val="24"/>
          <w:szCs w:val="21"/>
          <w:lang w:val="en-US" w:eastAsia="zh-CN"/>
          <w14:textFill>
            <w14:solidFill>
              <w14:schemeClr w14:val="tx1"/>
            </w14:solidFill>
          </w14:textFill>
        </w:rPr>
        <w:t>图5.2-9</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02号线勘探线剖面计算Ⅰ-1和Ⅲ号矿体采空区、地面塌陷倾向范围示意图（近期5年）</w:t>
      </w:r>
    </w:p>
    <w:p w14:paraId="48B0B20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532E09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DEA4ED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D36B00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137036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38C76B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43790E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9D4DC2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7C9E26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B56B40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7910C2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EC7293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C5E0AD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59BA68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1BBFF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964AD6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F9B1E0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58E8CF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28CA1B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CB7B15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F2C0E5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095151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BFBAD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0A9832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3F0D57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3059F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25D7AD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7A7A08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8F132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BAABD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361F81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BB18F3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19DCA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6B26E1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67923D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D8EFE7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779C1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974563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D4115F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64D63D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A6133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8AED6CB">
      <w:pPr>
        <w:spacing w:line="480" w:lineRule="exact"/>
        <w:jc w:val="center"/>
        <w:rPr>
          <w:rFonts w:hint="eastAsia"/>
          <w:color w:val="000000" w:themeColor="text1"/>
          <w:sz w:val="24"/>
          <w14:textFill>
            <w14:solidFill>
              <w14:schemeClr w14:val="tx1"/>
            </w14:solidFill>
          </w14:textFill>
        </w:rPr>
      </w:pPr>
      <w:r>
        <w:rPr>
          <w:rFonts w:hint="eastAsia" w:cs="Times New Roman"/>
          <w:b/>
          <w:bCs/>
          <w:color w:val="000000" w:themeColor="text1"/>
          <w:kern w:val="0"/>
          <w:sz w:val="24"/>
          <w:szCs w:val="21"/>
          <w:lang w:val="en-US" w:eastAsia="zh-CN"/>
          <w14:textFill>
            <w14:solidFill>
              <w14:schemeClr w14:val="tx1"/>
            </w14:solidFill>
          </w14:textFill>
        </w:rPr>
        <w:t>图5.2-10</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00号线勘探线剖面计算Ⅰ-1和Ⅲ号矿体采空区、地面塌陷倾向范围示意图（生产年限13.31年）</w:t>
      </w:r>
    </w:p>
    <w:p w14:paraId="6C68299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3E2A9B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660044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9ABFE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36B953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CE0BA6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FC97B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DA627A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E9551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16004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D6F0C4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06C07D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4496A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E2BCDA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27D611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7E803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64ADFC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E28A8D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B0A4B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097960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C5342D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A2DB6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A1D10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363C3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E4C810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B9421F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133D0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2AADFE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BC1FE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4947B4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646F8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75ACC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8F8EF8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29799A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790EC7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E2618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2EABA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F9A7BC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0050E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B75387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75E970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6EA731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color w:val="000000" w:themeColor="text1"/>
          <w:sz w:val="24"/>
          <w14:textFill>
            <w14:solidFill>
              <w14:schemeClr w14:val="tx1"/>
            </w14:solidFill>
          </w14:textFill>
        </w:rPr>
      </w:pPr>
      <w:r>
        <w:rPr>
          <w:rFonts w:hint="eastAsia" w:cs="Times New Roman"/>
          <w:b/>
          <w:bCs/>
          <w:color w:val="000000" w:themeColor="text1"/>
          <w:kern w:val="0"/>
          <w:sz w:val="24"/>
          <w:szCs w:val="21"/>
          <w:lang w:val="en-US" w:eastAsia="zh-CN"/>
          <w14:textFill>
            <w14:solidFill>
              <w14:schemeClr w14:val="tx1"/>
            </w14:solidFill>
          </w14:textFill>
        </w:rPr>
        <w:t>图5.2-11</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0</w:t>
      </w:r>
      <w:r>
        <w:rPr>
          <w:rFonts w:hint="eastAsia" w:cs="Times New Roman"/>
          <w:b/>
          <w:bCs/>
          <w:color w:val="000000" w:themeColor="text1"/>
          <w:kern w:val="0"/>
          <w:sz w:val="24"/>
          <w:szCs w:val="21"/>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号线勘探线剖面计算Ⅰ-1和Ⅲ号矿体采空区、地面塌陷倾向范围示意图（生产年限13.31年）</w:t>
      </w:r>
    </w:p>
    <w:p w14:paraId="348154C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342121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E92716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853C52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F65DA6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B23EDF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56B54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A52249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73C8A8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FBB813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DFFF3C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624EBB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C80BFC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D33E0D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182B54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0CB21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423DDF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60E142B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028BD0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A0DEE7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497EAA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EB138C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7A59956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B0C397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4AC81F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813C3B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555BF2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51F526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B49607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9F2E8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372932B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7AE5B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1351CB2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43544B0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524B1E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sz w:val="24"/>
          <w:lang w:eastAsia="zh-CN"/>
          <w14:textFill>
            <w14:solidFill>
              <w14:schemeClr w14:val="tx1"/>
            </w14:solidFill>
          </w14:textFill>
        </w:rPr>
      </w:pPr>
    </w:p>
    <w:p w14:paraId="2E25C93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cs="Times New Roman"/>
          <w:b/>
          <w:bCs/>
          <w:color w:val="000000" w:themeColor="text1"/>
          <w:kern w:val="0"/>
          <w:sz w:val="24"/>
          <w:szCs w:val="21"/>
          <w:lang w:val="en-US" w:eastAsia="zh-CN"/>
          <w14:textFill>
            <w14:solidFill>
              <w14:schemeClr w14:val="tx1"/>
            </w14:solidFill>
          </w14:textFill>
        </w:rPr>
        <w:t>图5.2-12</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0</w:t>
      </w:r>
      <w:r>
        <w:rPr>
          <w:rFonts w:hint="eastAsia" w:cs="Times New Roman"/>
          <w:b/>
          <w:bCs/>
          <w:color w:val="000000" w:themeColor="text1"/>
          <w:kern w:val="0"/>
          <w:sz w:val="24"/>
          <w:szCs w:val="21"/>
          <w:lang w:val="en-US" w:eastAsia="zh-CN"/>
          <w14:textFill>
            <w14:solidFill>
              <w14:schemeClr w14:val="tx1"/>
            </w14:solidFill>
          </w14:textFill>
        </w:rPr>
        <w:t>6</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号线勘探线剖面计算Ⅰ-</w:t>
      </w:r>
      <w:r>
        <w:rPr>
          <w:rFonts w:hint="eastAsia" w:cs="Times New Roman"/>
          <w:b/>
          <w:bCs/>
          <w:color w:val="000000" w:themeColor="text1"/>
          <w:kern w:val="0"/>
          <w:sz w:val="24"/>
          <w:szCs w:val="21"/>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号矿体采空区倾向范围示意图</w:t>
      </w:r>
    </w:p>
    <w:p w14:paraId="4D05E57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（生产年限13.31年）</w:t>
      </w:r>
    </w:p>
    <w:p w14:paraId="65FBAB3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②地面塌陷范围圈定</w:t>
      </w:r>
    </w:p>
    <w:p w14:paraId="79586F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根据移动盆地理论及开发利用方案中的成果，岩石移动角确定为：下盘岩石移动角为65°、上盘岩石移动角65°、端部岩石移动角70°。按照移动距离与采深之比为移动角余切的三角函数关系在剖面图上圈定易产生地面塌陷范围。</w:t>
      </w:r>
    </w:p>
    <w:p w14:paraId="641F53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近期5年内各时段勘探线处地面塌陷倾向宽度见表</w:t>
      </w:r>
      <w:r>
        <w:rPr>
          <w:rFonts w:hint="eastAsia"/>
          <w:color w:val="000000" w:themeColor="text1"/>
          <w:sz w:val="24"/>
          <w:lang w:val="en-US" w:eastAsia="zh-CN"/>
          <w14:textFill>
            <w14:solidFill>
              <w14:schemeClr w14:val="tx1"/>
            </w14:solidFill>
          </w14:textFill>
        </w:rPr>
        <w:t>5.2-34</w:t>
      </w:r>
      <w:r>
        <w:rPr>
          <w:rFonts w:hint="eastAsia" w:eastAsia="宋体"/>
          <w:color w:val="000000" w:themeColor="text1"/>
          <w:sz w:val="24"/>
          <w:lang w:val="en-US" w:eastAsia="zh-CN"/>
          <w14:textFill>
            <w14:solidFill>
              <w14:schemeClr w14:val="tx1"/>
            </w14:solidFill>
          </w14:textFill>
        </w:rPr>
        <w:t>；生产年限13.31年内各时段勘探线处地面塌陷倾向宽度见表</w:t>
      </w:r>
      <w:r>
        <w:rPr>
          <w:rFonts w:hint="eastAsia"/>
          <w:color w:val="000000" w:themeColor="text1"/>
          <w:sz w:val="24"/>
          <w:lang w:val="en-US" w:eastAsia="zh-CN"/>
          <w14:textFill>
            <w14:solidFill>
              <w14:schemeClr w14:val="tx1"/>
            </w14:solidFill>
          </w14:textFill>
        </w:rPr>
        <w:t>5.2-35</w:t>
      </w:r>
      <w:r>
        <w:rPr>
          <w:rFonts w:hint="eastAsia" w:eastAsia="宋体"/>
          <w:color w:val="000000" w:themeColor="text1"/>
          <w:sz w:val="24"/>
          <w:lang w:val="en-US" w:eastAsia="zh-CN"/>
          <w14:textFill>
            <w14:solidFill>
              <w14:schemeClr w14:val="tx1"/>
            </w14:solidFill>
          </w14:textFill>
        </w:rPr>
        <w:t>。</w:t>
      </w:r>
    </w:p>
    <w:p w14:paraId="0235BA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val="en-US" w:eastAsia="zh-CN"/>
          <w14:textFill>
            <w14:solidFill>
              <w14:schemeClr w14:val="tx1"/>
            </w14:solidFill>
          </w14:textFill>
        </w:rPr>
      </w:pPr>
    </w:p>
    <w:p w14:paraId="295AE83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val="en-US" w:eastAsia="zh-CN"/>
          <w14:textFill>
            <w14:solidFill>
              <w14:schemeClr w14:val="tx1"/>
            </w14:solidFill>
          </w14:textFill>
        </w:rPr>
      </w:pPr>
    </w:p>
    <w:p w14:paraId="36369A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val="en-US" w:eastAsia="zh-CN"/>
          <w14:textFill>
            <w14:solidFill>
              <w14:schemeClr w14:val="tx1"/>
            </w14:solidFill>
          </w14:textFill>
        </w:rPr>
      </w:pPr>
    </w:p>
    <w:p w14:paraId="699FD88E">
      <w:pPr>
        <w:spacing w:line="480" w:lineRule="exact"/>
        <w:jc w:val="cente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表</w:t>
      </w:r>
      <w:r>
        <w:rPr>
          <w:rFonts w:hint="eastAsia" w:cs="Times New Roman"/>
          <w:b/>
          <w:bCs/>
          <w:color w:val="000000" w:themeColor="text1"/>
          <w:kern w:val="0"/>
          <w:sz w:val="24"/>
          <w:szCs w:val="21"/>
          <w:lang w:val="en-US" w:eastAsia="zh-CN"/>
          <w14:textFill>
            <w14:solidFill>
              <w14:schemeClr w14:val="tx1"/>
            </w14:solidFill>
          </w14:textFill>
        </w:rPr>
        <w:t>5.2-34</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近期5年内各勘探线处拟采空区及预测地面塌陷倾向宽度</w:t>
      </w:r>
    </w:p>
    <w:tbl>
      <w:tblPr>
        <w:tblStyle w:val="79"/>
        <w:tblW w:w="47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28"/>
        <w:gridCol w:w="1205"/>
        <w:gridCol w:w="2733"/>
        <w:gridCol w:w="3295"/>
      </w:tblGrid>
      <w:tr w14:paraId="5FFD45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928" w:type="dxa"/>
            <w:tcBorders>
              <w:tl2br w:val="nil"/>
              <w:tr2bl w:val="nil"/>
            </w:tcBorders>
            <w:noWrap w:val="0"/>
            <w:vAlign w:val="center"/>
          </w:tcPr>
          <w:p w14:paraId="5A64F77E">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矿体</w:t>
            </w:r>
          </w:p>
          <w:p w14:paraId="389CCD3B">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1205" w:type="dxa"/>
            <w:tcBorders>
              <w:tl2br w:val="nil"/>
              <w:tr2bl w:val="nil"/>
            </w:tcBorders>
            <w:noWrap w:val="0"/>
            <w:vAlign w:val="center"/>
          </w:tcPr>
          <w:p w14:paraId="416B38E5">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勘探线</w:t>
            </w:r>
          </w:p>
        </w:tc>
        <w:tc>
          <w:tcPr>
            <w:tcW w:w="2733" w:type="dxa"/>
            <w:tcBorders>
              <w:tl2br w:val="nil"/>
              <w:tr2bl w:val="nil"/>
            </w:tcBorders>
            <w:noWrap w:val="0"/>
            <w:vAlign w:val="center"/>
          </w:tcPr>
          <w:p w14:paraId="7F65B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拟采空区地面投影宽度</w:t>
            </w:r>
          </w:p>
          <w:p w14:paraId="7D028E0C">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（倾向方向）（</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3295" w:type="dxa"/>
            <w:tcBorders>
              <w:tl2br w:val="nil"/>
              <w:tr2bl w:val="nil"/>
            </w:tcBorders>
            <w:noWrap w:val="0"/>
            <w:vAlign w:val="center"/>
          </w:tcPr>
          <w:p w14:paraId="51B10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预测地面塌陷地面投影宽度</w:t>
            </w:r>
          </w:p>
          <w:p w14:paraId="61E5A40A">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（倾向方向）（</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14:paraId="0393AA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8" w:type="dxa"/>
            <w:vMerge w:val="restart"/>
            <w:tcBorders>
              <w:tl2br w:val="nil"/>
              <w:tr2bl w:val="nil"/>
            </w:tcBorders>
            <w:noWrap/>
            <w:vAlign w:val="center"/>
          </w:tcPr>
          <w:p w14:paraId="5F378D48">
            <w:pPr>
              <w:pStyle w:val="101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Ⅰ-1</w:t>
            </w:r>
          </w:p>
        </w:tc>
        <w:tc>
          <w:tcPr>
            <w:tcW w:w="1205" w:type="dxa"/>
            <w:tcBorders>
              <w:tl2br w:val="nil"/>
              <w:tr2bl w:val="nil"/>
            </w:tcBorders>
            <w:noWrap/>
            <w:vAlign w:val="center"/>
          </w:tcPr>
          <w:p w14:paraId="28314DB6">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p>
        </w:tc>
        <w:tc>
          <w:tcPr>
            <w:tcW w:w="2733" w:type="dxa"/>
            <w:tcBorders>
              <w:tl2br w:val="nil"/>
              <w:tr2bl w:val="nil"/>
            </w:tcBorders>
            <w:noWrap w:val="0"/>
            <w:vAlign w:val="center"/>
          </w:tcPr>
          <w:p w14:paraId="76680F63">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w:t>
            </w:r>
          </w:p>
        </w:tc>
        <w:tc>
          <w:tcPr>
            <w:tcW w:w="3295" w:type="dxa"/>
            <w:tcBorders>
              <w:tl2br w:val="nil"/>
              <w:tr2bl w:val="nil"/>
            </w:tcBorders>
            <w:noWrap w:val="0"/>
            <w:vAlign w:val="center"/>
          </w:tcPr>
          <w:p w14:paraId="0AB53644">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134</w:t>
            </w:r>
          </w:p>
        </w:tc>
      </w:tr>
      <w:tr w14:paraId="4C30E6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8" w:type="dxa"/>
            <w:vMerge w:val="continue"/>
            <w:tcBorders>
              <w:tl2br w:val="nil"/>
              <w:tr2bl w:val="nil"/>
            </w:tcBorders>
            <w:noWrap/>
            <w:vAlign w:val="center"/>
          </w:tcPr>
          <w:p w14:paraId="7C9489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05" w:type="dxa"/>
            <w:tcBorders>
              <w:tl2br w:val="nil"/>
              <w:tr2bl w:val="nil"/>
            </w:tcBorders>
            <w:noWrap/>
            <w:vAlign w:val="center"/>
          </w:tcPr>
          <w:p w14:paraId="175B0EC0">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2733" w:type="dxa"/>
            <w:tcBorders>
              <w:tl2br w:val="nil"/>
              <w:tr2bl w:val="nil"/>
            </w:tcBorders>
            <w:noWrap w:val="0"/>
            <w:vAlign w:val="center"/>
          </w:tcPr>
          <w:p w14:paraId="265E2A9D">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3295" w:type="dxa"/>
            <w:tcBorders>
              <w:tl2br w:val="nil"/>
              <w:tr2bl w:val="nil"/>
            </w:tcBorders>
            <w:noWrap w:val="0"/>
            <w:vAlign w:val="center"/>
          </w:tcPr>
          <w:p w14:paraId="4A82A1D7">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109</w:t>
            </w:r>
          </w:p>
        </w:tc>
      </w:tr>
      <w:tr w14:paraId="7D6919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8" w:type="dxa"/>
            <w:vMerge w:val="restart"/>
            <w:tcBorders>
              <w:tl2br w:val="nil"/>
              <w:tr2bl w:val="nil"/>
            </w:tcBorders>
            <w:noWrap/>
            <w:vAlign w:val="center"/>
          </w:tcPr>
          <w:p w14:paraId="34E3847A">
            <w:pPr>
              <w:pStyle w:val="101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Ⅲ</w:t>
            </w:r>
          </w:p>
        </w:tc>
        <w:tc>
          <w:tcPr>
            <w:tcW w:w="1205" w:type="dxa"/>
            <w:tcBorders>
              <w:tl2br w:val="nil"/>
              <w:tr2bl w:val="nil"/>
            </w:tcBorders>
            <w:noWrap/>
            <w:vAlign w:val="center"/>
          </w:tcPr>
          <w:p w14:paraId="44D98E10">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p>
        </w:tc>
        <w:tc>
          <w:tcPr>
            <w:tcW w:w="2733" w:type="dxa"/>
            <w:tcBorders>
              <w:tl2br w:val="nil"/>
              <w:tr2bl w:val="nil"/>
            </w:tcBorders>
            <w:noWrap w:val="0"/>
            <w:vAlign w:val="center"/>
          </w:tcPr>
          <w:p w14:paraId="79D21CBE">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3295" w:type="dxa"/>
            <w:tcBorders>
              <w:tl2br w:val="nil"/>
              <w:tr2bl w:val="nil"/>
            </w:tcBorders>
            <w:noWrap w:val="0"/>
            <w:vAlign w:val="center"/>
          </w:tcPr>
          <w:p w14:paraId="76ACEFE7">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w:t>
            </w:r>
          </w:p>
        </w:tc>
      </w:tr>
      <w:tr w14:paraId="523A5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28" w:type="dxa"/>
            <w:vMerge w:val="continue"/>
            <w:tcBorders>
              <w:tl2br w:val="nil"/>
              <w:tr2bl w:val="nil"/>
            </w:tcBorders>
            <w:noWrap/>
            <w:vAlign w:val="center"/>
          </w:tcPr>
          <w:p w14:paraId="66FAC2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05" w:type="dxa"/>
            <w:tcBorders>
              <w:tl2br w:val="nil"/>
              <w:tr2bl w:val="nil"/>
            </w:tcBorders>
            <w:noWrap/>
            <w:vAlign w:val="center"/>
          </w:tcPr>
          <w:p w14:paraId="3E02B705">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2733" w:type="dxa"/>
            <w:tcBorders>
              <w:tl2br w:val="nil"/>
              <w:tr2bl w:val="nil"/>
            </w:tcBorders>
            <w:noWrap w:val="0"/>
            <w:vAlign w:val="center"/>
          </w:tcPr>
          <w:p w14:paraId="74384EF0">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w:t>
            </w:r>
          </w:p>
        </w:tc>
        <w:tc>
          <w:tcPr>
            <w:tcW w:w="3295" w:type="dxa"/>
            <w:tcBorders>
              <w:tl2br w:val="nil"/>
              <w:tr2bl w:val="nil"/>
            </w:tcBorders>
            <w:noWrap w:val="0"/>
            <w:vAlign w:val="center"/>
          </w:tcPr>
          <w:p w14:paraId="4FDA25C2">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w:t>
            </w:r>
          </w:p>
        </w:tc>
      </w:tr>
    </w:tbl>
    <w:p w14:paraId="4AA18111">
      <w:pPr>
        <w:spacing w:line="480" w:lineRule="exact"/>
        <w:jc w:val="cente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表</w:t>
      </w:r>
      <w:r>
        <w:rPr>
          <w:rFonts w:hint="eastAsia" w:cs="Times New Roman"/>
          <w:b/>
          <w:bCs/>
          <w:color w:val="000000" w:themeColor="text1"/>
          <w:kern w:val="0"/>
          <w:sz w:val="24"/>
          <w:szCs w:val="21"/>
          <w:lang w:val="en-US" w:eastAsia="zh-CN"/>
          <w14:textFill>
            <w14:solidFill>
              <w14:schemeClr w14:val="tx1"/>
            </w14:solidFill>
          </w14:textFill>
        </w:rPr>
        <w:t>5.2-35</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生产年限13.31年内各勘探线处拟采空区及预测地面塌陷倾向宽度</w:t>
      </w:r>
    </w:p>
    <w:tbl>
      <w:tblPr>
        <w:tblStyle w:val="79"/>
        <w:tblW w:w="482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227"/>
        <w:gridCol w:w="2760"/>
        <w:gridCol w:w="3297"/>
      </w:tblGrid>
      <w:tr w14:paraId="5729AB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tcBorders>
              <w:tl2br w:val="nil"/>
              <w:tr2bl w:val="nil"/>
            </w:tcBorders>
            <w:noWrap w:val="0"/>
            <w:vAlign w:val="center"/>
          </w:tcPr>
          <w:p w14:paraId="209244A5">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矿体</w:t>
            </w:r>
          </w:p>
          <w:p w14:paraId="2E2E004E">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1227" w:type="dxa"/>
            <w:tcBorders>
              <w:tl2br w:val="nil"/>
              <w:tr2bl w:val="nil"/>
            </w:tcBorders>
            <w:noWrap w:val="0"/>
            <w:vAlign w:val="center"/>
          </w:tcPr>
          <w:p w14:paraId="53248C37">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勘探线</w:t>
            </w:r>
          </w:p>
        </w:tc>
        <w:tc>
          <w:tcPr>
            <w:tcW w:w="2760" w:type="dxa"/>
            <w:tcBorders>
              <w:tl2br w:val="nil"/>
              <w:tr2bl w:val="nil"/>
            </w:tcBorders>
            <w:noWrap w:val="0"/>
            <w:vAlign w:val="center"/>
          </w:tcPr>
          <w:p w14:paraId="4D06E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拟采空区地面投影宽度</w:t>
            </w:r>
          </w:p>
          <w:p w14:paraId="10C63EA9">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（倾向方向）（</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3297" w:type="dxa"/>
            <w:tcBorders>
              <w:tl2br w:val="nil"/>
              <w:tr2bl w:val="nil"/>
            </w:tcBorders>
            <w:noWrap w:val="0"/>
            <w:vAlign w:val="center"/>
          </w:tcPr>
          <w:p w14:paraId="105E0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预测地面塌陷地面投影宽度</w:t>
            </w:r>
          </w:p>
          <w:p w14:paraId="03FA9784">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（倾向方向）（</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14:paraId="459241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Merge w:val="restart"/>
            <w:tcBorders>
              <w:tl2br w:val="nil"/>
              <w:tr2bl w:val="nil"/>
            </w:tcBorders>
            <w:noWrap/>
            <w:vAlign w:val="center"/>
          </w:tcPr>
          <w:p w14:paraId="0EE5EBF0">
            <w:pPr>
              <w:pStyle w:val="101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Ⅰ-1</w:t>
            </w:r>
          </w:p>
        </w:tc>
        <w:tc>
          <w:tcPr>
            <w:tcW w:w="1227" w:type="dxa"/>
            <w:tcBorders>
              <w:tl2br w:val="nil"/>
              <w:tr2bl w:val="nil"/>
            </w:tcBorders>
            <w:noWrap/>
            <w:vAlign w:val="center"/>
          </w:tcPr>
          <w:p w14:paraId="234D6071">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p>
        </w:tc>
        <w:tc>
          <w:tcPr>
            <w:tcW w:w="2760" w:type="dxa"/>
            <w:tcBorders>
              <w:tl2br w:val="nil"/>
              <w:tr2bl w:val="nil"/>
            </w:tcBorders>
            <w:noWrap w:val="0"/>
            <w:vAlign w:val="center"/>
          </w:tcPr>
          <w:p w14:paraId="0752ACB9">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w:t>
            </w:r>
          </w:p>
        </w:tc>
        <w:tc>
          <w:tcPr>
            <w:tcW w:w="3297" w:type="dxa"/>
            <w:tcBorders>
              <w:tl2br w:val="nil"/>
              <w:tr2bl w:val="nil"/>
            </w:tcBorders>
            <w:noWrap w:val="0"/>
            <w:vAlign w:val="center"/>
          </w:tcPr>
          <w:p w14:paraId="39BD2D38">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177</w:t>
            </w:r>
          </w:p>
        </w:tc>
      </w:tr>
      <w:tr w14:paraId="7D1039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Merge w:val="continue"/>
            <w:tcBorders>
              <w:tl2br w:val="nil"/>
              <w:tr2bl w:val="nil"/>
            </w:tcBorders>
            <w:noWrap/>
            <w:vAlign w:val="center"/>
          </w:tcPr>
          <w:p w14:paraId="7193DE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27" w:type="dxa"/>
            <w:tcBorders>
              <w:tl2br w:val="nil"/>
              <w:tr2bl w:val="nil"/>
            </w:tcBorders>
            <w:noWrap/>
            <w:vAlign w:val="center"/>
          </w:tcPr>
          <w:p w14:paraId="0E0B155A">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2760" w:type="dxa"/>
            <w:tcBorders>
              <w:tl2br w:val="nil"/>
              <w:tr2bl w:val="nil"/>
            </w:tcBorders>
            <w:noWrap w:val="0"/>
            <w:vAlign w:val="center"/>
          </w:tcPr>
          <w:p w14:paraId="653CB8A6">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3297" w:type="dxa"/>
            <w:tcBorders>
              <w:tl2br w:val="nil"/>
              <w:tr2bl w:val="nil"/>
            </w:tcBorders>
            <w:noWrap w:val="0"/>
            <w:vAlign w:val="center"/>
          </w:tcPr>
          <w:p w14:paraId="655D6D2F">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109</w:t>
            </w:r>
          </w:p>
        </w:tc>
      </w:tr>
      <w:tr w14:paraId="280FF3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Merge w:val="restart"/>
            <w:tcBorders>
              <w:tl2br w:val="nil"/>
              <w:tr2bl w:val="nil"/>
            </w:tcBorders>
            <w:noWrap/>
            <w:vAlign w:val="center"/>
          </w:tcPr>
          <w:p w14:paraId="7418A8EA">
            <w:pPr>
              <w:pStyle w:val="101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Ⅲ</w:t>
            </w:r>
          </w:p>
        </w:tc>
        <w:tc>
          <w:tcPr>
            <w:tcW w:w="1227" w:type="dxa"/>
            <w:tcBorders>
              <w:tl2br w:val="nil"/>
              <w:tr2bl w:val="nil"/>
            </w:tcBorders>
            <w:noWrap/>
            <w:vAlign w:val="center"/>
          </w:tcPr>
          <w:p w14:paraId="7D2FA207">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p>
        </w:tc>
        <w:tc>
          <w:tcPr>
            <w:tcW w:w="2760" w:type="dxa"/>
            <w:tcBorders>
              <w:tl2br w:val="nil"/>
              <w:tr2bl w:val="nil"/>
            </w:tcBorders>
            <w:noWrap w:val="0"/>
            <w:vAlign w:val="center"/>
          </w:tcPr>
          <w:p w14:paraId="516362A3">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w:t>
            </w:r>
          </w:p>
        </w:tc>
        <w:tc>
          <w:tcPr>
            <w:tcW w:w="3297" w:type="dxa"/>
            <w:tcBorders>
              <w:tl2br w:val="nil"/>
              <w:tr2bl w:val="nil"/>
            </w:tcBorders>
            <w:noWrap w:val="0"/>
            <w:vAlign w:val="center"/>
          </w:tcPr>
          <w:p w14:paraId="7EF21FDD">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w:t>
            </w:r>
          </w:p>
        </w:tc>
      </w:tr>
      <w:tr w14:paraId="3EAF70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Merge w:val="continue"/>
            <w:tcBorders>
              <w:tl2br w:val="nil"/>
              <w:tr2bl w:val="nil"/>
            </w:tcBorders>
            <w:noWrap/>
            <w:vAlign w:val="center"/>
          </w:tcPr>
          <w:p w14:paraId="3D6D66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27" w:type="dxa"/>
            <w:tcBorders>
              <w:tl2br w:val="nil"/>
              <w:tr2bl w:val="nil"/>
            </w:tcBorders>
            <w:noWrap/>
            <w:vAlign w:val="center"/>
          </w:tcPr>
          <w:p w14:paraId="7DF18DFD">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2760" w:type="dxa"/>
            <w:tcBorders>
              <w:tl2br w:val="nil"/>
              <w:tr2bl w:val="nil"/>
            </w:tcBorders>
            <w:noWrap w:val="0"/>
            <w:vAlign w:val="center"/>
          </w:tcPr>
          <w:p w14:paraId="38FD2AAB">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3297" w:type="dxa"/>
            <w:tcBorders>
              <w:tl2br w:val="nil"/>
              <w:tr2bl w:val="nil"/>
            </w:tcBorders>
            <w:noWrap w:val="0"/>
            <w:vAlign w:val="center"/>
          </w:tcPr>
          <w:p w14:paraId="5CBBD171">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w:t>
            </w:r>
          </w:p>
        </w:tc>
      </w:tr>
      <w:tr w14:paraId="111CD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tcBorders>
              <w:tl2br w:val="nil"/>
              <w:tr2bl w:val="nil"/>
            </w:tcBorders>
            <w:noWrap/>
            <w:vAlign w:val="center"/>
          </w:tcPr>
          <w:p w14:paraId="46E06D9D">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Ⅰ-2</w:t>
            </w:r>
          </w:p>
        </w:tc>
        <w:tc>
          <w:tcPr>
            <w:tcW w:w="1227" w:type="dxa"/>
            <w:tcBorders>
              <w:tl2br w:val="nil"/>
              <w:tr2bl w:val="nil"/>
            </w:tcBorders>
            <w:noWrap/>
            <w:vAlign w:val="center"/>
          </w:tcPr>
          <w:p w14:paraId="2852F5DE">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w:t>
            </w:r>
          </w:p>
        </w:tc>
        <w:tc>
          <w:tcPr>
            <w:tcW w:w="2760" w:type="dxa"/>
            <w:tcBorders>
              <w:tl2br w:val="nil"/>
              <w:tr2bl w:val="nil"/>
            </w:tcBorders>
            <w:noWrap w:val="0"/>
            <w:vAlign w:val="center"/>
          </w:tcPr>
          <w:p w14:paraId="14E6B11A">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w:t>
            </w:r>
          </w:p>
        </w:tc>
        <w:tc>
          <w:tcPr>
            <w:tcW w:w="3297" w:type="dxa"/>
            <w:tcBorders>
              <w:tl2br w:val="nil"/>
              <w:tr2bl w:val="nil"/>
            </w:tcBorders>
            <w:noWrap w:val="0"/>
            <w:vAlign w:val="center"/>
          </w:tcPr>
          <w:p w14:paraId="273B2509">
            <w:pPr>
              <w:pStyle w:val="101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不易引发地面塌陷灾害</w:t>
            </w:r>
          </w:p>
        </w:tc>
      </w:tr>
    </w:tbl>
    <w:p w14:paraId="791A1C2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近期5年内矿体的地面塌陷走向宽度计算结果见表</w:t>
      </w:r>
      <w:r>
        <w:rPr>
          <w:rFonts w:hint="eastAsia"/>
          <w:color w:val="000000" w:themeColor="text1"/>
          <w:sz w:val="24"/>
          <w:lang w:val="en-US" w:eastAsia="zh-CN"/>
          <w14:textFill>
            <w14:solidFill>
              <w14:schemeClr w14:val="tx1"/>
            </w14:solidFill>
          </w14:textFill>
        </w:rPr>
        <w:t>5.2-36</w:t>
      </w:r>
      <w:r>
        <w:rPr>
          <w:rFonts w:hint="eastAsia"/>
          <w:color w:val="000000" w:themeColor="text1"/>
          <w:sz w:val="24"/>
          <w14:textFill>
            <w14:solidFill>
              <w14:schemeClr w14:val="tx1"/>
            </w14:solidFill>
          </w14:textFill>
        </w:rPr>
        <w:t>；生产期</w:t>
      </w:r>
      <w:r>
        <w:rPr>
          <w:rFonts w:hint="eastAsia"/>
          <w:color w:val="000000" w:themeColor="text1"/>
          <w:sz w:val="24"/>
          <w:lang w:eastAsia="zh-CN"/>
          <w14:textFill>
            <w14:solidFill>
              <w14:schemeClr w14:val="tx1"/>
            </w14:solidFill>
          </w14:textFill>
        </w:rPr>
        <w:t>13.31</w:t>
      </w:r>
      <w:r>
        <w:rPr>
          <w:rFonts w:hint="eastAsia"/>
          <w:color w:val="000000" w:themeColor="text1"/>
          <w:sz w:val="24"/>
          <w14:textFill>
            <w14:solidFill>
              <w14:schemeClr w14:val="tx1"/>
            </w14:solidFill>
          </w14:textFill>
        </w:rPr>
        <w:t>年内矿体的地面塌陷走向宽度计算结果见表</w:t>
      </w:r>
      <w:r>
        <w:rPr>
          <w:rFonts w:hint="eastAsia"/>
          <w:color w:val="000000" w:themeColor="text1"/>
          <w:sz w:val="24"/>
          <w:lang w:val="en-US" w:eastAsia="zh-CN"/>
          <w14:textFill>
            <w14:solidFill>
              <w14:schemeClr w14:val="tx1"/>
            </w14:solidFill>
          </w14:textFill>
        </w:rPr>
        <w:t>5.2-37</w:t>
      </w:r>
      <w:r>
        <w:rPr>
          <w:rFonts w:hint="eastAsia"/>
          <w:color w:val="000000" w:themeColor="text1"/>
          <w:sz w:val="24"/>
          <w:lang w:eastAsia="zh-CN"/>
          <w14:textFill>
            <w14:solidFill>
              <w14:schemeClr w14:val="tx1"/>
            </w14:solidFill>
          </w14:textFill>
        </w:rPr>
        <w:t>。</w:t>
      </w:r>
    </w:p>
    <w:p w14:paraId="0B2FC931">
      <w:pPr>
        <w:spacing w:line="480" w:lineRule="exact"/>
        <w:jc w:val="cente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表</w:t>
      </w:r>
      <w:r>
        <w:rPr>
          <w:rFonts w:hint="eastAsia" w:cs="Times New Roman"/>
          <w:b/>
          <w:bCs/>
          <w:color w:val="000000" w:themeColor="text1"/>
          <w:kern w:val="0"/>
          <w:sz w:val="24"/>
          <w:szCs w:val="21"/>
          <w:lang w:val="en-US" w:eastAsia="zh-CN"/>
          <w14:textFill>
            <w14:solidFill>
              <w14:schemeClr w14:val="tx1"/>
            </w14:solidFill>
          </w14:textFill>
        </w:rPr>
        <w:t>5.2-36</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近期5年各矿体地面塌陷走向方向移动范围计算结果表</w:t>
      </w:r>
    </w:p>
    <w:tbl>
      <w:tblPr>
        <w:tblStyle w:val="79"/>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604"/>
        <w:gridCol w:w="2069"/>
        <w:gridCol w:w="1130"/>
        <w:gridCol w:w="2246"/>
      </w:tblGrid>
      <w:tr w14:paraId="4E0A6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tcBorders>
              <w:tl2br w:val="nil"/>
              <w:tr2bl w:val="nil"/>
            </w:tcBorders>
            <w:noWrap w:val="0"/>
            <w:vAlign w:val="center"/>
          </w:tcPr>
          <w:p w14:paraId="5FD90A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矿体编号</w:t>
            </w:r>
          </w:p>
        </w:tc>
        <w:tc>
          <w:tcPr>
            <w:tcW w:w="1604" w:type="dxa"/>
            <w:tcBorders>
              <w:tl2br w:val="nil"/>
              <w:tr2bl w:val="nil"/>
            </w:tcBorders>
            <w:noWrap w:val="0"/>
            <w:vAlign w:val="center"/>
          </w:tcPr>
          <w:p w14:paraId="45B3FD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走向采深</w:t>
            </w:r>
          </w:p>
          <w:p w14:paraId="47D0D8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（270°）</w:t>
            </w:r>
          </w:p>
        </w:tc>
        <w:tc>
          <w:tcPr>
            <w:tcW w:w="2069" w:type="dxa"/>
            <w:tcBorders>
              <w:tl2br w:val="nil"/>
              <w:tr2bl w:val="nil"/>
            </w:tcBorders>
            <w:noWrap w:val="0"/>
            <w:vAlign w:val="center"/>
          </w:tcPr>
          <w:p w14:paraId="4EE314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走向方向移动范围</w:t>
            </w:r>
          </w:p>
          <w:p w14:paraId="03BC10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130" w:type="dxa"/>
            <w:tcBorders>
              <w:tl2br w:val="nil"/>
              <w:tr2bl w:val="nil"/>
            </w:tcBorders>
            <w:noWrap w:val="0"/>
            <w:vAlign w:val="center"/>
          </w:tcPr>
          <w:p w14:paraId="439AC7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走向采深</w:t>
            </w:r>
          </w:p>
          <w:p w14:paraId="1E24BA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（90°）</w:t>
            </w:r>
          </w:p>
        </w:tc>
        <w:tc>
          <w:tcPr>
            <w:tcW w:w="2246" w:type="dxa"/>
            <w:tcBorders>
              <w:tl2br w:val="nil"/>
              <w:tr2bl w:val="nil"/>
            </w:tcBorders>
            <w:noWrap w:val="0"/>
            <w:vAlign w:val="center"/>
          </w:tcPr>
          <w:p w14:paraId="3E2698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走向方向移动范围</w:t>
            </w:r>
          </w:p>
          <w:p w14:paraId="249F99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14:paraId="483FC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tcBorders>
              <w:tl2br w:val="nil"/>
              <w:tr2bl w:val="nil"/>
            </w:tcBorders>
            <w:noWrap w:val="0"/>
            <w:vAlign w:val="center"/>
          </w:tcPr>
          <w:p w14:paraId="428B30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Ⅰ-1</w:t>
            </w:r>
          </w:p>
        </w:tc>
        <w:tc>
          <w:tcPr>
            <w:tcW w:w="1604" w:type="dxa"/>
            <w:tcBorders>
              <w:tl2br w:val="nil"/>
              <w:tr2bl w:val="nil"/>
            </w:tcBorders>
            <w:noWrap w:val="0"/>
            <w:vAlign w:val="center"/>
          </w:tcPr>
          <w:p w14:paraId="4A7890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w:t>
            </w:r>
          </w:p>
        </w:tc>
        <w:tc>
          <w:tcPr>
            <w:tcW w:w="2069" w:type="dxa"/>
            <w:tcBorders>
              <w:tl2br w:val="nil"/>
              <w:tr2bl w:val="nil"/>
            </w:tcBorders>
            <w:noWrap w:val="0"/>
            <w:vAlign w:val="center"/>
          </w:tcPr>
          <w:p w14:paraId="006CC8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36.72</w:t>
            </w:r>
          </w:p>
        </w:tc>
        <w:tc>
          <w:tcPr>
            <w:tcW w:w="1130" w:type="dxa"/>
            <w:tcBorders>
              <w:tl2br w:val="nil"/>
              <w:tr2bl w:val="nil"/>
            </w:tcBorders>
            <w:noWrap w:val="0"/>
            <w:vAlign w:val="center"/>
          </w:tcPr>
          <w:p w14:paraId="0D9613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158</w:t>
            </w:r>
          </w:p>
        </w:tc>
        <w:tc>
          <w:tcPr>
            <w:tcW w:w="2246" w:type="dxa"/>
            <w:tcBorders>
              <w:tl2br w:val="nil"/>
              <w:tr2bl w:val="nil"/>
            </w:tcBorders>
            <w:noWrap w:val="0"/>
            <w:vAlign w:val="center"/>
          </w:tcPr>
          <w:p w14:paraId="3D5D15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56.88</w:t>
            </w:r>
          </w:p>
        </w:tc>
      </w:tr>
      <w:tr w14:paraId="1CAAF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tcBorders>
              <w:tl2br w:val="nil"/>
              <w:tr2bl w:val="nil"/>
            </w:tcBorders>
            <w:noWrap w:val="0"/>
            <w:vAlign w:val="center"/>
          </w:tcPr>
          <w:p w14:paraId="75963E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w:t>
            </w:r>
          </w:p>
        </w:tc>
        <w:tc>
          <w:tcPr>
            <w:tcW w:w="1604" w:type="dxa"/>
            <w:tcBorders>
              <w:tl2br w:val="nil"/>
              <w:tr2bl w:val="nil"/>
            </w:tcBorders>
            <w:noWrap w:val="0"/>
            <w:vAlign w:val="center"/>
          </w:tcPr>
          <w:p w14:paraId="3C6CB0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w:t>
            </w:r>
          </w:p>
        </w:tc>
        <w:tc>
          <w:tcPr>
            <w:tcW w:w="2069" w:type="dxa"/>
            <w:tcBorders>
              <w:tl2br w:val="nil"/>
              <w:tr2bl w:val="nil"/>
            </w:tcBorders>
            <w:noWrap w:val="0"/>
            <w:vAlign w:val="center"/>
          </w:tcPr>
          <w:p w14:paraId="6A5416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55.8</w:t>
            </w:r>
          </w:p>
        </w:tc>
        <w:tc>
          <w:tcPr>
            <w:tcW w:w="1130" w:type="dxa"/>
            <w:tcBorders>
              <w:tl2br w:val="nil"/>
              <w:tr2bl w:val="nil"/>
            </w:tcBorders>
            <w:noWrap w:val="0"/>
            <w:vAlign w:val="center"/>
          </w:tcPr>
          <w:p w14:paraId="5585D4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158</w:t>
            </w:r>
          </w:p>
        </w:tc>
        <w:tc>
          <w:tcPr>
            <w:tcW w:w="2246" w:type="dxa"/>
            <w:tcBorders>
              <w:tl2br w:val="nil"/>
              <w:tr2bl w:val="nil"/>
            </w:tcBorders>
            <w:noWrap w:val="0"/>
            <w:vAlign w:val="center"/>
          </w:tcPr>
          <w:p w14:paraId="57FE6E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56.88</w:t>
            </w:r>
          </w:p>
        </w:tc>
      </w:tr>
    </w:tbl>
    <w:p w14:paraId="1C581F74">
      <w:pPr>
        <w:spacing w:line="480" w:lineRule="exact"/>
        <w:jc w:val="cente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表</w:t>
      </w:r>
      <w:r>
        <w:rPr>
          <w:rFonts w:hint="eastAsia" w:cs="Times New Roman"/>
          <w:b/>
          <w:bCs/>
          <w:color w:val="000000" w:themeColor="text1"/>
          <w:kern w:val="0"/>
          <w:sz w:val="24"/>
          <w:szCs w:val="21"/>
          <w:lang w:val="en-US" w:eastAsia="zh-CN"/>
          <w14:textFill>
            <w14:solidFill>
              <w14:schemeClr w14:val="tx1"/>
            </w14:solidFill>
          </w14:textFill>
        </w:rPr>
        <w:t xml:space="preserve">5.2-37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生产年限13.31年各矿体地面塌陷走向方向移动范围计算结果表</w:t>
      </w:r>
    </w:p>
    <w:tbl>
      <w:tblPr>
        <w:tblStyle w:val="79"/>
        <w:tblW w:w="497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1600"/>
        <w:gridCol w:w="2051"/>
        <w:gridCol w:w="1139"/>
        <w:gridCol w:w="2241"/>
      </w:tblGrid>
      <w:tr w14:paraId="6C100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8" w:type="dxa"/>
            <w:tcBorders>
              <w:tl2br w:val="nil"/>
              <w:tr2bl w:val="nil"/>
            </w:tcBorders>
            <w:noWrap w:val="0"/>
            <w:vAlign w:val="center"/>
          </w:tcPr>
          <w:p w14:paraId="4DCFBD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矿体编号</w:t>
            </w:r>
          </w:p>
        </w:tc>
        <w:tc>
          <w:tcPr>
            <w:tcW w:w="1600" w:type="dxa"/>
            <w:tcBorders>
              <w:tl2br w:val="nil"/>
              <w:tr2bl w:val="nil"/>
            </w:tcBorders>
            <w:noWrap w:val="0"/>
            <w:vAlign w:val="center"/>
          </w:tcPr>
          <w:p w14:paraId="19157A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走向采深</w:t>
            </w:r>
          </w:p>
          <w:p w14:paraId="59FE15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（270°）</w:t>
            </w:r>
          </w:p>
        </w:tc>
        <w:tc>
          <w:tcPr>
            <w:tcW w:w="2052" w:type="dxa"/>
            <w:tcBorders>
              <w:tl2br w:val="nil"/>
              <w:tr2bl w:val="nil"/>
            </w:tcBorders>
            <w:noWrap w:val="0"/>
            <w:vAlign w:val="center"/>
          </w:tcPr>
          <w:p w14:paraId="7ACE26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走向方向移动范围（</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139" w:type="dxa"/>
            <w:tcBorders>
              <w:tl2br w:val="nil"/>
              <w:tr2bl w:val="nil"/>
            </w:tcBorders>
            <w:noWrap w:val="0"/>
            <w:vAlign w:val="center"/>
          </w:tcPr>
          <w:p w14:paraId="50EC92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走向采深</w:t>
            </w:r>
          </w:p>
          <w:p w14:paraId="5B855C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（90°）</w:t>
            </w:r>
          </w:p>
        </w:tc>
        <w:tc>
          <w:tcPr>
            <w:tcW w:w="2242" w:type="dxa"/>
            <w:tcBorders>
              <w:tl2br w:val="nil"/>
              <w:tr2bl w:val="nil"/>
            </w:tcBorders>
            <w:noWrap w:val="0"/>
            <w:vAlign w:val="center"/>
          </w:tcPr>
          <w:p w14:paraId="2D1B7C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走向方向移动范围</w:t>
            </w:r>
          </w:p>
          <w:p w14:paraId="20E61A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eastAsia="zh-CN"/>
                <w14:textFill>
                  <w14:solidFill>
                    <w14:schemeClr w14:val="tx1"/>
                  </w14:solidFill>
                </w14:textFill>
              </w:rPr>
              <w:t>m</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14:paraId="68206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8" w:type="dxa"/>
            <w:tcBorders>
              <w:tl2br w:val="nil"/>
              <w:tr2bl w:val="nil"/>
            </w:tcBorders>
            <w:noWrap w:val="0"/>
            <w:vAlign w:val="center"/>
          </w:tcPr>
          <w:p w14:paraId="3C7F80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Ⅰ-1</w:t>
            </w:r>
          </w:p>
        </w:tc>
        <w:tc>
          <w:tcPr>
            <w:tcW w:w="1600" w:type="dxa"/>
            <w:tcBorders>
              <w:tl2br w:val="nil"/>
              <w:tr2bl w:val="nil"/>
            </w:tcBorders>
            <w:noWrap w:val="0"/>
            <w:vAlign w:val="center"/>
          </w:tcPr>
          <w:p w14:paraId="07166E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w:t>
            </w:r>
          </w:p>
        </w:tc>
        <w:tc>
          <w:tcPr>
            <w:tcW w:w="2052" w:type="dxa"/>
            <w:tcBorders>
              <w:tl2br w:val="nil"/>
              <w:tr2bl w:val="nil"/>
            </w:tcBorders>
            <w:noWrap w:val="0"/>
            <w:vAlign w:val="center"/>
          </w:tcPr>
          <w:p w14:paraId="5D50D8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36.72</w:t>
            </w:r>
          </w:p>
        </w:tc>
        <w:tc>
          <w:tcPr>
            <w:tcW w:w="1139" w:type="dxa"/>
            <w:tcBorders>
              <w:tl2br w:val="nil"/>
              <w:tr2bl w:val="nil"/>
            </w:tcBorders>
            <w:noWrap w:val="0"/>
            <w:vAlign w:val="center"/>
          </w:tcPr>
          <w:p w14:paraId="1A6322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239</w:t>
            </w:r>
          </w:p>
        </w:tc>
        <w:tc>
          <w:tcPr>
            <w:tcW w:w="2242" w:type="dxa"/>
            <w:tcBorders>
              <w:tl2br w:val="nil"/>
              <w:tr2bl w:val="nil"/>
            </w:tcBorders>
            <w:noWrap w:val="0"/>
            <w:vAlign w:val="center"/>
          </w:tcPr>
          <w:p w14:paraId="7B7020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86.04</w:t>
            </w:r>
          </w:p>
        </w:tc>
      </w:tr>
      <w:tr w14:paraId="7D369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8" w:type="dxa"/>
            <w:tcBorders>
              <w:tl2br w:val="nil"/>
              <w:tr2bl w:val="nil"/>
            </w:tcBorders>
            <w:noWrap w:val="0"/>
            <w:vAlign w:val="center"/>
          </w:tcPr>
          <w:p w14:paraId="729A65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Ⅲ</w:t>
            </w:r>
          </w:p>
        </w:tc>
        <w:tc>
          <w:tcPr>
            <w:tcW w:w="1600" w:type="dxa"/>
            <w:tcBorders>
              <w:tl2br w:val="nil"/>
              <w:tr2bl w:val="nil"/>
            </w:tcBorders>
            <w:noWrap w:val="0"/>
            <w:vAlign w:val="center"/>
          </w:tcPr>
          <w:p w14:paraId="130AE7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326</w:t>
            </w:r>
          </w:p>
        </w:tc>
        <w:tc>
          <w:tcPr>
            <w:tcW w:w="2052" w:type="dxa"/>
            <w:tcBorders>
              <w:tl2br w:val="nil"/>
              <w:tr2bl w:val="nil"/>
            </w:tcBorders>
            <w:noWrap w:val="0"/>
            <w:vAlign w:val="center"/>
          </w:tcPr>
          <w:p w14:paraId="5F1F6A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117.36</w:t>
            </w:r>
          </w:p>
        </w:tc>
        <w:tc>
          <w:tcPr>
            <w:tcW w:w="1139" w:type="dxa"/>
            <w:tcBorders>
              <w:tl2br w:val="nil"/>
              <w:tr2bl w:val="nil"/>
            </w:tcBorders>
            <w:noWrap w:val="0"/>
            <w:vAlign w:val="center"/>
          </w:tcPr>
          <w:p w14:paraId="4544EB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252</w:t>
            </w:r>
          </w:p>
        </w:tc>
        <w:tc>
          <w:tcPr>
            <w:tcW w:w="2242" w:type="dxa"/>
            <w:tcBorders>
              <w:tl2br w:val="nil"/>
              <w:tr2bl w:val="nil"/>
            </w:tcBorders>
            <w:noWrap w:val="0"/>
            <w:vAlign w:val="center"/>
          </w:tcPr>
          <w:p w14:paraId="177D92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90.72</w:t>
            </w:r>
          </w:p>
        </w:tc>
      </w:tr>
    </w:tbl>
    <w:p w14:paraId="5EC5AE1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③地面塌陷面积</w:t>
      </w:r>
    </w:p>
    <w:p w14:paraId="3D8E35A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根据00、02、06号勘探线剖面图确定矿体综合地面塌陷倾向和走向范围，圈定近期5年和服务年限内矿体地下采空区地表投影面积和预测地面塌陷区面积，详见表</w:t>
      </w:r>
      <w:r>
        <w:rPr>
          <w:rFonts w:hint="eastAsia"/>
          <w:color w:val="000000" w:themeColor="text1"/>
          <w:sz w:val="24"/>
          <w:lang w:val="en-US" w:eastAsia="zh-CN"/>
          <w14:textFill>
            <w14:solidFill>
              <w14:schemeClr w14:val="tx1"/>
            </w14:solidFill>
          </w14:textFill>
        </w:rPr>
        <w:t>5.2-38</w:t>
      </w:r>
      <w:r>
        <w:rPr>
          <w:rFonts w:hint="eastAsia"/>
          <w:color w:val="000000" w:themeColor="text1"/>
          <w:sz w:val="24"/>
          <w14:textFill>
            <w14:solidFill>
              <w14:schemeClr w14:val="tx1"/>
            </w14:solidFill>
          </w14:textFill>
        </w:rPr>
        <w:t>、表</w:t>
      </w:r>
      <w:r>
        <w:rPr>
          <w:rFonts w:hint="eastAsia"/>
          <w:color w:val="000000" w:themeColor="text1"/>
          <w:sz w:val="24"/>
          <w:lang w:val="en-US" w:eastAsia="zh-CN"/>
          <w14:textFill>
            <w14:solidFill>
              <w14:schemeClr w14:val="tx1"/>
            </w14:solidFill>
          </w14:textFill>
        </w:rPr>
        <w:t>5.2-39</w:t>
      </w:r>
      <w:r>
        <w:rPr>
          <w:rFonts w:hint="eastAsia"/>
          <w:color w:val="000000" w:themeColor="text1"/>
          <w:sz w:val="24"/>
          <w:lang w:eastAsia="zh-CN"/>
          <w14:textFill>
            <w14:solidFill>
              <w14:schemeClr w14:val="tx1"/>
            </w14:solidFill>
          </w14:textFill>
        </w:rPr>
        <w:t>及</w:t>
      </w:r>
      <w:r>
        <w:rPr>
          <w:rFonts w:hint="eastAsia"/>
          <w:color w:val="000000" w:themeColor="text1"/>
          <w:sz w:val="24"/>
          <w14:textFill>
            <w14:solidFill>
              <w14:schemeClr w14:val="tx1"/>
            </w14:solidFill>
          </w14:textFill>
        </w:rPr>
        <w:t>图</w:t>
      </w:r>
      <w:r>
        <w:rPr>
          <w:rFonts w:hint="eastAsia"/>
          <w:color w:val="000000" w:themeColor="text1"/>
          <w:sz w:val="24"/>
          <w:lang w:val="en-US" w:eastAsia="zh-CN"/>
          <w14:textFill>
            <w14:solidFill>
              <w14:schemeClr w14:val="tx1"/>
            </w14:solidFill>
          </w14:textFill>
        </w:rPr>
        <w:t>5.2</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13</w:t>
      </w:r>
      <w:r>
        <w:rPr>
          <w:rFonts w:hint="eastAsia"/>
          <w:color w:val="000000" w:themeColor="text1"/>
          <w:sz w:val="24"/>
          <w14:textFill>
            <w14:solidFill>
              <w14:schemeClr w14:val="tx1"/>
            </w14:solidFill>
          </w14:textFill>
        </w:rPr>
        <w:t>、图</w:t>
      </w:r>
      <w:r>
        <w:rPr>
          <w:rFonts w:hint="eastAsia"/>
          <w:color w:val="000000" w:themeColor="text1"/>
          <w:sz w:val="24"/>
          <w:lang w:val="en-US" w:eastAsia="zh-CN"/>
          <w14:textFill>
            <w14:solidFill>
              <w14:schemeClr w14:val="tx1"/>
            </w14:solidFill>
          </w14:textFill>
        </w:rPr>
        <w:t>5.2-14。</w:t>
      </w:r>
    </w:p>
    <w:p w14:paraId="758DC8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lang w:val="en-US" w:eastAsia="zh-CN"/>
          <w14:textFill>
            <w14:solidFill>
              <w14:schemeClr w14:val="tx1"/>
            </w14:solidFill>
          </w14:textFill>
        </w:rPr>
      </w:pPr>
    </w:p>
    <w:p w14:paraId="6EC0351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lang w:val="en-US" w:eastAsia="zh-CN"/>
          <w14:textFill>
            <w14:solidFill>
              <w14:schemeClr w14:val="tx1"/>
            </w14:solidFill>
          </w14:textFill>
        </w:rPr>
      </w:pPr>
    </w:p>
    <w:p w14:paraId="7FC87B43">
      <w:pPr>
        <w:spacing w:line="480" w:lineRule="exact"/>
        <w:jc w:val="cente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表</w:t>
      </w:r>
      <w:r>
        <w:rPr>
          <w:rFonts w:hint="eastAsia" w:cs="Times New Roman"/>
          <w:b/>
          <w:bCs/>
          <w:color w:val="000000" w:themeColor="text1"/>
          <w:kern w:val="0"/>
          <w:sz w:val="24"/>
          <w:szCs w:val="21"/>
          <w:lang w:val="en-US" w:eastAsia="zh-CN"/>
          <w14:textFill>
            <w14:solidFill>
              <w14:schemeClr w14:val="tx1"/>
            </w14:solidFill>
          </w14:textFill>
        </w:rPr>
        <w:t>5.2-38</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近期5年矿体地下采空区地表投影及地面塌陷区面积</w:t>
      </w:r>
    </w:p>
    <w:tbl>
      <w:tblPr>
        <w:tblStyle w:val="79"/>
        <w:tblW w:w="502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8"/>
        <w:gridCol w:w="3645"/>
        <w:gridCol w:w="3405"/>
      </w:tblGrid>
      <w:tr w14:paraId="5C1E2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81" w:type="pct"/>
            <w:tcBorders>
              <w:tl2br w:val="nil"/>
              <w:tr2bl w:val="nil"/>
            </w:tcBorders>
            <w:noWrap w:val="0"/>
            <w:vAlign w:val="center"/>
          </w:tcPr>
          <w:p w14:paraId="719DE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开采矿体编号</w:t>
            </w:r>
          </w:p>
        </w:tc>
        <w:tc>
          <w:tcPr>
            <w:tcW w:w="2129" w:type="pct"/>
            <w:tcBorders>
              <w:tl2br w:val="nil"/>
              <w:tr2bl w:val="nil"/>
            </w:tcBorders>
            <w:noWrap w:val="0"/>
            <w:vAlign w:val="center"/>
          </w:tcPr>
          <w:p w14:paraId="09F38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预测地下采空区地表投影面积（</w:t>
            </w:r>
            <w:r>
              <w:rPr>
                <w:rFonts w:hint="eastAsia" w:ascii="Times New Roman" w:hAnsi="Times New Roman" w:cs="Times New Roman"/>
                <w:b/>
                <w:bCs/>
                <w:color w:val="000000" w:themeColor="text1"/>
                <w:sz w:val="21"/>
                <w:szCs w:val="21"/>
                <w:lang w:val="en-US" w:eastAsia="zh-CN"/>
                <w14:textFill>
                  <w14:solidFill>
                    <w14:schemeClr w14:val="tx1"/>
                  </w14:solidFill>
                </w14:textFill>
              </w:rPr>
              <w:t>m</w:t>
            </w:r>
            <w:r>
              <w:rPr>
                <w:rFonts w:hint="eastAsia" w:ascii="Times New Roman" w:hAnsi="Times New Roman" w:cs="Times New Roman"/>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14:textFill>
                  <w14:solidFill>
                    <w14:schemeClr w14:val="tx1"/>
                  </w14:solidFill>
                </w14:textFill>
              </w:rPr>
              <w:t>）</w:t>
            </w:r>
          </w:p>
        </w:tc>
        <w:tc>
          <w:tcPr>
            <w:tcW w:w="1989" w:type="pct"/>
            <w:tcBorders>
              <w:tl2br w:val="nil"/>
              <w:tr2bl w:val="nil"/>
            </w:tcBorders>
            <w:noWrap w:val="0"/>
            <w:vAlign w:val="center"/>
          </w:tcPr>
          <w:p w14:paraId="2482B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预测地面塌陷区面积（</w:t>
            </w:r>
            <w:r>
              <w:rPr>
                <w:rFonts w:hint="eastAsia" w:ascii="Times New Roman" w:hAnsi="Times New Roman" w:cs="Times New Roman"/>
                <w:b/>
                <w:bCs/>
                <w:color w:val="000000" w:themeColor="text1"/>
                <w:sz w:val="21"/>
                <w:szCs w:val="21"/>
                <w:lang w:val="en-US" w:eastAsia="zh-CN"/>
                <w14:textFill>
                  <w14:solidFill>
                    <w14:schemeClr w14:val="tx1"/>
                  </w14:solidFill>
                </w14:textFill>
              </w:rPr>
              <w:t>m</w:t>
            </w:r>
            <w:r>
              <w:rPr>
                <w:rFonts w:hint="eastAsia" w:ascii="Times New Roman" w:hAnsi="Times New Roman" w:cs="Times New Roman"/>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14:textFill>
                  <w14:solidFill>
                    <w14:schemeClr w14:val="tx1"/>
                  </w14:solidFill>
                </w14:textFill>
              </w:rPr>
              <w:t>）</w:t>
            </w:r>
          </w:p>
        </w:tc>
      </w:tr>
      <w:tr w14:paraId="2BD93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pct"/>
            <w:tcBorders>
              <w:tl2br w:val="nil"/>
              <w:tr2bl w:val="nil"/>
            </w:tcBorders>
            <w:noWrap w:val="0"/>
            <w:vAlign w:val="center"/>
          </w:tcPr>
          <w:p w14:paraId="33C07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Ⅰ-1</w:t>
            </w:r>
          </w:p>
        </w:tc>
        <w:tc>
          <w:tcPr>
            <w:tcW w:w="2129" w:type="pct"/>
            <w:tcBorders>
              <w:tl2br w:val="nil"/>
              <w:tr2bl w:val="nil"/>
            </w:tcBorders>
            <w:noWrap w:val="0"/>
            <w:vAlign w:val="center"/>
          </w:tcPr>
          <w:p w14:paraId="2B81F0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14347</w:t>
            </w:r>
          </w:p>
        </w:tc>
        <w:tc>
          <w:tcPr>
            <w:tcW w:w="1989" w:type="pct"/>
            <w:tcBorders>
              <w:tl2br w:val="nil"/>
              <w:tr2bl w:val="nil"/>
            </w:tcBorders>
            <w:noWrap w:val="0"/>
            <w:vAlign w:val="center"/>
          </w:tcPr>
          <w:p w14:paraId="2FEFF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82498</w:t>
            </w:r>
          </w:p>
        </w:tc>
      </w:tr>
      <w:tr w14:paraId="7FCAC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pct"/>
            <w:tcBorders>
              <w:tl2br w:val="nil"/>
              <w:tr2bl w:val="nil"/>
            </w:tcBorders>
            <w:noWrap w:val="0"/>
            <w:vAlign w:val="center"/>
          </w:tcPr>
          <w:p w14:paraId="271D9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Ⅲ</w:t>
            </w:r>
          </w:p>
        </w:tc>
        <w:tc>
          <w:tcPr>
            <w:tcW w:w="2129" w:type="pct"/>
            <w:tcBorders>
              <w:tl2br w:val="nil"/>
              <w:tr2bl w:val="nil"/>
            </w:tcBorders>
            <w:noWrap w:val="0"/>
            <w:vAlign w:val="center"/>
          </w:tcPr>
          <w:p w14:paraId="728FA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19147</w:t>
            </w:r>
          </w:p>
        </w:tc>
        <w:tc>
          <w:tcPr>
            <w:tcW w:w="1989" w:type="pct"/>
            <w:tcBorders>
              <w:tl2br w:val="nil"/>
              <w:tr2bl w:val="nil"/>
            </w:tcBorders>
            <w:noWrap w:val="0"/>
            <w:vAlign w:val="center"/>
          </w:tcPr>
          <w:p w14:paraId="2090C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83478</w:t>
            </w:r>
          </w:p>
        </w:tc>
      </w:tr>
      <w:tr w14:paraId="7C71B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1" w:type="pct"/>
            <w:tcBorders>
              <w:tl2br w:val="nil"/>
              <w:tr2bl w:val="nil"/>
            </w:tcBorders>
            <w:noWrap w:val="0"/>
            <w:vAlign w:val="center"/>
          </w:tcPr>
          <w:p w14:paraId="237AB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合计</w:t>
            </w:r>
          </w:p>
        </w:tc>
        <w:tc>
          <w:tcPr>
            <w:tcW w:w="2129" w:type="pct"/>
            <w:tcBorders>
              <w:tl2br w:val="nil"/>
              <w:tr2bl w:val="nil"/>
            </w:tcBorders>
            <w:noWrap w:val="0"/>
            <w:vAlign w:val="center"/>
          </w:tcPr>
          <w:p w14:paraId="1BAC68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33494</w:t>
            </w:r>
          </w:p>
        </w:tc>
        <w:tc>
          <w:tcPr>
            <w:tcW w:w="1989" w:type="pct"/>
            <w:tcBorders>
              <w:tl2br w:val="nil"/>
              <w:tr2bl w:val="nil"/>
            </w:tcBorders>
            <w:noWrap w:val="0"/>
            <w:vAlign w:val="center"/>
          </w:tcPr>
          <w:p w14:paraId="5DED6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137503</w:t>
            </w:r>
          </w:p>
          <w:p w14:paraId="3A2F94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已扣除塌陷重叠面积28473</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m</w:t>
            </w:r>
            <w:r>
              <w:rPr>
                <w:rFonts w:hint="eastAsia" w:ascii="Times New Roman" w:hAnsi="Times New Roman" w:cs="Times New Roman"/>
                <w:b w:val="0"/>
                <w:bCs w:val="0"/>
                <w:color w:val="000000" w:themeColor="text1"/>
                <w:sz w:val="21"/>
                <w:szCs w:val="21"/>
                <w:vertAlign w:val="superscript"/>
                <w:lang w:val="en-US" w:eastAsia="zh-CN"/>
                <w14:textFill>
                  <w14:solidFill>
                    <w14:schemeClr w14:val="tx1"/>
                  </w14:solidFill>
                </w14:textFill>
              </w:rPr>
              <w:t>2</w:t>
            </w:r>
            <w:r>
              <w:rPr>
                <w:rFonts w:hint="eastAsia" w:cs="Times New Roman"/>
                <w:b w:val="0"/>
                <w:bCs w:val="0"/>
                <w:color w:val="000000" w:themeColor="text1"/>
                <w:sz w:val="21"/>
                <w:szCs w:val="21"/>
                <w:lang w:eastAsia="zh-CN"/>
                <w14:textFill>
                  <w14:solidFill>
                    <w14:schemeClr w14:val="tx1"/>
                  </w14:solidFill>
                </w14:textFill>
              </w:rPr>
              <w:t>）</w:t>
            </w:r>
          </w:p>
        </w:tc>
      </w:tr>
    </w:tbl>
    <w:p w14:paraId="6D4CE2FF">
      <w:pPr>
        <w:spacing w:line="480" w:lineRule="exact"/>
        <w:jc w:val="cente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表</w:t>
      </w:r>
      <w:r>
        <w:rPr>
          <w:rFonts w:hint="eastAsia" w:cs="Times New Roman"/>
          <w:b/>
          <w:bCs/>
          <w:color w:val="000000" w:themeColor="text1"/>
          <w:kern w:val="0"/>
          <w:sz w:val="24"/>
          <w:szCs w:val="21"/>
          <w:lang w:val="en-US" w:eastAsia="zh-CN"/>
          <w14:textFill>
            <w14:solidFill>
              <w14:schemeClr w14:val="tx1"/>
            </w14:solidFill>
          </w14:textFill>
        </w:rPr>
        <w:t xml:space="preserve">5.2-39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生产年限13.31年矿体地下采空区地表投影及地面塌陷区面积</w:t>
      </w:r>
    </w:p>
    <w:tbl>
      <w:tblPr>
        <w:tblStyle w:val="79"/>
        <w:tblW w:w="498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73"/>
        <w:gridCol w:w="3442"/>
        <w:gridCol w:w="3385"/>
      </w:tblGrid>
      <w:tr w14:paraId="62577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72A5A0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开采矿体编号</w:t>
            </w:r>
          </w:p>
        </w:tc>
        <w:tc>
          <w:tcPr>
            <w:tcW w:w="2024" w:type="pct"/>
            <w:tcBorders>
              <w:tl2br w:val="nil"/>
              <w:tr2bl w:val="nil"/>
            </w:tcBorders>
            <w:noWrap w:val="0"/>
            <w:vAlign w:val="center"/>
          </w:tcPr>
          <w:p w14:paraId="31FE2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预测地下采空区地表投影面积（</w:t>
            </w:r>
            <w:r>
              <w:rPr>
                <w:rFonts w:hint="eastAsia" w:ascii="Times New Roman" w:hAnsi="Times New Roman" w:cs="Times New Roman"/>
                <w:b/>
                <w:bCs/>
                <w:color w:val="000000" w:themeColor="text1"/>
                <w:sz w:val="21"/>
                <w:szCs w:val="21"/>
                <w:lang w:val="en-US" w:eastAsia="zh-CN"/>
                <w14:textFill>
                  <w14:solidFill>
                    <w14:schemeClr w14:val="tx1"/>
                  </w14:solidFill>
                </w14:textFill>
              </w:rPr>
              <w:t>m</w:t>
            </w:r>
            <w:r>
              <w:rPr>
                <w:rFonts w:hint="eastAsia" w:ascii="Times New Roman" w:hAnsi="Times New Roman" w:cs="Times New Roman"/>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14:textFill>
                  <w14:solidFill>
                    <w14:schemeClr w14:val="tx1"/>
                  </w14:solidFill>
                </w14:textFill>
              </w:rPr>
              <w:t>）</w:t>
            </w:r>
          </w:p>
        </w:tc>
        <w:tc>
          <w:tcPr>
            <w:tcW w:w="1991" w:type="pct"/>
            <w:tcBorders>
              <w:tl2br w:val="nil"/>
              <w:tr2bl w:val="nil"/>
            </w:tcBorders>
            <w:noWrap w:val="0"/>
            <w:vAlign w:val="center"/>
          </w:tcPr>
          <w:p w14:paraId="41974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预测地面塌陷区面积（</w:t>
            </w:r>
            <w:r>
              <w:rPr>
                <w:rFonts w:hint="eastAsia" w:ascii="Times New Roman" w:hAnsi="Times New Roman" w:cs="Times New Roman"/>
                <w:b/>
                <w:bCs/>
                <w:color w:val="000000" w:themeColor="text1"/>
                <w:sz w:val="21"/>
                <w:szCs w:val="21"/>
                <w:lang w:val="en-US" w:eastAsia="zh-CN"/>
                <w14:textFill>
                  <w14:solidFill>
                    <w14:schemeClr w14:val="tx1"/>
                  </w14:solidFill>
                </w14:textFill>
              </w:rPr>
              <w:t>m</w:t>
            </w:r>
            <w:r>
              <w:rPr>
                <w:rFonts w:hint="eastAsia" w:ascii="Times New Roman" w:hAnsi="Times New Roman" w:cs="Times New Roman"/>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14:textFill>
                  <w14:solidFill>
                    <w14:schemeClr w14:val="tx1"/>
                  </w14:solidFill>
                </w14:textFill>
              </w:rPr>
              <w:t>）</w:t>
            </w:r>
          </w:p>
        </w:tc>
      </w:tr>
      <w:tr w14:paraId="624B2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6E5A0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Ⅰ-1</w:t>
            </w:r>
          </w:p>
        </w:tc>
        <w:tc>
          <w:tcPr>
            <w:tcW w:w="2024" w:type="pct"/>
            <w:tcBorders>
              <w:tl2br w:val="nil"/>
              <w:tr2bl w:val="nil"/>
            </w:tcBorders>
            <w:noWrap w:val="0"/>
            <w:vAlign w:val="center"/>
          </w:tcPr>
          <w:p w14:paraId="7A0B9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17515</w:t>
            </w:r>
          </w:p>
        </w:tc>
        <w:tc>
          <w:tcPr>
            <w:tcW w:w="1991" w:type="pct"/>
            <w:tcBorders>
              <w:tl2br w:val="nil"/>
              <w:tr2bl w:val="nil"/>
            </w:tcBorders>
            <w:noWrap w:val="0"/>
            <w:vAlign w:val="center"/>
          </w:tcPr>
          <w:p w14:paraId="64F89A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93030</w:t>
            </w:r>
          </w:p>
        </w:tc>
      </w:tr>
      <w:tr w14:paraId="1E4D1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0FAF8E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Ⅲ</w:t>
            </w:r>
          </w:p>
        </w:tc>
        <w:tc>
          <w:tcPr>
            <w:tcW w:w="2024" w:type="pct"/>
            <w:tcBorders>
              <w:tl2br w:val="nil"/>
              <w:tr2bl w:val="nil"/>
            </w:tcBorders>
            <w:noWrap w:val="0"/>
            <w:vAlign w:val="center"/>
          </w:tcPr>
          <w:p w14:paraId="773B7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27797</w:t>
            </w:r>
          </w:p>
        </w:tc>
        <w:tc>
          <w:tcPr>
            <w:tcW w:w="1991" w:type="pct"/>
            <w:tcBorders>
              <w:tl2br w:val="nil"/>
              <w:tr2bl w:val="nil"/>
            </w:tcBorders>
            <w:noWrap w:val="0"/>
            <w:vAlign w:val="center"/>
          </w:tcPr>
          <w:p w14:paraId="1F8FC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89218</w:t>
            </w:r>
          </w:p>
        </w:tc>
      </w:tr>
      <w:tr w14:paraId="0D3D9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04A97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Ⅰ-2</w:t>
            </w:r>
          </w:p>
        </w:tc>
        <w:tc>
          <w:tcPr>
            <w:tcW w:w="2024" w:type="pct"/>
            <w:tcBorders>
              <w:tl2br w:val="nil"/>
              <w:tr2bl w:val="nil"/>
            </w:tcBorders>
            <w:noWrap w:val="0"/>
            <w:vAlign w:val="center"/>
          </w:tcPr>
          <w:p w14:paraId="7958A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5148</w:t>
            </w:r>
          </w:p>
        </w:tc>
        <w:tc>
          <w:tcPr>
            <w:tcW w:w="1991" w:type="pct"/>
            <w:tcBorders>
              <w:tl2br w:val="nil"/>
              <w:tr2bl w:val="nil"/>
            </w:tcBorders>
            <w:noWrap w:val="0"/>
            <w:vAlign w:val="center"/>
          </w:tcPr>
          <w:p w14:paraId="64A8C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7EA92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4" w:type="pct"/>
            <w:tcBorders>
              <w:tl2br w:val="nil"/>
              <w:tr2bl w:val="nil"/>
            </w:tcBorders>
            <w:noWrap w:val="0"/>
            <w:vAlign w:val="center"/>
          </w:tcPr>
          <w:p w14:paraId="6E4D9E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合计</w:t>
            </w:r>
          </w:p>
        </w:tc>
        <w:tc>
          <w:tcPr>
            <w:tcW w:w="2024" w:type="pct"/>
            <w:tcBorders>
              <w:tl2br w:val="nil"/>
              <w:tr2bl w:val="nil"/>
            </w:tcBorders>
            <w:noWrap w:val="0"/>
            <w:vAlign w:val="center"/>
          </w:tcPr>
          <w:p w14:paraId="1D1FC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50460</w:t>
            </w:r>
          </w:p>
        </w:tc>
        <w:tc>
          <w:tcPr>
            <w:tcW w:w="1991" w:type="pct"/>
            <w:tcBorders>
              <w:tl2br w:val="nil"/>
              <w:tr2bl w:val="nil"/>
            </w:tcBorders>
            <w:noWrap w:val="0"/>
            <w:vAlign w:val="center"/>
          </w:tcPr>
          <w:p w14:paraId="1C210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148506</w:t>
            </w:r>
          </w:p>
          <w:p w14:paraId="108EC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已扣除塌陷重叠面积</w:t>
            </w:r>
            <w:r>
              <w:rPr>
                <w:rFonts w:hint="eastAsia" w:cs="Times New Roman"/>
                <w:color w:val="000000" w:themeColor="text1"/>
                <w:sz w:val="21"/>
                <w:szCs w:val="21"/>
                <w:lang w:val="en-US" w:eastAsia="zh-CN"/>
                <w14:textFill>
                  <w14:solidFill>
                    <w14:schemeClr w14:val="tx1"/>
                  </w14:solidFill>
                </w14:textFill>
              </w:rPr>
              <w:t>33742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bl>
    <w:p w14:paraId="32E1C8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02159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4D71A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5B5AF8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E4AF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5A8FA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06964F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B72B0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22669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7CED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5BE00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1716384">
      <w:pPr>
        <w:spacing w:line="480" w:lineRule="exact"/>
        <w:jc w:val="cente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pPr>
      <w:r>
        <w:rPr>
          <w:rFonts w:hint="eastAsia" w:cs="Times New Roman"/>
          <w:b/>
          <w:bCs/>
          <w:color w:val="000000" w:themeColor="text1"/>
          <w:kern w:val="0"/>
          <w:sz w:val="24"/>
          <w:szCs w:val="21"/>
          <w:lang w:val="en-US" w:eastAsia="zh-CN"/>
          <w14:textFill>
            <w14:solidFill>
              <w14:schemeClr w14:val="tx1"/>
            </w14:solidFill>
          </w14:textFill>
        </w:rPr>
        <w:t>图5.2-13</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近期5年矿体地下采空区地表投影及地面塌陷区范围示意图</w:t>
      </w:r>
    </w:p>
    <w:p w14:paraId="08A918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229B80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2ADB1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CF16D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AE7DB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3D0DEB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6DDA87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163EA1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40130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5CDA21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40ECE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750F34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lang w:eastAsia="zh-CN"/>
          <w14:textFill>
            <w14:solidFill>
              <w14:schemeClr w14:val="tx1"/>
            </w14:solidFill>
          </w14:textFill>
        </w:rPr>
      </w:pPr>
    </w:p>
    <w:p w14:paraId="3B67CF8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color w:val="000000" w:themeColor="text1"/>
          <w:sz w:val="24"/>
          <w14:textFill>
            <w14:solidFill>
              <w14:schemeClr w14:val="tx1"/>
            </w14:solidFill>
          </w14:textFill>
        </w:rPr>
      </w:pPr>
      <w:r>
        <w:rPr>
          <w:rFonts w:hint="eastAsia" w:cs="Times New Roman"/>
          <w:b/>
          <w:bCs/>
          <w:color w:val="000000" w:themeColor="text1"/>
          <w:kern w:val="0"/>
          <w:sz w:val="24"/>
          <w:szCs w:val="21"/>
          <w:lang w:val="en-US" w:eastAsia="zh-CN"/>
          <w14:textFill>
            <w14:solidFill>
              <w14:schemeClr w14:val="tx1"/>
            </w14:solidFill>
          </w14:textFill>
        </w:rPr>
        <w:t>图5.2-14</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 xml:space="preserve"> </w:t>
      </w:r>
      <w:r>
        <w:rPr>
          <w:rFonts w:hint="eastAsia" w:cs="Times New Roman"/>
          <w:b/>
          <w:bCs/>
          <w:color w:val="000000" w:themeColor="text1"/>
          <w:kern w:val="0"/>
          <w:sz w:val="24"/>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1"/>
          <w:lang w:val="en-US" w:eastAsia="zh-CN"/>
          <w14:textFill>
            <w14:solidFill>
              <w14:schemeClr w14:val="tx1"/>
            </w14:solidFill>
          </w14:textFill>
        </w:rPr>
        <w:t>生产年限13.31年矿体地下采空区地表投影及地面塌陷区范围示意图</w:t>
      </w:r>
    </w:p>
    <w:p w14:paraId="0EA1604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、其他地表变形影响分析</w:t>
      </w:r>
    </w:p>
    <w:p w14:paraId="7E8ED9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①地面沉降</w:t>
      </w:r>
    </w:p>
    <w:p w14:paraId="02C491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矿</w:t>
      </w:r>
      <w:r>
        <w:rPr>
          <w:rFonts w:hint="eastAsia"/>
          <w:color w:val="000000" w:themeColor="text1"/>
          <w:sz w:val="24"/>
          <w14:textFill>
            <w14:solidFill>
              <w14:schemeClr w14:val="tx1"/>
            </w14:solidFill>
          </w14:textFill>
        </w:rPr>
        <w:t>区地下水类型主要为基岩裂隙水，降雨和降雪融化入渗补给为主，补给来源少，补给量小，含水层富水性弱。</w:t>
      </w:r>
      <w:r>
        <w:rPr>
          <w:rFonts w:hint="eastAsia"/>
          <w:color w:val="000000" w:themeColor="text1"/>
          <w:sz w:val="24"/>
          <w:lang w:eastAsia="zh-CN"/>
          <w14:textFill>
            <w14:solidFill>
              <w14:schemeClr w14:val="tx1"/>
            </w14:solidFill>
          </w14:textFill>
        </w:rPr>
        <w:t>矿</w:t>
      </w:r>
      <w:r>
        <w:rPr>
          <w:rFonts w:hint="eastAsia"/>
          <w:color w:val="000000" w:themeColor="text1"/>
          <w:sz w:val="24"/>
          <w14:textFill>
            <w14:solidFill>
              <w14:schemeClr w14:val="tx1"/>
            </w14:solidFill>
          </w14:textFill>
        </w:rPr>
        <w:t>区及其附近无固定居民，不存在地下水开采活动；矿区内也无石油、天然气矿藏，不存在抽取石油、天然气的活动，</w:t>
      </w:r>
      <w:r>
        <w:rPr>
          <w:rFonts w:hint="eastAsia"/>
          <w:color w:val="000000" w:themeColor="text1"/>
          <w:sz w:val="24"/>
          <w:lang w:eastAsia="zh-CN"/>
          <w14:textFill>
            <w14:solidFill>
              <w14:schemeClr w14:val="tx1"/>
            </w14:solidFill>
          </w14:textFill>
        </w:rPr>
        <w:t>矿</w:t>
      </w:r>
      <w:r>
        <w:rPr>
          <w:rFonts w:hint="eastAsia"/>
          <w:color w:val="000000" w:themeColor="text1"/>
          <w:sz w:val="24"/>
          <w14:textFill>
            <w14:solidFill>
              <w14:schemeClr w14:val="tx1"/>
            </w14:solidFill>
          </w14:textFill>
        </w:rPr>
        <w:t>区内发生地面沉降灾害的地质条件不充分。矿山以地下开采为主，开采矿体部分位于地下水位以上，矿井平均疏干排水量较小，采矿活动引发或加剧地面沉降的可能性小。</w:t>
      </w:r>
    </w:p>
    <w:p w14:paraId="218425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②地裂缝</w:t>
      </w:r>
    </w:p>
    <w:p w14:paraId="731E82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矿区内构造简单，工程建设位于地裂缝影响范围外，矿山的采矿活动不会改变地裂缝灾害的形成条件及影响因素，工程建设引发或加剧地裂缝的可能性小，发育程度弱，危害程度小，危险性小</w:t>
      </w:r>
      <w:r>
        <w:rPr>
          <w:rFonts w:hint="eastAsia"/>
          <w:color w:val="000000" w:themeColor="text1"/>
          <w:sz w:val="24"/>
          <w:lang w:eastAsia="zh-CN"/>
          <w14:textFill>
            <w14:solidFill>
              <w14:schemeClr w14:val="tx1"/>
            </w14:solidFill>
          </w14:textFill>
        </w:rPr>
        <w:t>。</w:t>
      </w:r>
    </w:p>
    <w:p w14:paraId="28DF0FC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③不稳定斜坡</w:t>
      </w:r>
    </w:p>
    <w:p w14:paraId="73D19FE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矿山各已建矿建设施均位于地形平坦开阔处，建设过程中无切坡工程；规划矿建设施均位于地形平坦开阔处，建设过程中无切坡工程，不会形成高陡边坡；</w:t>
      </w:r>
      <w:r>
        <w:rPr>
          <w:rFonts w:hint="eastAsia"/>
          <w:color w:val="000000" w:themeColor="text1"/>
          <w:sz w:val="24"/>
          <w:lang w:eastAsia="zh-CN"/>
          <w14:textFill>
            <w14:solidFill>
              <w14:schemeClr w14:val="tx1"/>
            </w14:solidFill>
          </w14:textFill>
        </w:rPr>
        <w:t>规划废石堆场最大堆高</w:t>
      </w:r>
      <w:r>
        <w:rPr>
          <w:rFonts w:hint="eastAsia"/>
          <w:color w:val="000000" w:themeColor="text1"/>
          <w:sz w:val="24"/>
          <w:lang w:val="en-US" w:eastAsia="zh-CN"/>
          <w14:textFill>
            <w14:solidFill>
              <w14:schemeClr w14:val="tx1"/>
            </w14:solidFill>
          </w14:textFill>
        </w:rPr>
        <w:t>8m，分</w:t>
      </w:r>
      <w:r>
        <w:rPr>
          <w:rFonts w:hint="eastAsia"/>
          <w:color w:val="000000" w:themeColor="text1"/>
          <w:sz w:val="24"/>
          <w14:textFill>
            <w14:solidFill>
              <w14:schemeClr w14:val="tx1"/>
            </w14:solidFill>
          </w14:textFill>
        </w:rPr>
        <w:t>层</w:t>
      </w:r>
      <w:r>
        <w:rPr>
          <w:rFonts w:hint="eastAsia"/>
          <w:color w:val="000000" w:themeColor="text1"/>
          <w:sz w:val="24"/>
          <w:lang w:eastAsia="zh-CN"/>
          <w14:textFill>
            <w14:solidFill>
              <w14:schemeClr w14:val="tx1"/>
            </w14:solidFill>
          </w14:textFill>
        </w:rPr>
        <w:t>段</w:t>
      </w:r>
      <w:r>
        <w:rPr>
          <w:rFonts w:hint="eastAsia"/>
          <w:color w:val="000000" w:themeColor="text1"/>
          <w:sz w:val="24"/>
          <w14:textFill>
            <w14:solidFill>
              <w14:schemeClr w14:val="tx1"/>
            </w14:solidFill>
          </w14:textFill>
        </w:rPr>
        <w:t>高4</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，安全平台2</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，废渣石分层压实，边坡角约30°</w:t>
      </w:r>
      <w:r>
        <w:rPr>
          <w:rFonts w:hint="eastAsia"/>
          <w:color w:val="000000" w:themeColor="text1"/>
          <w:sz w:val="24"/>
          <w:lang w:eastAsia="zh-CN"/>
          <w14:textFill>
            <w14:solidFill>
              <w14:schemeClr w14:val="tx1"/>
            </w14:solidFill>
          </w14:textFill>
        </w:rPr>
        <w:t>，堆放坡度和高度较小，不会形成高陡边坡，不易引发不稳定斜坡灾害；</w:t>
      </w:r>
      <w:r>
        <w:rPr>
          <w:rFonts w:hint="eastAsia"/>
          <w:color w:val="000000" w:themeColor="text1"/>
          <w:sz w:val="24"/>
          <w14:textFill>
            <w14:solidFill>
              <w14:schemeClr w14:val="tx1"/>
            </w14:solidFill>
          </w14:textFill>
        </w:rPr>
        <w:t>已建矿山道路和规划矿山道路依据地形布设，基本无需修建，可直接通行，不会形成高陡边坡；矿山开采及建设不具备诱发不稳定斜坡灾害的自然和人为因素，不易引发或加剧不稳定斜坡地质灾害</w:t>
      </w:r>
      <w:r>
        <w:rPr>
          <w:rFonts w:hint="eastAsia"/>
          <w:color w:val="000000" w:themeColor="text1"/>
          <w:sz w:val="24"/>
          <w:lang w:eastAsia="zh-CN"/>
          <w14:textFill>
            <w14:solidFill>
              <w14:schemeClr w14:val="tx1"/>
            </w14:solidFill>
          </w14:textFill>
        </w:rPr>
        <w:t>。</w:t>
      </w:r>
    </w:p>
    <w:p w14:paraId="16ABFEAB">
      <w:pPr>
        <w:overflowPunct w:val="0"/>
        <w:topLinePunct/>
        <w:spacing w:line="480" w:lineRule="exact"/>
        <w:ind w:firstLine="480" w:firstLineChars="200"/>
        <w:rPr>
          <w:color w:val="000000" w:themeColor="text1"/>
          <w:sz w:val="24"/>
          <w14:textFill>
            <w14:solidFill>
              <w14:schemeClr w14:val="tx1"/>
            </w14:solidFill>
          </w14:textFill>
        </w:rPr>
      </w:pPr>
      <w:bookmarkStart w:id="449" w:name="_Toc871"/>
      <w:bookmarkStart w:id="450" w:name="_Toc111767561"/>
      <w:bookmarkStart w:id="451" w:name="_Toc7522"/>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、地表变形影响分析结论</w:t>
      </w:r>
    </w:p>
    <w:p w14:paraId="2084028B">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依据矿山地质环境影响程度分级，预测Ⅰ-1号矿体导水裂隙带最大高度为225</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采空区顶板埋深为0-339</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，矿体部分采空区顶板埋深小于矿体导水裂缝带最大高度225</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，顶板埋深0-225</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的采空区其导水裂隙带最大高度可到达地表，易引发地面塌陷灾害；顶板埋深225-309</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的采空区导水裂隙带最大高度不能到达地表，不易引发地面塌陷灾害。Ⅰ-2号矿体导水裂隙带最大高度为64</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采空区顶板埋深为194-212</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，矿体采空区顶板埋深大于矿体导水裂缝带最大高度64</w:t>
      </w:r>
      <w:r>
        <w:rPr>
          <w:rFonts w:hint="eastAsia"/>
          <w:color w:val="000000" w:themeColor="text1"/>
          <w:sz w:val="24"/>
          <w:lang w:eastAsia="zh-CN"/>
          <w14:textFill>
            <w14:solidFill>
              <w14:schemeClr w14:val="tx1"/>
            </w14:solidFill>
          </w14:textFill>
        </w:rPr>
        <w:t>m</w:t>
      </w:r>
      <w:r>
        <w:rPr>
          <w:rFonts w:hint="eastAsia"/>
          <w:color w:val="000000" w:themeColor="text1"/>
          <w:sz w:val="24"/>
          <w14:textFill>
            <w14:solidFill>
              <w14:schemeClr w14:val="tx1"/>
            </w14:solidFill>
          </w14:textFill>
        </w:rPr>
        <w:t>，其导水裂隙带最大高度不能到达地表，不易引发地面塌陷灾害</w:t>
      </w:r>
      <w:r>
        <w:rPr>
          <w:rFonts w:hint="eastAsia"/>
          <w:color w:val="000000" w:themeColor="text1"/>
          <w:sz w:val="24"/>
          <w:lang w:eastAsia="zh-CN"/>
          <w14:textFill>
            <w14:solidFill>
              <w14:schemeClr w14:val="tx1"/>
            </w14:solidFill>
          </w14:textFill>
        </w:rPr>
        <w:t>。Ⅲ号矿体导水裂隙带最大高度为151m，采空区顶板埋深为35-291m，矿体部分采空区顶板埋深小于矿体导水裂缝带最大高度151m，顶板埋深35-151m的采空区其导水裂隙带最大高度可到达地表，易引发地面塌陷灾害；顶板埋深151-291m的采空区导水裂隙带最大高度不能到达地表，不易引发地面塌陷灾害。</w:t>
      </w:r>
    </w:p>
    <w:p w14:paraId="31A759C4">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预测评估地面沉降、地裂缝灾害对矿山开采影响程度较轻。对于矿区发生的地面塌陷、地面沉降、地裂缝等现象，在采取了本次评价及本项目开发利用方案提出的矿山地质环境保护与治理恢复措施后，地表变形的生态环境影响可接受。</w:t>
      </w:r>
    </w:p>
    <w:p w14:paraId="37E5D8D1">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5</w:t>
      </w:r>
      <w:r>
        <w:rPr>
          <w:b/>
          <w:bCs/>
          <w:color w:val="000000" w:themeColor="text1"/>
          <w:sz w:val="24"/>
          <w:szCs w:val="28"/>
          <w14:textFill>
            <w14:solidFill>
              <w14:schemeClr w14:val="tx1"/>
            </w14:solidFill>
          </w14:textFill>
        </w:rPr>
        <w:t>.2.7.</w:t>
      </w:r>
      <w:r>
        <w:rPr>
          <w:rFonts w:hint="eastAsia"/>
          <w:b/>
          <w:bCs/>
          <w:color w:val="000000" w:themeColor="text1"/>
          <w:sz w:val="24"/>
          <w:szCs w:val="28"/>
          <w:lang w:val="en-US" w:eastAsia="zh-CN"/>
          <w14:textFill>
            <w14:solidFill>
              <w14:schemeClr w14:val="tx1"/>
            </w14:solidFill>
          </w14:textFill>
        </w:rPr>
        <w:t>9</w:t>
      </w:r>
      <w:r>
        <w:rPr>
          <w:rFonts w:hint="eastAsia"/>
          <w:b/>
          <w:bCs/>
          <w:color w:val="000000" w:themeColor="text1"/>
          <w:sz w:val="24"/>
          <w:szCs w:val="28"/>
          <w14:textFill>
            <w14:solidFill>
              <w14:schemeClr w14:val="tx1"/>
            </w14:solidFill>
          </w14:textFill>
        </w:rPr>
        <w:t>地下采矿矿井水疏干对生态环境的影响</w:t>
      </w:r>
    </w:p>
    <w:p w14:paraId="3C3AD0B9">
      <w:pPr>
        <w:overflowPunct w:val="0"/>
        <w:topLinePunct/>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区地下水的补给来源为大气降水和地表水的渗入补给和地下水侧向补给，矿山开采过程中，由于开采深度较大，会导致区域地下水水位下降，但由于受到周边地下水的补给作用，地下水水位会逐步达到稳定。随着后期开采深度的进一步加大，至开采中后期地下水受到补给量增加和越流排泄的减少共同作用，水位较之前有所回升，直至矿区开采服务期满。</w:t>
      </w:r>
    </w:p>
    <w:p w14:paraId="405B7118">
      <w:pPr>
        <w:overflowPunct w:val="0"/>
        <w:topLinePunct/>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评价区项目所在区域以戈壁居多，总体呈荒漠戈壁状态，植被类型为裸地</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地表植被主要是灌木亚菊、沙生针茅、梭梭、骆驼刺，评价区</w:t>
      </w:r>
      <w:r>
        <w:rPr>
          <w:rFonts w:hint="eastAsia"/>
          <w:color w:val="000000" w:themeColor="text1"/>
          <w:sz w:val="24"/>
          <w:lang w:val="en-US" w:eastAsia="zh-CN"/>
          <w14:textFill>
            <w14:solidFill>
              <w14:schemeClr w14:val="tx1"/>
            </w14:solidFill>
          </w14:textFill>
        </w:rPr>
        <w:t>无</w:t>
      </w:r>
      <w:r>
        <w:rPr>
          <w:rFonts w:hint="eastAsia"/>
          <w:color w:val="000000" w:themeColor="text1"/>
          <w:sz w:val="24"/>
          <w14:textFill>
            <w14:solidFill>
              <w14:schemeClr w14:val="tx1"/>
            </w14:solidFill>
          </w14:textFill>
        </w:rPr>
        <w:t>国家和自治区重点保护的植物，无《中国生物多样性红色名录》中列为极危、濒危和易危的物种及其他重要物种。矿区开采期间导致一定量的水资源损失，由于</w:t>
      </w:r>
      <w:r>
        <w:rPr>
          <w:rFonts w:hint="eastAsia"/>
          <w:color w:val="000000" w:themeColor="text1"/>
          <w:sz w:val="24"/>
          <w:lang w:val="en-US" w:eastAsia="zh-CN"/>
          <w14:textFill>
            <w14:solidFill>
              <w14:schemeClr w14:val="tx1"/>
            </w14:solidFill>
          </w14:textFill>
        </w:rPr>
        <w:t>废石回填井下</w:t>
      </w:r>
      <w:r>
        <w:rPr>
          <w:rFonts w:hint="eastAsia"/>
          <w:color w:val="000000" w:themeColor="text1"/>
          <w:sz w:val="24"/>
          <w14:textFill>
            <w14:solidFill>
              <w14:schemeClr w14:val="tx1"/>
            </w14:solidFill>
          </w14:textFill>
        </w:rPr>
        <w:t>等措施，对区域地下水资源量造成的影响可接受，工程建设不会对区域地表植被产生较大影响。</w:t>
      </w:r>
    </w:p>
    <w:p w14:paraId="18E70F34">
      <w:pPr>
        <w:keepNext/>
        <w:keepLines/>
        <w:spacing w:line="480" w:lineRule="exact"/>
        <w:ind w:firstLine="482" w:firstLineChars="200"/>
        <w:outlineLvl w:val="3"/>
        <w:rPr>
          <w:rFonts w:hint="default" w:eastAsia="宋体"/>
          <w:b/>
          <w:bCs/>
          <w:color w:val="000000" w:themeColor="text1"/>
          <w:sz w:val="24"/>
          <w:szCs w:val="28"/>
          <w:lang w:val="en-US" w:eastAsia="zh-CN"/>
          <w14:textFill>
            <w14:solidFill>
              <w14:schemeClr w14:val="tx1"/>
            </w14:solidFill>
          </w14:textFill>
        </w:rPr>
      </w:pPr>
      <w:r>
        <w:rPr>
          <w:rFonts w:hint="eastAsia"/>
          <w:b/>
          <w:bCs/>
          <w:color w:val="000000" w:themeColor="text1"/>
          <w:sz w:val="24"/>
          <w:szCs w:val="28"/>
          <w14:textFill>
            <w14:solidFill>
              <w14:schemeClr w14:val="tx1"/>
            </w14:solidFill>
          </w14:textFill>
        </w:rPr>
        <w:t>5</w:t>
      </w:r>
      <w:r>
        <w:rPr>
          <w:b/>
          <w:bCs/>
          <w:color w:val="000000" w:themeColor="text1"/>
          <w:sz w:val="24"/>
          <w:szCs w:val="28"/>
          <w14:textFill>
            <w14:solidFill>
              <w14:schemeClr w14:val="tx1"/>
            </w14:solidFill>
          </w14:textFill>
        </w:rPr>
        <w:t>.2.7.</w:t>
      </w:r>
      <w:r>
        <w:rPr>
          <w:rFonts w:hint="eastAsia"/>
          <w:b/>
          <w:bCs/>
          <w:color w:val="000000" w:themeColor="text1"/>
          <w:sz w:val="24"/>
          <w:szCs w:val="28"/>
          <w:lang w:val="en-US" w:eastAsia="zh-CN"/>
          <w14:textFill>
            <w14:solidFill>
              <w14:schemeClr w14:val="tx1"/>
            </w14:solidFill>
          </w14:textFill>
        </w:rPr>
        <w:t>10对戈壁砾幕层的影响分析</w:t>
      </w:r>
    </w:p>
    <w:p w14:paraId="783BE309">
      <w:pPr>
        <w:overflowPunct w:val="0"/>
        <w:topLinePunct/>
        <w:spacing w:line="480" w:lineRule="exact"/>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本项目占地类型主要为裸岩石砾地，永久占用裸岩石砾地7.26hm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，建设后土地利用类型转变为工业用地，施工前将占地范围内的地表砾幕层进行收集并集中堆放于占地范围内，用于后期砾幕层恢复。由于工程占地面积较小，因此对区域生态环境不会造成较大影响。</w:t>
      </w:r>
    </w:p>
    <w:p w14:paraId="05394FB7">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5</w:t>
      </w:r>
      <w:r>
        <w:rPr>
          <w:b/>
          <w:bCs/>
          <w:color w:val="000000" w:themeColor="text1"/>
          <w:sz w:val="24"/>
          <w:szCs w:val="28"/>
          <w14:textFill>
            <w14:solidFill>
              <w14:schemeClr w14:val="tx1"/>
            </w14:solidFill>
          </w14:textFill>
        </w:rPr>
        <w:t>.2.7.</w:t>
      </w:r>
      <w:r>
        <w:rPr>
          <w:rFonts w:hint="eastAsia"/>
          <w:b/>
          <w:bCs/>
          <w:color w:val="000000" w:themeColor="text1"/>
          <w:sz w:val="24"/>
          <w:szCs w:val="28"/>
          <w:lang w:val="en-US" w:eastAsia="zh-CN"/>
          <w14:textFill>
            <w14:solidFill>
              <w14:schemeClr w14:val="tx1"/>
            </w14:solidFill>
          </w14:textFill>
        </w:rPr>
        <w:t>11</w:t>
      </w:r>
      <w:r>
        <w:rPr>
          <w:rFonts w:hint="eastAsia"/>
          <w:b/>
          <w:bCs/>
          <w:color w:val="000000" w:themeColor="text1"/>
          <w:sz w:val="24"/>
          <w:szCs w:val="28"/>
          <w14:textFill>
            <w14:solidFill>
              <w14:schemeClr w14:val="tx1"/>
            </w14:solidFill>
          </w14:textFill>
        </w:rPr>
        <w:t>生态环境发展趋势分析</w:t>
      </w:r>
    </w:p>
    <w:p w14:paraId="3508CFA1">
      <w:pPr>
        <w:overflowPunct w:val="0"/>
        <w:topLinePunct/>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通过对评价范围内生态系统特征、植被类型、分布及其演替规律、土地利用现状的分析，本项目位于</w:t>
      </w:r>
      <w:r>
        <w:rPr>
          <w:color w:val="000000" w:themeColor="text1"/>
          <w:sz w:val="24"/>
          <w14:textFill>
            <w14:solidFill>
              <w14:schemeClr w14:val="tx1"/>
            </w14:solidFill>
          </w14:textFill>
        </w:rPr>
        <w:t>《新疆生态功能区划》</w:t>
      </w:r>
      <w:r>
        <w:rPr>
          <w:rFonts w:hint="eastAsia"/>
          <w:color w:val="000000" w:themeColor="text1"/>
          <w:sz w:val="24"/>
          <w14:textFill>
            <w14:solidFill>
              <w14:schemeClr w14:val="tx1"/>
            </w14:solidFill>
          </w14:textFill>
        </w:rPr>
        <w:t>中的阿尔泰山中部林草保育及矿业开发环境修复生态区，土地利用类型为</w:t>
      </w:r>
      <w:r>
        <w:rPr>
          <w:rFonts w:hint="eastAsia"/>
          <w:color w:val="000000" w:themeColor="text1"/>
          <w:sz w:val="24"/>
          <w:lang w:eastAsia="zh-CN"/>
          <w14:textFill>
            <w14:solidFill>
              <w14:schemeClr w14:val="tx1"/>
            </w14:solidFill>
          </w14:textFill>
        </w:rPr>
        <w:t>戈壁、裸岩石砾地</w:t>
      </w:r>
      <w:r>
        <w:rPr>
          <w:rFonts w:hint="eastAsia"/>
          <w:color w:val="000000" w:themeColor="text1"/>
          <w:sz w:val="24"/>
          <w14:textFill>
            <w14:solidFill>
              <w14:schemeClr w14:val="tx1"/>
            </w14:solidFill>
          </w14:textFill>
        </w:rPr>
        <w:t>。地表植被主要是灌木亚菊、沙生针茅、梭梭、骆驼刺，项目区植被稀疏，群落总盖度不到1%。由于本项目</w:t>
      </w:r>
      <w:r>
        <w:rPr>
          <w:rFonts w:hint="eastAsia"/>
          <w:color w:val="000000" w:themeColor="text1"/>
          <w:sz w:val="24"/>
          <w:lang w:val="en-US" w:eastAsia="zh-CN"/>
          <w14:textFill>
            <w14:solidFill>
              <w14:schemeClr w14:val="tx1"/>
            </w14:solidFill>
          </w14:textFill>
        </w:rPr>
        <w:t>区域</w:t>
      </w:r>
      <w:r>
        <w:rPr>
          <w:rFonts w:hint="eastAsia"/>
          <w:color w:val="000000" w:themeColor="text1"/>
          <w:sz w:val="24"/>
          <w14:textFill>
            <w14:solidFill>
              <w14:schemeClr w14:val="tx1"/>
            </w14:solidFill>
          </w14:textFill>
        </w:rPr>
        <w:t>人为活动较为频繁，许多野生动物为避免人类干扰，其选择的生境一般位于远离人类活动频繁的区域，矿山周边无国家和地方保护的野生动物物种。</w:t>
      </w:r>
    </w:p>
    <w:p w14:paraId="442B64B7">
      <w:pPr>
        <w:overflowPunct w:val="0"/>
        <w:topLinePunct/>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w:t>
      </w:r>
      <w:r>
        <w:rPr>
          <w:rFonts w:hint="eastAsia"/>
          <w:color w:val="000000" w:themeColor="text1"/>
          <w:sz w:val="24"/>
          <w14:textFill>
            <w14:solidFill>
              <w14:schemeClr w14:val="tx1"/>
            </w14:solidFill>
          </w14:textFill>
        </w:rPr>
        <w:t>在施工建设过程中，通过逐步落实设计及环评提出的各项生态恢复措施，可有效改善区域生态环境现状。随着矿山开采进程的推进，区内人为活动日益频繁，主要的人为活动有车辆运输，人员日常活动等。这些人为干扰活动都将对</w:t>
      </w:r>
      <w:r>
        <w:rPr>
          <w:rFonts w:hint="eastAsia"/>
          <w:color w:val="000000" w:themeColor="text1"/>
          <w:sz w:val="24"/>
          <w:lang w:eastAsia="zh-CN"/>
          <w14:textFill>
            <w14:solidFill>
              <w14:schemeClr w14:val="tx1"/>
            </w14:solidFill>
          </w14:textFill>
        </w:rPr>
        <w:t>项目</w:t>
      </w:r>
      <w:r>
        <w:rPr>
          <w:rFonts w:hint="eastAsia"/>
          <w:color w:val="000000" w:themeColor="text1"/>
          <w:sz w:val="24"/>
          <w14:textFill>
            <w14:solidFill>
              <w14:schemeClr w14:val="tx1"/>
            </w14:solidFill>
          </w14:textFill>
        </w:rPr>
        <w:t>区内植物和野生动物造成干扰，这种干扰逐渐增多，将可能导致野生动物栖息范围改变，影响野生动物的正常生存繁衍。人为干扰活动的影响并无清晰的界限划分，而是共同、长时间地作用于影响区域，逐渐</w:t>
      </w:r>
      <w:r>
        <w:rPr>
          <w:rFonts w:hint="eastAsia"/>
          <w:color w:val="000000" w:themeColor="text1"/>
          <w:sz w:val="24"/>
          <w:lang w:eastAsia="zh-CN"/>
          <w14:textFill>
            <w14:solidFill>
              <w14:schemeClr w14:val="tx1"/>
            </w14:solidFill>
          </w14:textFill>
        </w:rPr>
        <w:t>地</w:t>
      </w:r>
      <w:r>
        <w:rPr>
          <w:rFonts w:hint="eastAsia"/>
          <w:color w:val="000000" w:themeColor="text1"/>
          <w:sz w:val="24"/>
          <w14:textFill>
            <w14:solidFill>
              <w14:schemeClr w14:val="tx1"/>
            </w14:solidFill>
          </w14:textFill>
        </w:rPr>
        <w:t>形成了现有的影响格局。</w:t>
      </w:r>
    </w:p>
    <w:p w14:paraId="5B8F3E15">
      <w:pPr>
        <w:overflowPunct w:val="0"/>
        <w:topLinePunct/>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本项目部分</w:t>
      </w:r>
      <w:r>
        <w:rPr>
          <w:color w:val="000000" w:themeColor="text1"/>
          <w:sz w:val="24"/>
          <w14:textFill>
            <w14:solidFill>
              <w14:schemeClr w14:val="tx1"/>
            </w14:solidFill>
          </w14:textFill>
        </w:rPr>
        <w:t>工程利旧或依托</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占地面积不大，但废石堆场、</w:t>
      </w:r>
      <w:r>
        <w:rPr>
          <w:rFonts w:hint="eastAsia"/>
          <w:color w:val="000000" w:themeColor="text1"/>
          <w:sz w:val="24"/>
          <w:lang w:eastAsia="zh-CN"/>
          <w14:textFill>
            <w14:solidFill>
              <w14:schemeClr w14:val="tx1"/>
            </w14:solidFill>
          </w14:textFill>
        </w:rPr>
        <w:t>西</w:t>
      </w:r>
      <w:r>
        <w:rPr>
          <w:rFonts w:hint="eastAsia"/>
          <w:color w:val="000000" w:themeColor="text1"/>
          <w:sz w:val="24"/>
          <w14:textFill>
            <w14:solidFill>
              <w14:schemeClr w14:val="tx1"/>
            </w14:solidFill>
          </w14:textFill>
        </w:rPr>
        <w:t>风井工业广场等新增地表设施将造成植被破坏，植被覆盖度和生物多样性在工业场地破坏区域都呈现降低的趋势。在项目建设及开采过程中，排放的扬尘、废水、固体废弃物等污染物将逐渐累积，造成局部区域生态环境质量下降，对区域动植物生存的生境造成一定的影响，但本</w:t>
      </w:r>
      <w:r>
        <w:rPr>
          <w:rFonts w:hint="eastAsia"/>
          <w:color w:val="000000" w:themeColor="text1"/>
          <w:sz w:val="24"/>
          <w:lang w:eastAsia="zh-CN"/>
          <w14:textFill>
            <w14:solidFill>
              <w14:schemeClr w14:val="tx1"/>
            </w14:solidFill>
          </w14:textFill>
        </w:rPr>
        <w:t>项目</w:t>
      </w:r>
      <w:r>
        <w:rPr>
          <w:rFonts w:hint="eastAsia"/>
          <w:color w:val="000000" w:themeColor="text1"/>
          <w:sz w:val="24"/>
          <w14:textFill>
            <w14:solidFill>
              <w14:schemeClr w14:val="tx1"/>
            </w14:solidFill>
          </w14:textFill>
        </w:rPr>
        <w:t>在开采过程中通过采取洒水降尘、废水回用、固体废弃物无害化处置等，可将其影响降至最低。通过对原有生态破坏区域的生态恢复，可降低前期累积影响。</w:t>
      </w:r>
    </w:p>
    <w:p w14:paraId="28C2BD94">
      <w:pPr>
        <w:overflowPunct w:val="0"/>
        <w:topLinePunct/>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总体来说，项目所在区域环境现状破坏较轻，生态现状较好。本</w:t>
      </w:r>
      <w:r>
        <w:rPr>
          <w:rFonts w:hint="eastAsia"/>
          <w:color w:val="000000" w:themeColor="text1"/>
          <w:sz w:val="24"/>
          <w:lang w:eastAsia="zh-CN"/>
          <w14:textFill>
            <w14:solidFill>
              <w14:schemeClr w14:val="tx1"/>
            </w14:solidFill>
          </w14:textFill>
        </w:rPr>
        <w:t>项目</w:t>
      </w:r>
      <w:r>
        <w:rPr>
          <w:rFonts w:hint="eastAsia"/>
          <w:color w:val="000000" w:themeColor="text1"/>
          <w:sz w:val="24"/>
          <w14:textFill>
            <w14:solidFill>
              <w14:schemeClr w14:val="tx1"/>
            </w14:solidFill>
          </w14:textFill>
        </w:rPr>
        <w:t>在施工建设及矿石开采过程中，虽然对区域生态环境造成一定的不良影响，但通过对历史遗留生态破坏区的生态恢复、严格落实施工期及开采期的生态环境保护措施及服务期满后的生态恢复措施，可有效改善区域生态环境质量，降低项目实施造成的累积影响。建设单位应尽快落实生态恢复治理中的各项生态治理措施，减少本项目施工及运营期工业活动对周边生态环境的进一步影响，将生态影响程度降到最低。当矿山开采完成后，</w:t>
      </w:r>
      <w:r>
        <w:rPr>
          <w:rFonts w:hint="eastAsia"/>
          <w:color w:val="000000" w:themeColor="text1"/>
          <w:sz w:val="24"/>
          <w:szCs w:val="24"/>
          <w:lang w:val="en-US" w:eastAsia="zh-CN"/>
          <w14:textFill>
            <w14:solidFill>
              <w14:schemeClr w14:val="tx1"/>
            </w14:solidFill>
          </w14:textFill>
        </w:rPr>
        <w:t>采取自然恢复为主，人工养护为辅的治理模式，</w:t>
      </w:r>
      <w:r>
        <w:rPr>
          <w:rFonts w:hint="eastAsia"/>
          <w:color w:val="000000" w:themeColor="text1"/>
          <w:sz w:val="24"/>
          <w14:textFill>
            <w14:solidFill>
              <w14:schemeClr w14:val="tx1"/>
            </w14:solidFill>
          </w14:textFill>
        </w:rPr>
        <w:t>自然生态系统稳定性将进一步增强，促使区域生态环境向好发展。</w:t>
      </w:r>
    </w:p>
    <w:p w14:paraId="3D45B075">
      <w:pPr>
        <w:pStyle w:val="3"/>
        <w:numPr>
          <w:ilvl w:val="1"/>
          <w:numId w:val="0"/>
        </w:numPr>
        <w:rPr>
          <w:rFonts w:hint="eastAsia"/>
          <w:color w:val="000000" w:themeColor="text1"/>
          <w14:textFill>
            <w14:solidFill>
              <w14:schemeClr w14:val="tx1"/>
            </w14:solidFill>
          </w14:textFill>
        </w:rPr>
      </w:pPr>
      <w:bookmarkStart w:id="452" w:name="_Toc6362"/>
      <w:r>
        <w:rPr>
          <w:rFonts w:hint="eastAsia"/>
          <w:color w:val="000000" w:themeColor="text1"/>
          <w14:textFill>
            <w14:solidFill>
              <w14:schemeClr w14:val="tx1"/>
            </w14:solidFill>
          </w14:textFill>
        </w:rPr>
        <w:t>5.3</w:t>
      </w:r>
      <w:r>
        <w:rPr>
          <w:color w:val="000000" w:themeColor="text1"/>
          <w14:textFill>
            <w14:solidFill>
              <w14:schemeClr w14:val="tx1"/>
            </w14:solidFill>
          </w14:textFill>
        </w:rPr>
        <w:t>环境风险分析</w:t>
      </w:r>
      <w:bookmarkEnd w:id="449"/>
      <w:bookmarkEnd w:id="450"/>
      <w:bookmarkEnd w:id="451"/>
      <w:bookmarkEnd w:id="452"/>
    </w:p>
    <w:p w14:paraId="333011D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是指突发性事故对环境造成的危害程度及可能性。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5ED3DDC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遵照《关于进一步加强环境影响评价管理防范环境风险的通知》（环发〔2012〕77号），以《建设项目环境风险评价技术导则》（HJ169-2018）为指导，以突发性事故导致的危险物质环境急性损害防控为目标，对建设项目的环境风险进行分析、预测和评估，提出环境风险预防、控制、减缓措施，明确环境风险监控及应急建议要求，为建设项目环境风险防控提供科学依据，达到降低危险、减少危害的目的。</w:t>
      </w:r>
    </w:p>
    <w:p w14:paraId="5C2A0159">
      <w:pPr>
        <w:pStyle w:val="4"/>
        <w:spacing w:before="60" w:after="60" w:line="480" w:lineRule="exact"/>
        <w:rPr>
          <w:color w:val="000000" w:themeColor="text1"/>
          <w14:textFill>
            <w14:solidFill>
              <w14:schemeClr w14:val="tx1"/>
            </w14:solidFill>
          </w14:textFill>
        </w:rPr>
      </w:pPr>
      <w:bookmarkStart w:id="453" w:name="_Toc18457"/>
      <w:bookmarkStart w:id="454" w:name="_Toc23988"/>
      <w:r>
        <w:rPr>
          <w:color w:val="000000" w:themeColor="text1"/>
          <w14:textFill>
            <w14:solidFill>
              <w14:schemeClr w14:val="tx1"/>
            </w14:solidFill>
          </w14:textFill>
        </w:rPr>
        <w:t>5.3.1环境风险评价程序</w:t>
      </w:r>
      <w:bookmarkEnd w:id="453"/>
      <w:bookmarkEnd w:id="454"/>
    </w:p>
    <w:p w14:paraId="6AEA9C18">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环境风险评价程序详见图5.3-1。</w:t>
      </w:r>
    </w:p>
    <w:p w14:paraId="23C3EFE8">
      <w:pPr>
        <w:jc w:val="center"/>
        <w:rPr>
          <w:color w:val="000000" w:themeColor="text1"/>
          <w:sz w:val="24"/>
          <w14:textFill>
            <w14:solidFill>
              <w14:schemeClr w14:val="tx1"/>
            </w14:solidFill>
          </w14:textFill>
        </w:rPr>
      </w:pPr>
      <w:r>
        <w:rPr>
          <w:color w:val="000000" w:themeColor="text1"/>
          <w14:textFill>
            <w14:solidFill>
              <w14:schemeClr w14:val="tx1"/>
            </w14:solidFill>
          </w14:textFill>
        </w:rPr>
        <w:object>
          <v:shape id="_x0000_i1032" o:spt="75" type="#_x0000_t75" style="height:484.05pt;width:366.35pt;" o:ole="t" filled="f" o:preferrelative="t" stroked="f" coordsize="21600,21600">
            <v:path/>
            <v:fill on="f" focussize="0,0"/>
            <v:stroke on="f"/>
            <v:imagedata r:id="rId65" o:title=""/>
            <o:lock v:ext="edit" aspectratio="t"/>
            <w10:wrap type="none"/>
            <w10:anchorlock/>
          </v:shape>
          <o:OLEObject Type="Embed" ProgID="Visio.Drawing.11" ShapeID="_x0000_i1032" DrawAspect="Content" ObjectID="_1468075733" r:id="rId64">
            <o:LockedField>false</o:LockedField>
          </o:OLEObject>
        </w:object>
      </w:r>
    </w:p>
    <w:p w14:paraId="0CDDE4F5">
      <w:pPr>
        <w:pStyle w:val="494"/>
        <w:spacing w:line="480" w:lineRule="exact"/>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图5.3-1    环境风险评价工作程序图</w:t>
      </w:r>
    </w:p>
    <w:p w14:paraId="6C9A14B9">
      <w:pPr>
        <w:pStyle w:val="4"/>
        <w:spacing w:before="60" w:after="60" w:line="480" w:lineRule="exact"/>
        <w:rPr>
          <w:color w:val="000000" w:themeColor="text1"/>
          <w14:textFill>
            <w14:solidFill>
              <w14:schemeClr w14:val="tx1"/>
            </w14:solidFill>
          </w14:textFill>
        </w:rPr>
      </w:pPr>
      <w:bookmarkStart w:id="455" w:name="_Toc6104"/>
      <w:bookmarkStart w:id="456" w:name="_Toc28269"/>
      <w:bookmarkStart w:id="457" w:name="_Toc12923"/>
      <w:bookmarkStart w:id="458" w:name="_Toc2237"/>
      <w:bookmarkStart w:id="459" w:name="_Toc4057"/>
      <w:r>
        <w:rPr>
          <w:color w:val="000000" w:themeColor="text1"/>
          <w14:textFill>
            <w14:solidFill>
              <w14:schemeClr w14:val="tx1"/>
            </w14:solidFill>
          </w14:textFill>
        </w:rPr>
        <w:t>5.3.2风险调查</w:t>
      </w:r>
      <w:bookmarkEnd w:id="455"/>
      <w:bookmarkEnd w:id="456"/>
      <w:bookmarkEnd w:id="457"/>
      <w:bookmarkEnd w:id="458"/>
      <w:bookmarkEnd w:id="459"/>
    </w:p>
    <w:p w14:paraId="368ED337">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5.3.2.1风险源调查</w:t>
      </w:r>
    </w:p>
    <w:p w14:paraId="4E463C8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建设项目风险源调查建设项目危险物质数量和分布情况以及工艺特点。</w:t>
      </w:r>
    </w:p>
    <w:p w14:paraId="71C8894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（1）物质危险性调查</w:t>
      </w:r>
    </w:p>
    <w:p w14:paraId="6429EFC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物质风险源指存在物质意外释放，并可能产生环境危害的源。</w:t>
      </w:r>
      <w:r>
        <w:rPr>
          <w:rFonts w:hint="eastAsia"/>
          <w:color w:val="000000" w:themeColor="text1"/>
          <w:sz w:val="24"/>
          <w:szCs w:val="24"/>
          <w14:textFill>
            <w14:solidFill>
              <w14:schemeClr w14:val="tx1"/>
            </w14:solidFill>
          </w14:textFill>
        </w:rPr>
        <w:t>本</w:t>
      </w:r>
      <w:r>
        <w:rPr>
          <w:rFonts w:hint="eastAsia"/>
          <w:color w:val="000000" w:themeColor="text1"/>
          <w:sz w:val="24"/>
          <w:szCs w:val="24"/>
          <w:lang w:eastAsia="zh-CN"/>
          <w14:textFill>
            <w14:solidFill>
              <w14:schemeClr w14:val="tx1"/>
            </w14:solidFill>
          </w14:textFill>
        </w:rPr>
        <w:t>项目</w:t>
      </w:r>
      <w:r>
        <w:rPr>
          <w:rFonts w:hint="eastAsia"/>
          <w:color w:val="000000" w:themeColor="text1"/>
          <w:sz w:val="24"/>
          <w:szCs w:val="24"/>
          <w14:textFill>
            <w14:solidFill>
              <w14:schemeClr w14:val="tx1"/>
            </w14:solidFill>
          </w14:textFill>
        </w:rPr>
        <w:t>运行过程中涉及的危险物质为</w:t>
      </w:r>
      <w:r>
        <w:rPr>
          <w:rFonts w:hint="eastAsia"/>
          <w:color w:val="000000" w:themeColor="text1"/>
          <w:sz w:val="24"/>
          <w:szCs w:val="24"/>
          <w:lang w:eastAsia="zh-CN"/>
          <w14:textFill>
            <w14:solidFill>
              <w14:schemeClr w14:val="tx1"/>
            </w14:solidFill>
          </w14:textFill>
        </w:rPr>
        <w:t>柴油、</w:t>
      </w:r>
      <w:r>
        <w:rPr>
          <w:rFonts w:hint="eastAsia"/>
          <w:color w:val="000000" w:themeColor="text1"/>
          <w:sz w:val="24"/>
          <w:szCs w:val="24"/>
          <w14:textFill>
            <w14:solidFill>
              <w14:schemeClr w14:val="tx1"/>
            </w14:solidFill>
          </w14:textFill>
        </w:rPr>
        <w:t>炸药（硝酸铵）及废矿物油</w:t>
      </w:r>
      <w:r>
        <w:rPr>
          <w:color w:val="000000" w:themeColor="text1"/>
          <w:sz w:val="24"/>
          <w14:textFill>
            <w14:solidFill>
              <w14:schemeClr w14:val="tx1"/>
            </w14:solidFill>
          </w14:textFill>
        </w:rPr>
        <w:t>。</w:t>
      </w:r>
    </w:p>
    <w:p w14:paraId="553DEDFC">
      <w:pPr>
        <w:spacing w:line="480" w:lineRule="exact"/>
        <w:ind w:firstLine="480" w:firstLineChars="200"/>
        <w:rPr>
          <w:color w:val="000000" w:themeColor="text1"/>
          <w:sz w:val="24"/>
          <w14:textFill>
            <w14:solidFill>
              <w14:schemeClr w14:val="tx1"/>
            </w14:solidFill>
          </w14:textFill>
        </w:rPr>
      </w:pPr>
    </w:p>
    <w:p w14:paraId="2381F90B">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w:t>
      </w:r>
      <w:r>
        <w:rPr>
          <w:rFonts w:hint="eastAsia" w:ascii="Times New Roman" w:hAnsi="Times New Roman" w:eastAsia="宋体"/>
          <w:b/>
          <w:bCs/>
          <w:snapToGrid w:val="0"/>
          <w:color w:val="000000" w:themeColor="text1"/>
          <w:sz w:val="24"/>
          <w:szCs w:val="24"/>
          <w14:textFill>
            <w14:solidFill>
              <w14:schemeClr w14:val="tx1"/>
            </w14:solidFill>
          </w14:textFill>
        </w:rPr>
        <w:t>5.3-1</w:t>
      </w:r>
      <w:r>
        <w:rPr>
          <w:rFonts w:ascii="Times New Roman" w:hAnsi="Times New Roman" w:eastAsia="宋体"/>
          <w:b/>
          <w:bCs/>
          <w:snapToGrid w:val="0"/>
          <w:color w:val="000000" w:themeColor="text1"/>
          <w:sz w:val="24"/>
          <w:szCs w:val="24"/>
          <w14:textFill>
            <w14:solidFill>
              <w14:schemeClr w14:val="tx1"/>
            </w14:solidFill>
          </w14:textFill>
        </w:rPr>
        <w:t xml:space="preserve">    本项目危险物质数量与临界量的比值</w:t>
      </w:r>
    </w:p>
    <w:tbl>
      <w:tblPr>
        <w:tblStyle w:val="79"/>
        <w:tblW w:w="50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55"/>
        <w:gridCol w:w="2056"/>
        <w:gridCol w:w="1728"/>
        <w:gridCol w:w="1691"/>
        <w:gridCol w:w="1623"/>
      </w:tblGrid>
      <w:tr w14:paraId="4D3457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801" w:type="pct"/>
            <w:noWrap w:val="0"/>
            <w:vAlign w:val="center"/>
          </w:tcPr>
          <w:p w14:paraId="6C68E83D">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设施</w:t>
            </w:r>
          </w:p>
        </w:tc>
        <w:tc>
          <w:tcPr>
            <w:tcW w:w="1216" w:type="pct"/>
            <w:noWrap w:val="0"/>
            <w:vAlign w:val="center"/>
          </w:tcPr>
          <w:p w14:paraId="3E7864D1">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物质名称</w:t>
            </w:r>
          </w:p>
        </w:tc>
        <w:tc>
          <w:tcPr>
            <w:tcW w:w="1022" w:type="pct"/>
            <w:noWrap w:val="0"/>
            <w:vAlign w:val="center"/>
          </w:tcPr>
          <w:p w14:paraId="79B6BADF">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临界量/t</w:t>
            </w:r>
          </w:p>
        </w:tc>
        <w:tc>
          <w:tcPr>
            <w:tcW w:w="1000" w:type="pct"/>
            <w:noWrap w:val="0"/>
            <w:vAlign w:val="center"/>
          </w:tcPr>
          <w:p w14:paraId="5A653CBB">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储存量/t</w:t>
            </w:r>
          </w:p>
        </w:tc>
        <w:tc>
          <w:tcPr>
            <w:tcW w:w="959" w:type="pct"/>
            <w:noWrap w:val="0"/>
            <w:vAlign w:val="center"/>
          </w:tcPr>
          <w:p w14:paraId="3B374ECC">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Q</w:t>
            </w:r>
          </w:p>
        </w:tc>
      </w:tr>
      <w:tr w14:paraId="058E42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1" w:type="pct"/>
            <w:noWrap w:val="0"/>
            <w:vAlign w:val="center"/>
          </w:tcPr>
          <w:p w14:paraId="208877B4">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color w:val="000000" w:themeColor="text1"/>
                <w:spacing w:val="-1"/>
                <w:sz w:val="2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油库</w:t>
            </w:r>
          </w:p>
        </w:tc>
        <w:tc>
          <w:tcPr>
            <w:tcW w:w="1216" w:type="pct"/>
            <w:noWrap w:val="0"/>
            <w:vAlign w:val="center"/>
          </w:tcPr>
          <w:p w14:paraId="08DB3816">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color w:val="000000" w:themeColor="text1"/>
                <w:spacing w:val="-1"/>
                <w:sz w:val="2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柴油</w:t>
            </w:r>
          </w:p>
        </w:tc>
        <w:tc>
          <w:tcPr>
            <w:tcW w:w="1022" w:type="pct"/>
            <w:noWrap w:val="0"/>
            <w:vAlign w:val="center"/>
          </w:tcPr>
          <w:p w14:paraId="1B09527D">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2500</w:t>
            </w:r>
          </w:p>
        </w:tc>
        <w:tc>
          <w:tcPr>
            <w:tcW w:w="1000" w:type="pct"/>
            <w:noWrap w:val="0"/>
            <w:vAlign w:val="center"/>
          </w:tcPr>
          <w:p w14:paraId="4D10ABA6">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20</w:t>
            </w:r>
          </w:p>
        </w:tc>
        <w:tc>
          <w:tcPr>
            <w:tcW w:w="959" w:type="pct"/>
            <w:noWrap w:val="0"/>
            <w:vAlign w:val="center"/>
          </w:tcPr>
          <w:p w14:paraId="483410D7">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0.008</w:t>
            </w:r>
          </w:p>
        </w:tc>
      </w:tr>
      <w:tr w14:paraId="363C96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1" w:type="pct"/>
            <w:noWrap w:val="0"/>
            <w:vAlign w:val="center"/>
          </w:tcPr>
          <w:p w14:paraId="6872D6C1">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爆破器材库</w:t>
            </w:r>
          </w:p>
        </w:tc>
        <w:tc>
          <w:tcPr>
            <w:tcW w:w="1216" w:type="pct"/>
            <w:noWrap w:val="0"/>
            <w:vAlign w:val="center"/>
          </w:tcPr>
          <w:p w14:paraId="670BE929">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炸药</w:t>
            </w:r>
            <w:r>
              <w:rPr>
                <w:rFonts w:hint="eastAsia" w:ascii="Times New Roman" w:hAnsi="Times New Roman" w:cs="Times New Roman"/>
                <w:color w:val="000000" w:themeColor="text1"/>
                <w:spacing w:val="-1"/>
                <w:sz w:val="21"/>
                <w:szCs w:val="21"/>
                <w14:textFill>
                  <w14:solidFill>
                    <w14:schemeClr w14:val="tx1"/>
                  </w14:solidFill>
                </w14:textFill>
              </w:rPr>
              <w:t>（硝酸铵）</w:t>
            </w:r>
          </w:p>
        </w:tc>
        <w:tc>
          <w:tcPr>
            <w:tcW w:w="1022" w:type="pct"/>
            <w:noWrap w:val="0"/>
            <w:vAlign w:val="center"/>
          </w:tcPr>
          <w:p w14:paraId="5FB10504">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50</w:t>
            </w:r>
          </w:p>
        </w:tc>
        <w:tc>
          <w:tcPr>
            <w:tcW w:w="1000" w:type="pct"/>
            <w:noWrap w:val="0"/>
            <w:vAlign w:val="center"/>
          </w:tcPr>
          <w:p w14:paraId="40C75FDB">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t>30</w:t>
            </w:r>
          </w:p>
        </w:tc>
        <w:tc>
          <w:tcPr>
            <w:tcW w:w="959" w:type="pct"/>
            <w:noWrap w:val="0"/>
            <w:vAlign w:val="center"/>
          </w:tcPr>
          <w:p w14:paraId="484BFDC0">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t>0.6</w:t>
            </w:r>
          </w:p>
        </w:tc>
      </w:tr>
      <w:tr w14:paraId="538216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1" w:type="pct"/>
            <w:noWrap w:val="0"/>
            <w:vAlign w:val="center"/>
          </w:tcPr>
          <w:p w14:paraId="6254400C">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color w:val="000000" w:themeColor="text1"/>
                <w:spacing w:val="-1"/>
                <w:sz w:val="2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危废贮存点</w:t>
            </w:r>
          </w:p>
        </w:tc>
        <w:tc>
          <w:tcPr>
            <w:tcW w:w="1216" w:type="pct"/>
            <w:noWrap w:val="0"/>
            <w:vAlign w:val="center"/>
          </w:tcPr>
          <w:p w14:paraId="475D170C">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废矿物油</w:t>
            </w:r>
          </w:p>
        </w:tc>
        <w:tc>
          <w:tcPr>
            <w:tcW w:w="1022" w:type="pct"/>
            <w:noWrap w:val="0"/>
            <w:vAlign w:val="center"/>
          </w:tcPr>
          <w:p w14:paraId="6C0B92F6">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2500</w:t>
            </w:r>
          </w:p>
        </w:tc>
        <w:tc>
          <w:tcPr>
            <w:tcW w:w="1000" w:type="pct"/>
            <w:noWrap w:val="0"/>
            <w:vAlign w:val="center"/>
          </w:tcPr>
          <w:p w14:paraId="440DF23B">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1</w:t>
            </w:r>
          </w:p>
        </w:tc>
        <w:tc>
          <w:tcPr>
            <w:tcW w:w="959" w:type="pct"/>
            <w:noWrap w:val="0"/>
            <w:vAlign w:val="center"/>
          </w:tcPr>
          <w:p w14:paraId="09ACA020">
            <w:pPr>
              <w:pStyle w:val="6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0.0004</w:t>
            </w:r>
          </w:p>
        </w:tc>
      </w:tr>
    </w:tbl>
    <w:p w14:paraId="49A41FD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生产运行过程使用</w:t>
      </w:r>
      <w:r>
        <w:rPr>
          <w:rFonts w:hint="eastAsia"/>
          <w:color w:val="000000" w:themeColor="text1"/>
          <w:sz w:val="24"/>
          <w:szCs w:val="24"/>
          <w14:textFill>
            <w14:solidFill>
              <w14:schemeClr w14:val="tx1"/>
            </w14:solidFill>
          </w14:textFill>
        </w:rPr>
        <w:t>炸药（硝酸铵）</w:t>
      </w:r>
      <w:r>
        <w:rPr>
          <w:rFonts w:hint="eastAsia"/>
          <w:color w:val="000000" w:themeColor="text1"/>
          <w:sz w:val="24"/>
          <w:szCs w:val="24"/>
          <w:lang w:eastAsia="zh-CN"/>
          <w14:textFill>
            <w14:solidFill>
              <w14:schemeClr w14:val="tx1"/>
            </w14:solidFill>
          </w14:textFill>
        </w:rPr>
        <w:t>、柴油及废矿物油</w:t>
      </w:r>
      <w:r>
        <w:rPr>
          <w:color w:val="000000" w:themeColor="text1"/>
          <w:sz w:val="24"/>
          <w14:textFill>
            <w14:solidFill>
              <w14:schemeClr w14:val="tx1"/>
            </w14:solidFill>
          </w14:textFill>
        </w:rPr>
        <w:t>，其理化性质及基本特征情况见表5.</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~5.3-4</w:t>
      </w:r>
      <w:r>
        <w:rPr>
          <w:color w:val="000000" w:themeColor="text1"/>
          <w:sz w:val="24"/>
          <w14:textFill>
            <w14:solidFill>
              <w14:schemeClr w14:val="tx1"/>
            </w14:solidFill>
          </w14:textFill>
        </w:rPr>
        <w:t>。</w:t>
      </w:r>
    </w:p>
    <w:p w14:paraId="6AC79A6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表5.3-</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柴油的理化性质和危险特性一览表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1217"/>
        <w:gridCol w:w="2190"/>
        <w:gridCol w:w="1704"/>
        <w:gridCol w:w="1709"/>
      </w:tblGrid>
      <w:tr w14:paraId="4642A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tcBorders>
              <w:top w:val="single" w:color="auto" w:sz="12" w:space="0"/>
            </w:tcBorders>
            <w:noWrap w:val="0"/>
            <w:vAlign w:val="center"/>
          </w:tcPr>
          <w:p w14:paraId="6FD14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品名</w:t>
            </w:r>
          </w:p>
        </w:tc>
        <w:tc>
          <w:tcPr>
            <w:tcW w:w="1999" w:type="pct"/>
            <w:gridSpan w:val="2"/>
            <w:tcBorders>
              <w:top w:val="single" w:color="auto" w:sz="12" w:space="0"/>
            </w:tcBorders>
            <w:noWrap w:val="0"/>
            <w:vAlign w:val="center"/>
          </w:tcPr>
          <w:p w14:paraId="55CF9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柴油</w:t>
            </w:r>
          </w:p>
        </w:tc>
        <w:tc>
          <w:tcPr>
            <w:tcW w:w="1000" w:type="pct"/>
            <w:tcBorders>
              <w:top w:val="single" w:color="auto" w:sz="12" w:space="0"/>
            </w:tcBorders>
            <w:noWrap w:val="0"/>
            <w:vAlign w:val="center"/>
          </w:tcPr>
          <w:p w14:paraId="49766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 w:val="0"/>
                <w:bCs/>
                <w:color w:val="000000" w:themeColor="text1"/>
                <w:sz w:val="21"/>
                <w:szCs w:val="21"/>
                <w:highlight w:val="none"/>
                <w14:textFill>
                  <w14:solidFill>
                    <w14:schemeClr w14:val="tx1"/>
                  </w14:solidFill>
                </w14:textFill>
              </w:rPr>
              <w:t>别名</w:t>
            </w:r>
          </w:p>
        </w:tc>
        <w:tc>
          <w:tcPr>
            <w:tcW w:w="1003" w:type="pct"/>
            <w:tcBorders>
              <w:top w:val="single" w:color="auto" w:sz="12" w:space="0"/>
            </w:tcBorders>
            <w:noWrap w:val="0"/>
            <w:vAlign w:val="center"/>
          </w:tcPr>
          <w:p w14:paraId="47F1B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油渣</w:t>
            </w:r>
          </w:p>
        </w:tc>
      </w:tr>
      <w:tr w14:paraId="0D40E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restart"/>
            <w:noWrap w:val="0"/>
            <w:vAlign w:val="center"/>
          </w:tcPr>
          <w:p w14:paraId="7D614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理化性质</w:t>
            </w:r>
          </w:p>
        </w:tc>
        <w:tc>
          <w:tcPr>
            <w:tcW w:w="714" w:type="pct"/>
            <w:noWrap w:val="0"/>
            <w:vAlign w:val="center"/>
          </w:tcPr>
          <w:p w14:paraId="603E9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闪电</w:t>
            </w:r>
          </w:p>
        </w:tc>
        <w:tc>
          <w:tcPr>
            <w:tcW w:w="1284" w:type="pct"/>
            <w:noWrap w:val="0"/>
            <w:vAlign w:val="center"/>
          </w:tcPr>
          <w:p w14:paraId="30AD8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38</w:t>
            </w:r>
            <w:r>
              <w:rPr>
                <w:rFonts w:hint="eastAsia" w:ascii="Times New Roman" w:hAnsi="Times New Roman" w:cs="宋体"/>
                <w:color w:val="000000" w:themeColor="text1"/>
                <w:sz w:val="21"/>
                <w:szCs w:val="21"/>
                <w:highlight w:val="none"/>
                <w14:textFill>
                  <w14:solidFill>
                    <w14:schemeClr w14:val="tx1"/>
                  </w14:solidFill>
                </w14:textFill>
              </w:rPr>
              <w:t>℃</w:t>
            </w:r>
          </w:p>
        </w:tc>
        <w:tc>
          <w:tcPr>
            <w:tcW w:w="1000" w:type="pct"/>
            <w:noWrap w:val="0"/>
            <w:vAlign w:val="center"/>
          </w:tcPr>
          <w:p w14:paraId="02E6A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沸点</w:t>
            </w:r>
          </w:p>
        </w:tc>
        <w:tc>
          <w:tcPr>
            <w:tcW w:w="1003" w:type="pct"/>
            <w:noWrap w:val="0"/>
            <w:vAlign w:val="center"/>
          </w:tcPr>
          <w:p w14:paraId="6890E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170-390</w:t>
            </w:r>
            <w:r>
              <w:rPr>
                <w:rFonts w:hint="eastAsia" w:ascii="Times New Roman" w:hAnsi="Times New Roman" w:cs="宋体"/>
                <w:color w:val="000000" w:themeColor="text1"/>
                <w:sz w:val="21"/>
                <w:szCs w:val="21"/>
                <w:highlight w:val="none"/>
                <w14:textFill>
                  <w14:solidFill>
                    <w14:schemeClr w14:val="tx1"/>
                  </w14:solidFill>
                </w14:textFill>
              </w:rPr>
              <w:t>℃</w:t>
            </w:r>
          </w:p>
        </w:tc>
      </w:tr>
      <w:tr w14:paraId="4940C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noWrap w:val="0"/>
            <w:vAlign w:val="center"/>
          </w:tcPr>
          <w:p w14:paraId="300DE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p>
        </w:tc>
        <w:tc>
          <w:tcPr>
            <w:tcW w:w="714" w:type="pct"/>
            <w:noWrap w:val="0"/>
            <w:vAlign w:val="center"/>
          </w:tcPr>
          <w:p w14:paraId="06E4D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相对密度（水</w:t>
            </w: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1284" w:type="pct"/>
            <w:noWrap w:val="0"/>
            <w:vAlign w:val="center"/>
          </w:tcPr>
          <w:p w14:paraId="49909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0.82-0.846</w:t>
            </w:r>
          </w:p>
        </w:tc>
        <w:tc>
          <w:tcPr>
            <w:tcW w:w="1000" w:type="pct"/>
            <w:noWrap w:val="0"/>
            <w:vAlign w:val="center"/>
          </w:tcPr>
          <w:p w14:paraId="11916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AS</w:t>
            </w:r>
            <w:r>
              <w:rPr>
                <w:rFonts w:hint="eastAsia" w:ascii="Times New Roman" w:hAnsi="Times New Roman" w:cs="Times New Roman"/>
                <w:color w:val="000000" w:themeColor="text1"/>
                <w:sz w:val="21"/>
                <w:szCs w:val="21"/>
                <w:highlight w:val="none"/>
                <w14:textFill>
                  <w14:solidFill>
                    <w14:schemeClr w14:val="tx1"/>
                  </w14:solidFill>
                </w14:textFill>
              </w:rPr>
              <w:t>号</w:t>
            </w:r>
          </w:p>
        </w:tc>
        <w:tc>
          <w:tcPr>
            <w:tcW w:w="1003" w:type="pct"/>
            <w:noWrap w:val="0"/>
            <w:vAlign w:val="center"/>
          </w:tcPr>
          <w:p w14:paraId="5F2D3A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68334-30-5</w:t>
            </w:r>
          </w:p>
        </w:tc>
      </w:tr>
      <w:tr w14:paraId="5BD5B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noWrap w:val="0"/>
            <w:vAlign w:val="top"/>
          </w:tcPr>
          <w:p w14:paraId="3D791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p>
        </w:tc>
        <w:tc>
          <w:tcPr>
            <w:tcW w:w="4002" w:type="pct"/>
            <w:gridSpan w:val="4"/>
            <w:noWrap w:val="0"/>
            <w:vAlign w:val="top"/>
          </w:tcPr>
          <w:p w14:paraId="3E06D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外观性状：有色透明液体。</w:t>
            </w:r>
          </w:p>
        </w:tc>
      </w:tr>
      <w:tr w14:paraId="03B41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noWrap w:val="0"/>
            <w:vAlign w:val="top"/>
          </w:tcPr>
          <w:p w14:paraId="50EE0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p>
        </w:tc>
        <w:tc>
          <w:tcPr>
            <w:tcW w:w="4002" w:type="pct"/>
            <w:gridSpan w:val="4"/>
            <w:noWrap w:val="0"/>
            <w:vAlign w:val="top"/>
          </w:tcPr>
          <w:p w14:paraId="0AB67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溶解性：难溶于水，易溶于醇和其他有机溶剂。</w:t>
            </w:r>
          </w:p>
        </w:tc>
      </w:tr>
      <w:tr w14:paraId="6A3A7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noWrap w:val="0"/>
            <w:vAlign w:val="center"/>
          </w:tcPr>
          <w:p w14:paraId="3D536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稳定性和危险性</w:t>
            </w:r>
          </w:p>
        </w:tc>
        <w:tc>
          <w:tcPr>
            <w:tcW w:w="4002" w:type="pct"/>
            <w:gridSpan w:val="4"/>
            <w:noWrap w:val="0"/>
            <w:vAlign w:val="top"/>
          </w:tcPr>
          <w:p w14:paraId="6FFA5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稳定性：化学性质很稳定。</w:t>
            </w:r>
          </w:p>
          <w:p w14:paraId="3F375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危险性：柴油属于易燃物，其蒸气在</w:t>
            </w:r>
            <w:r>
              <w:rPr>
                <w:rFonts w:hint="default" w:ascii="Times New Roman" w:hAnsi="Times New Roman" w:cs="Times New Roman"/>
                <w:color w:val="000000" w:themeColor="text1"/>
                <w:sz w:val="21"/>
                <w:szCs w:val="21"/>
                <w:highlight w:val="none"/>
                <w14:textFill>
                  <w14:solidFill>
                    <w14:schemeClr w14:val="tx1"/>
                  </w14:solidFill>
                </w14:textFill>
              </w:rPr>
              <w:t>60</w:t>
            </w:r>
            <w:r>
              <w:rPr>
                <w:rFonts w:hint="eastAsia" w:ascii="Times New Roman" w:hAnsi="Times New Roman" w:cs="宋体"/>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14:textFill>
                  <w14:solidFill>
                    <w14:schemeClr w14:val="tx1"/>
                  </w14:solidFill>
                </w14:textFill>
              </w:rPr>
              <w:t>时遇明火会燃烧，燃烧放出大量热；柴油是电的不良导体，在运输、灌装过程中，油分子之间、柴油与其他物质之间的摩擦会产生静电，产生电火花。</w:t>
            </w:r>
          </w:p>
          <w:p w14:paraId="0AA1A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燃烧产物：内燃机燃烧柴油所产生的废气含有氮氧化物、一氧化碳、二氧化碳、醛类和不完全燃烧时的大量黑烟。黑烟中有未经燃烧的油雾、碳粒，一些高沸点的杂环和芳烃物质，并有些致癌物如</w:t>
            </w:r>
            <w:r>
              <w:rPr>
                <w:rFonts w:hint="default" w:ascii="Times New Roman" w:hAnsi="Times New Roman" w:cs="Times New Roman"/>
                <w:color w:val="000000" w:themeColor="text1"/>
                <w:sz w:val="21"/>
                <w:szCs w:val="21"/>
                <w:highlight w:val="none"/>
                <w14:textFill>
                  <w14:solidFill>
                    <w14:schemeClr w14:val="tx1"/>
                  </w14:solidFill>
                </w14:textFill>
              </w:rPr>
              <w:t>3.4-</w:t>
            </w:r>
            <w:r>
              <w:rPr>
                <w:rFonts w:hint="eastAsia" w:ascii="Times New Roman" w:hAnsi="Times New Roman" w:cs="Times New Roman"/>
                <w:color w:val="000000" w:themeColor="text1"/>
                <w:sz w:val="21"/>
                <w:szCs w:val="21"/>
                <w:highlight w:val="none"/>
                <w14:textFill>
                  <w14:solidFill>
                    <w14:schemeClr w14:val="tx1"/>
                  </w14:solidFill>
                </w14:textFill>
              </w:rPr>
              <w:t>苯并芘，可造成污染。</w:t>
            </w:r>
          </w:p>
        </w:tc>
      </w:tr>
      <w:tr w14:paraId="03842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noWrap w:val="0"/>
            <w:vAlign w:val="center"/>
          </w:tcPr>
          <w:p w14:paraId="243FC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毒理学资料</w:t>
            </w:r>
          </w:p>
        </w:tc>
        <w:tc>
          <w:tcPr>
            <w:tcW w:w="4002" w:type="pct"/>
            <w:gridSpan w:val="4"/>
            <w:noWrap w:val="0"/>
            <w:vAlign w:val="top"/>
          </w:tcPr>
          <w:p w14:paraId="1DCAA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侵入途径：皮肤吸收、呼吸道吸入。</w:t>
            </w:r>
            <w:r>
              <w:rPr>
                <w:rFonts w:hint="default" w:ascii="Times New Roman" w:hAnsi="Times New Roman" w:cs="Times New Roman"/>
                <w:color w:val="000000" w:themeColor="text1"/>
                <w:sz w:val="21"/>
                <w:szCs w:val="21"/>
                <w:highlight w:val="none"/>
                <w14:textFill>
                  <w14:solidFill>
                    <w14:schemeClr w14:val="tx1"/>
                  </w14:solidFill>
                </w14:textFill>
              </w:rPr>
              <w:t> </w:t>
            </w:r>
          </w:p>
          <w:p w14:paraId="3584B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健康：柴油有麻醉和刺激作用，柴油的雾滴吸入后可致吸入性肺炎，皮肤接触柴油可致接触性皮炎，可引起眼、鼻刺激症状、头晕和头痛。</w:t>
            </w:r>
          </w:p>
        </w:tc>
      </w:tr>
      <w:tr w14:paraId="47D80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restart"/>
            <w:noWrap w:val="0"/>
            <w:vAlign w:val="center"/>
          </w:tcPr>
          <w:p w14:paraId="3D269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安全防护措施</w:t>
            </w:r>
          </w:p>
        </w:tc>
        <w:tc>
          <w:tcPr>
            <w:tcW w:w="714" w:type="pct"/>
            <w:noWrap w:val="0"/>
            <w:vAlign w:val="center"/>
          </w:tcPr>
          <w:p w14:paraId="54618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呼吸系统防护</w:t>
            </w:r>
          </w:p>
        </w:tc>
        <w:tc>
          <w:tcPr>
            <w:tcW w:w="3288" w:type="pct"/>
            <w:gridSpan w:val="3"/>
            <w:noWrap w:val="0"/>
            <w:vAlign w:val="top"/>
          </w:tcPr>
          <w:p w14:paraId="1CB5E1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空气中浓度超标时建议佩戴自吸过滤式防毒面具，紧急事态抢救时应佩戴空气呼吸器；避免口腔和皮肤与柴油接触；维修柴油机场所应保持通风，操作者在上风口位置，尽量减少柴油蒸气吸入。</w:t>
            </w:r>
          </w:p>
        </w:tc>
      </w:tr>
      <w:tr w14:paraId="078AB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noWrap w:val="0"/>
            <w:vAlign w:val="center"/>
          </w:tcPr>
          <w:p w14:paraId="12ABAE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p>
        </w:tc>
        <w:tc>
          <w:tcPr>
            <w:tcW w:w="714" w:type="pct"/>
            <w:noWrap w:val="0"/>
            <w:vAlign w:val="center"/>
          </w:tcPr>
          <w:p w14:paraId="3D476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眼睛防护</w:t>
            </w:r>
          </w:p>
        </w:tc>
        <w:tc>
          <w:tcPr>
            <w:tcW w:w="3288" w:type="pct"/>
            <w:gridSpan w:val="3"/>
            <w:noWrap w:val="0"/>
            <w:vAlign w:val="top"/>
          </w:tcPr>
          <w:p w14:paraId="6A128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戴化学安全防护眼镜。</w:t>
            </w:r>
          </w:p>
        </w:tc>
      </w:tr>
      <w:tr w14:paraId="63CB9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noWrap w:val="0"/>
            <w:vAlign w:val="center"/>
          </w:tcPr>
          <w:p w14:paraId="3BB00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p>
        </w:tc>
        <w:tc>
          <w:tcPr>
            <w:tcW w:w="714" w:type="pct"/>
            <w:noWrap w:val="0"/>
            <w:vAlign w:val="center"/>
          </w:tcPr>
          <w:p w14:paraId="721343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身体防护</w:t>
            </w:r>
          </w:p>
        </w:tc>
        <w:tc>
          <w:tcPr>
            <w:tcW w:w="3288" w:type="pct"/>
            <w:gridSpan w:val="3"/>
            <w:noWrap w:val="0"/>
            <w:vAlign w:val="top"/>
          </w:tcPr>
          <w:p w14:paraId="3AEDB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穿工作服（防腐材料制作）</w:t>
            </w:r>
          </w:p>
        </w:tc>
      </w:tr>
      <w:tr w14:paraId="116DB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noWrap w:val="0"/>
            <w:vAlign w:val="center"/>
          </w:tcPr>
          <w:p w14:paraId="7ADD7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p>
        </w:tc>
        <w:tc>
          <w:tcPr>
            <w:tcW w:w="714" w:type="pct"/>
            <w:noWrap w:val="0"/>
            <w:vAlign w:val="center"/>
          </w:tcPr>
          <w:p w14:paraId="31DBF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手防护</w:t>
            </w:r>
          </w:p>
        </w:tc>
        <w:tc>
          <w:tcPr>
            <w:tcW w:w="3288" w:type="pct"/>
            <w:gridSpan w:val="3"/>
            <w:noWrap w:val="0"/>
            <w:vAlign w:val="top"/>
          </w:tcPr>
          <w:p w14:paraId="51F35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戴橡胶耐油手套。</w:t>
            </w:r>
          </w:p>
        </w:tc>
      </w:tr>
      <w:tr w14:paraId="07A1D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noWrap w:val="0"/>
            <w:vAlign w:val="center"/>
          </w:tcPr>
          <w:p w14:paraId="05602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p>
        </w:tc>
        <w:tc>
          <w:tcPr>
            <w:tcW w:w="714" w:type="pct"/>
            <w:noWrap w:val="0"/>
            <w:vAlign w:val="center"/>
          </w:tcPr>
          <w:p w14:paraId="6640B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其他</w:t>
            </w:r>
          </w:p>
        </w:tc>
        <w:tc>
          <w:tcPr>
            <w:tcW w:w="3288" w:type="pct"/>
            <w:gridSpan w:val="3"/>
            <w:noWrap w:val="0"/>
            <w:vAlign w:val="top"/>
          </w:tcPr>
          <w:p w14:paraId="2024C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工作后，淋浴更衣，保持良好的卫生习惯</w:t>
            </w:r>
          </w:p>
        </w:tc>
      </w:tr>
      <w:tr w14:paraId="5BBF0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restart"/>
            <w:noWrap w:val="0"/>
            <w:vAlign w:val="center"/>
          </w:tcPr>
          <w:p w14:paraId="396D6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应急措施</w:t>
            </w:r>
          </w:p>
        </w:tc>
        <w:tc>
          <w:tcPr>
            <w:tcW w:w="714" w:type="pct"/>
            <w:noWrap w:val="0"/>
            <w:vAlign w:val="center"/>
          </w:tcPr>
          <w:p w14:paraId="53097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急救措施</w:t>
            </w:r>
          </w:p>
        </w:tc>
        <w:tc>
          <w:tcPr>
            <w:tcW w:w="3288" w:type="pct"/>
            <w:gridSpan w:val="3"/>
            <w:noWrap w:val="0"/>
            <w:vAlign w:val="top"/>
          </w:tcPr>
          <w:p w14:paraId="62B7B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皮肤接触：立即脱掉污染的衣服，用肥皂和清水冲洗皮肤，出现皮炎要就医；</w:t>
            </w:r>
          </w:p>
          <w:p w14:paraId="1F1A5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眼睛接触：立即翻开上下眼睑，用流动水或生理盐水冲洗，然后就医；</w:t>
            </w:r>
          </w:p>
          <w:p w14:paraId="7A6E0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吸入：迅速撤离现场至空气清新处，保持呼吸通畅，如呼吸困难，给输氧，如呼吸停止，立即进行人工呼吸，就医；</w:t>
            </w:r>
          </w:p>
          <w:p w14:paraId="12049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食入：误食柴油者，可饮牛奶，尽快彻底洗胃，要送医院就医</w:t>
            </w:r>
          </w:p>
        </w:tc>
      </w:tr>
      <w:tr w14:paraId="572FA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noWrap w:val="0"/>
            <w:vAlign w:val="top"/>
          </w:tcPr>
          <w:p w14:paraId="3EB8D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14" w:type="pct"/>
            <w:noWrap w:val="0"/>
            <w:vAlign w:val="center"/>
          </w:tcPr>
          <w:p w14:paraId="19650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泄漏</w:t>
            </w:r>
            <w:r>
              <w:rPr>
                <w:rFonts w:hint="eastAsia" w:ascii="Times New Roman" w:hAnsi="Times New Roman" w:cs="Times New Roman"/>
                <w:color w:val="000000" w:themeColor="text1"/>
                <w:sz w:val="21"/>
                <w:szCs w:val="21"/>
                <w:highlight w:val="none"/>
                <w14:textFill>
                  <w14:solidFill>
                    <w14:schemeClr w14:val="tx1"/>
                  </w14:solidFill>
                </w14:textFill>
              </w:rPr>
              <w:t>措施</w:t>
            </w:r>
          </w:p>
        </w:tc>
        <w:tc>
          <w:tcPr>
            <w:tcW w:w="3288" w:type="pct"/>
            <w:gridSpan w:val="3"/>
            <w:noWrap w:val="0"/>
            <w:vAlign w:val="top"/>
          </w:tcPr>
          <w:p w14:paraId="08E41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首先切断</w:t>
            </w:r>
            <w:r>
              <w:rPr>
                <w:rFonts w:hint="eastAsia" w:cs="Times New Roman"/>
                <w:color w:val="000000" w:themeColor="text1"/>
                <w:sz w:val="21"/>
                <w:szCs w:val="21"/>
                <w:highlight w:val="none"/>
                <w:lang w:eastAsia="zh-CN"/>
                <w14:textFill>
                  <w14:solidFill>
                    <w14:schemeClr w14:val="tx1"/>
                  </w14:solidFill>
                </w14:textFill>
              </w:rPr>
              <w:t>泄漏油罐</w:t>
            </w:r>
            <w:r>
              <w:rPr>
                <w:rFonts w:hint="eastAsia" w:ascii="Times New Roman" w:hAnsi="Times New Roman" w:cs="Times New Roman"/>
                <w:color w:val="000000" w:themeColor="text1"/>
                <w:sz w:val="21"/>
                <w:szCs w:val="21"/>
                <w:highlight w:val="none"/>
                <w14:textFill>
                  <w14:solidFill>
                    <w14:schemeClr w14:val="tx1"/>
                  </w14:solidFill>
                </w14:textFill>
              </w:rPr>
              <w:t>附近的所有电源，熄灭油附近的所有明火，隔离</w:t>
            </w:r>
            <w:r>
              <w:rPr>
                <w:rFonts w:hint="eastAsia" w:cs="Times New Roman"/>
                <w:color w:val="000000" w:themeColor="text1"/>
                <w:sz w:val="21"/>
                <w:szCs w:val="21"/>
                <w:highlight w:val="none"/>
                <w:lang w:eastAsia="zh-CN"/>
                <w14:textFill>
                  <w14:solidFill>
                    <w14:schemeClr w14:val="tx1"/>
                  </w14:solidFill>
                </w14:textFill>
              </w:rPr>
              <w:t>泄漏</w:t>
            </w:r>
            <w:r>
              <w:rPr>
                <w:rFonts w:hint="eastAsia" w:ascii="Times New Roman" w:hAnsi="Times New Roman" w:cs="Times New Roman"/>
                <w:color w:val="000000" w:themeColor="text1"/>
                <w:sz w:val="21"/>
                <w:szCs w:val="21"/>
                <w:highlight w:val="none"/>
                <w14:textFill>
                  <w14:solidFill>
                    <w14:schemeClr w14:val="tx1"/>
                  </w14:solidFill>
                </w14:textFill>
              </w:rPr>
              <w:t>污染区，严禁携带火种靠近漏油区；在回收油品时，严禁使用铁制工具，以免发生撞击摩擦起火；待油迹清除后，确认无火灾隐患，方可开始继续进行；漏油处必须进行维修，确认无漏油方可开始继续使用</w:t>
            </w:r>
          </w:p>
        </w:tc>
      </w:tr>
      <w:tr w14:paraId="7401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7" w:type="pct"/>
            <w:vMerge w:val="continue"/>
            <w:tcBorders>
              <w:bottom w:val="single" w:color="auto" w:sz="12" w:space="0"/>
            </w:tcBorders>
            <w:noWrap w:val="0"/>
            <w:vAlign w:val="top"/>
          </w:tcPr>
          <w:p w14:paraId="79DB4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14" w:type="pct"/>
            <w:tcBorders>
              <w:bottom w:val="single" w:color="auto" w:sz="12" w:space="0"/>
            </w:tcBorders>
            <w:noWrap w:val="0"/>
            <w:vAlign w:val="center"/>
          </w:tcPr>
          <w:p w14:paraId="64661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消防方法</w:t>
            </w:r>
          </w:p>
        </w:tc>
        <w:tc>
          <w:tcPr>
            <w:tcW w:w="3288" w:type="pct"/>
            <w:gridSpan w:val="3"/>
            <w:tcBorders>
              <w:bottom w:val="single" w:color="auto" w:sz="12" w:space="0"/>
            </w:tcBorders>
            <w:noWrap w:val="0"/>
            <w:vAlign w:val="top"/>
          </w:tcPr>
          <w:p w14:paraId="56DA0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雾状水、泡沫、干粉、二氧化碳、砂土</w:t>
            </w:r>
          </w:p>
        </w:tc>
      </w:tr>
    </w:tbl>
    <w:p w14:paraId="5EC111E9">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 xml:space="preserve">    硝酸铵的</w:t>
      </w:r>
      <w:r>
        <w:rPr>
          <w:rFonts w:hint="eastAsia"/>
          <w:b/>
          <w:color w:val="000000" w:themeColor="text1"/>
          <w:sz w:val="24"/>
          <w:szCs w:val="24"/>
          <w14:textFill>
            <w14:solidFill>
              <w14:schemeClr w14:val="tx1"/>
            </w14:solidFill>
          </w14:textFill>
        </w:rPr>
        <w:t>理化性质及危险特性</w:t>
      </w:r>
      <w:r>
        <w:rPr>
          <w:b/>
          <w:bCs/>
          <w:color w:val="000000" w:themeColor="text1"/>
          <w:sz w:val="24"/>
          <w14:textFill>
            <w14:solidFill>
              <w14:schemeClr w14:val="tx1"/>
            </w14:solidFill>
          </w14:textFill>
        </w:rPr>
        <w:t>一览表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6"/>
        <w:gridCol w:w="1089"/>
        <w:gridCol w:w="1159"/>
        <w:gridCol w:w="1090"/>
        <w:gridCol w:w="1704"/>
        <w:gridCol w:w="992"/>
        <w:gridCol w:w="1479"/>
      </w:tblGrid>
      <w:tr w14:paraId="325FE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tcBorders>
              <w:top w:val="single" w:color="auto" w:sz="12" w:space="0"/>
            </w:tcBorders>
            <w:noWrap w:val="0"/>
            <w:vAlign w:val="center"/>
          </w:tcPr>
          <w:p w14:paraId="0012CB94">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品名</w:t>
            </w:r>
          </w:p>
        </w:tc>
        <w:tc>
          <w:tcPr>
            <w:tcW w:w="639" w:type="pct"/>
            <w:tcBorders>
              <w:top w:val="single" w:color="auto" w:sz="12" w:space="0"/>
            </w:tcBorders>
            <w:noWrap w:val="0"/>
            <w:vAlign w:val="center"/>
          </w:tcPr>
          <w:p w14:paraId="0B2539F8">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硝酸铵</w:t>
            </w:r>
          </w:p>
        </w:tc>
        <w:tc>
          <w:tcPr>
            <w:tcW w:w="680" w:type="pct"/>
            <w:tcBorders>
              <w:top w:val="single" w:color="auto" w:sz="12" w:space="0"/>
            </w:tcBorders>
            <w:noWrap w:val="0"/>
            <w:vAlign w:val="center"/>
          </w:tcPr>
          <w:p w14:paraId="69FB20A3">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14:textFill>
                  <w14:solidFill>
                    <w14:schemeClr w14:val="tx1"/>
                  </w14:solidFill>
                </w14:textFill>
              </w:rPr>
              <w:t>别名</w:t>
            </w:r>
          </w:p>
        </w:tc>
        <w:tc>
          <w:tcPr>
            <w:tcW w:w="1640" w:type="pct"/>
            <w:gridSpan w:val="2"/>
            <w:tcBorders>
              <w:top w:val="single" w:color="auto" w:sz="12" w:space="0"/>
            </w:tcBorders>
            <w:noWrap w:val="0"/>
            <w:vAlign w:val="center"/>
          </w:tcPr>
          <w:p w14:paraId="1C4D182D">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硝铵</w:t>
            </w:r>
          </w:p>
        </w:tc>
        <w:tc>
          <w:tcPr>
            <w:tcW w:w="582" w:type="pct"/>
            <w:tcBorders>
              <w:top w:val="single" w:color="auto" w:sz="12" w:space="0"/>
            </w:tcBorders>
            <w:noWrap w:val="0"/>
            <w:vAlign w:val="center"/>
          </w:tcPr>
          <w:p w14:paraId="75183362">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英文名</w:t>
            </w:r>
          </w:p>
        </w:tc>
        <w:tc>
          <w:tcPr>
            <w:tcW w:w="865" w:type="pct"/>
            <w:tcBorders>
              <w:top w:val="single" w:color="auto" w:sz="12" w:space="0"/>
            </w:tcBorders>
            <w:noWrap w:val="0"/>
            <w:vAlign w:val="center"/>
          </w:tcPr>
          <w:p w14:paraId="03380A10">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Ammonium nitrate</w:t>
            </w:r>
          </w:p>
        </w:tc>
      </w:tr>
      <w:tr w14:paraId="5DF149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restart"/>
            <w:noWrap w:val="0"/>
            <w:vAlign w:val="center"/>
          </w:tcPr>
          <w:p w14:paraId="46019AB1">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理化性质</w:t>
            </w:r>
          </w:p>
        </w:tc>
        <w:tc>
          <w:tcPr>
            <w:tcW w:w="639" w:type="pct"/>
            <w:noWrap w:val="0"/>
            <w:vAlign w:val="center"/>
          </w:tcPr>
          <w:p w14:paraId="48124229">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分子式</w:t>
            </w:r>
          </w:p>
        </w:tc>
        <w:tc>
          <w:tcPr>
            <w:tcW w:w="680" w:type="pct"/>
            <w:noWrap w:val="0"/>
            <w:vAlign w:val="center"/>
          </w:tcPr>
          <w:p w14:paraId="4B2BABCC">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640" w:type="pct"/>
            <w:noWrap w:val="0"/>
            <w:vAlign w:val="center"/>
          </w:tcPr>
          <w:p w14:paraId="22E7FB0C">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分子量</w:t>
            </w:r>
          </w:p>
        </w:tc>
        <w:tc>
          <w:tcPr>
            <w:tcW w:w="999" w:type="pct"/>
            <w:noWrap w:val="0"/>
            <w:vAlign w:val="center"/>
          </w:tcPr>
          <w:p w14:paraId="67402F35">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80.05</w:t>
            </w:r>
          </w:p>
        </w:tc>
        <w:tc>
          <w:tcPr>
            <w:tcW w:w="582" w:type="pct"/>
            <w:noWrap w:val="0"/>
            <w:vAlign w:val="center"/>
          </w:tcPr>
          <w:p w14:paraId="5CE5E4F6">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熔点</w:t>
            </w:r>
          </w:p>
        </w:tc>
        <w:tc>
          <w:tcPr>
            <w:tcW w:w="865" w:type="pct"/>
            <w:noWrap w:val="0"/>
            <w:vAlign w:val="center"/>
          </w:tcPr>
          <w:p w14:paraId="78EB3021">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169.6</w:t>
            </w:r>
            <w:r>
              <w:rPr>
                <w:rFonts w:hint="eastAsia" w:ascii="Times New Roman" w:hAnsi="Times New Roman" w:cs="宋体"/>
                <w:color w:val="000000" w:themeColor="text1"/>
                <w:sz w:val="21"/>
                <w:szCs w:val="21"/>
                <w14:textFill>
                  <w14:solidFill>
                    <w14:schemeClr w14:val="tx1"/>
                  </w14:solidFill>
                </w14:textFill>
              </w:rPr>
              <w:t>℃</w:t>
            </w:r>
          </w:p>
        </w:tc>
      </w:tr>
      <w:tr w14:paraId="1E4DB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continue"/>
            <w:noWrap w:val="0"/>
            <w:vAlign w:val="center"/>
          </w:tcPr>
          <w:p w14:paraId="57137A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63" w:leftChars="-30" w:right="-63" w:rightChars="-30"/>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639" w:type="pct"/>
            <w:noWrap w:val="0"/>
            <w:vAlign w:val="center"/>
          </w:tcPr>
          <w:p w14:paraId="0EAE3EBE">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沸点</w:t>
            </w:r>
          </w:p>
        </w:tc>
        <w:tc>
          <w:tcPr>
            <w:tcW w:w="680" w:type="pct"/>
            <w:noWrap w:val="0"/>
            <w:vAlign w:val="center"/>
          </w:tcPr>
          <w:p w14:paraId="5C089393">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210</w:t>
            </w:r>
            <w:r>
              <w:rPr>
                <w:rFonts w:hint="eastAsia" w:ascii="Times New Roman" w:hAnsi="Times New Roman" w:cs="宋体"/>
                <w:color w:val="000000" w:themeColor="text1"/>
                <w:sz w:val="21"/>
                <w:szCs w:val="21"/>
                <w14:textFill>
                  <w14:solidFill>
                    <w14:schemeClr w14:val="tx1"/>
                  </w14:solidFill>
                </w14:textFill>
              </w:rPr>
              <w:t>℃</w:t>
            </w:r>
          </w:p>
        </w:tc>
        <w:tc>
          <w:tcPr>
            <w:tcW w:w="640" w:type="pct"/>
            <w:noWrap w:val="0"/>
            <w:vAlign w:val="center"/>
          </w:tcPr>
          <w:p w14:paraId="6A4F7C5B">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相对密度</w:t>
            </w:r>
          </w:p>
        </w:tc>
        <w:tc>
          <w:tcPr>
            <w:tcW w:w="999" w:type="pct"/>
            <w:noWrap w:val="0"/>
            <w:vAlign w:val="center"/>
          </w:tcPr>
          <w:p w14:paraId="22B99152">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1.72</w:t>
            </w:r>
            <w:r>
              <w:rPr>
                <w:rFonts w:hint="eastAsia" w:ascii="Times New Roman" w:hAnsi="Times New Roman" w:cs="Times New Roman"/>
                <w:color w:val="000000" w:themeColor="text1"/>
                <w:sz w:val="21"/>
                <w:szCs w:val="21"/>
                <w14:textFill>
                  <w14:solidFill>
                    <w14:schemeClr w14:val="tx1"/>
                  </w14:solidFill>
                </w14:textFill>
              </w:rPr>
              <w:t>（水）</w:t>
            </w:r>
          </w:p>
        </w:tc>
        <w:tc>
          <w:tcPr>
            <w:tcW w:w="582" w:type="pct"/>
            <w:noWrap w:val="0"/>
            <w:vAlign w:val="center"/>
          </w:tcPr>
          <w:p w14:paraId="11FA31A6">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蒸气压</w:t>
            </w:r>
          </w:p>
        </w:tc>
        <w:tc>
          <w:tcPr>
            <w:tcW w:w="865" w:type="pct"/>
            <w:noWrap w:val="0"/>
            <w:vAlign w:val="center"/>
          </w:tcPr>
          <w:p w14:paraId="093A564B">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302F31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continue"/>
            <w:noWrap w:val="0"/>
            <w:vAlign w:val="center"/>
          </w:tcPr>
          <w:p w14:paraId="75E0D1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63" w:leftChars="-30" w:right="-63" w:rightChars="-30"/>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639" w:type="pct"/>
            <w:noWrap w:val="0"/>
            <w:vAlign w:val="center"/>
          </w:tcPr>
          <w:p w14:paraId="0FEA0AD8">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外观气味</w:t>
            </w:r>
          </w:p>
        </w:tc>
        <w:tc>
          <w:tcPr>
            <w:tcW w:w="3768" w:type="pct"/>
            <w:gridSpan w:val="5"/>
            <w:noWrap w:val="0"/>
            <w:vAlign w:val="center"/>
          </w:tcPr>
          <w:p w14:paraId="6B43D585">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无色无臭的透明结晶或呈白色小颗粒，有潮解性。</w:t>
            </w:r>
          </w:p>
        </w:tc>
      </w:tr>
      <w:tr w14:paraId="76E2C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vMerge w:val="continue"/>
            <w:noWrap w:val="0"/>
            <w:vAlign w:val="center"/>
          </w:tcPr>
          <w:p w14:paraId="496D57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63" w:leftChars="-30" w:right="-63" w:rightChars="-30"/>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639" w:type="pct"/>
            <w:noWrap w:val="0"/>
            <w:vAlign w:val="center"/>
          </w:tcPr>
          <w:p w14:paraId="15D36B9E">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溶解性</w:t>
            </w:r>
          </w:p>
        </w:tc>
        <w:tc>
          <w:tcPr>
            <w:tcW w:w="3768" w:type="pct"/>
            <w:gridSpan w:val="5"/>
            <w:noWrap w:val="0"/>
            <w:vAlign w:val="center"/>
          </w:tcPr>
          <w:p w14:paraId="4BBF3BEB">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溶于水、乙醇、丙酮、氨水，不溶于乙醚</w:t>
            </w:r>
          </w:p>
        </w:tc>
      </w:tr>
      <w:tr w14:paraId="05E13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noWrap w:val="0"/>
            <w:vAlign w:val="center"/>
          </w:tcPr>
          <w:p w14:paraId="41E30533">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稳定性</w:t>
            </w:r>
          </w:p>
          <w:p w14:paraId="55D100B5">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危险性</w:t>
            </w:r>
          </w:p>
        </w:tc>
        <w:tc>
          <w:tcPr>
            <w:tcW w:w="4408" w:type="pct"/>
            <w:gridSpan w:val="6"/>
            <w:noWrap w:val="0"/>
            <w:vAlign w:val="center"/>
          </w:tcPr>
          <w:p w14:paraId="632A3797">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稳定，不聚合；</w:t>
            </w:r>
            <w:r>
              <w:rPr>
                <w:rFonts w:hint="eastAsia" w:ascii="Times New Roman" w:hAnsi="Times New Roman" w:cs="Times New Roman"/>
                <w:bCs/>
                <w:color w:val="000000" w:themeColor="text1"/>
                <w:sz w:val="21"/>
                <w:szCs w:val="21"/>
                <w14:textFill>
                  <w14:solidFill>
                    <w14:schemeClr w14:val="tx1"/>
                  </w14:solidFill>
                </w14:textFill>
              </w:rPr>
              <w:t>禁忌强还原剂、强酸、易燃或可燃物、活性金属粉末；</w:t>
            </w:r>
            <w:r>
              <w:rPr>
                <w:rFonts w:hint="eastAsia" w:ascii="Times New Roman" w:hAnsi="Times New Roman" w:cs="Times New Roman"/>
                <w:color w:val="000000" w:themeColor="text1"/>
                <w:sz w:val="21"/>
                <w:szCs w:val="21"/>
                <w14:textFill>
                  <w14:solidFill>
                    <w14:schemeClr w14:val="tx1"/>
                  </w14:solidFill>
                </w14:textFill>
              </w:rPr>
              <w:t>燃烧产物：氮氧化物；该物质对环境可能有危害，在地下水中有蓄积作用。</w:t>
            </w:r>
          </w:p>
        </w:tc>
      </w:tr>
      <w:tr w14:paraId="1D8907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1" w:type="pct"/>
            <w:tcBorders>
              <w:bottom w:val="single" w:color="auto" w:sz="12" w:space="0"/>
            </w:tcBorders>
            <w:noWrap w:val="0"/>
            <w:vAlign w:val="center"/>
          </w:tcPr>
          <w:p w14:paraId="754707F1">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毒理学</w:t>
            </w:r>
          </w:p>
        </w:tc>
        <w:tc>
          <w:tcPr>
            <w:tcW w:w="4408" w:type="pct"/>
            <w:gridSpan w:val="6"/>
            <w:tcBorders>
              <w:bottom w:val="single" w:color="auto" w:sz="12" w:space="0"/>
            </w:tcBorders>
            <w:noWrap w:val="0"/>
            <w:vAlign w:val="center"/>
          </w:tcPr>
          <w:p w14:paraId="135D3518">
            <w:pPr>
              <w:keepNext w:val="0"/>
              <w:keepLines w:val="0"/>
              <w:pageBreakBefore w:val="0"/>
              <w:widowControl w:val="0"/>
              <w:suppressLineNumbers w:val="0"/>
              <w:tabs>
                <w:tab w:val="left" w:pos="3105"/>
              </w:tabs>
              <w:kinsoku/>
              <w:wordWrap/>
              <w:overflowPunct/>
              <w:topLinePunct w:val="0"/>
              <w:autoSpaceDE/>
              <w:autoSpaceDN/>
              <w:bidi w:val="0"/>
              <w:adjustRightInd/>
              <w:snapToGrid w:val="0"/>
              <w:spacing w:before="0" w:beforeAutospacing="0" w:after="0" w:afterAutospacing="0" w:line="360" w:lineRule="exact"/>
              <w:ind w:left="-63" w:leftChars="-30" w:right="-63" w:rightChars="-3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LD</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eastAsia"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4820mg/kg</w:t>
            </w:r>
            <w:r>
              <w:rPr>
                <w:rFonts w:hint="eastAsia" w:ascii="Times New Roman" w:hAnsi="Times New Roman" w:cs="Times New Roman"/>
                <w:color w:val="000000" w:themeColor="text1"/>
                <w:sz w:val="21"/>
                <w:szCs w:val="21"/>
                <w14:textFill>
                  <w14:solidFill>
                    <w14:schemeClr w14:val="tx1"/>
                  </w14:solidFill>
                </w14:textFill>
              </w:rPr>
              <w:t>（小鼠经口）</w:t>
            </w:r>
          </w:p>
        </w:tc>
      </w:tr>
    </w:tbl>
    <w:p w14:paraId="2064AA0F">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outlineLvl w:val="9"/>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表5.</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废矿物油的</w:t>
      </w:r>
      <w:r>
        <w:rPr>
          <w:rFonts w:hint="eastAsia" w:ascii="Times New Roman" w:hAnsi="Times New Roman"/>
          <w:b/>
          <w:color w:val="000000" w:themeColor="text1"/>
          <w:sz w:val="24"/>
          <w:szCs w:val="24"/>
          <w:highlight w:val="none"/>
          <w14:textFill>
            <w14:solidFill>
              <w14:schemeClr w14:val="tx1"/>
            </w14:solidFill>
          </w14:textFill>
        </w:rPr>
        <w:t>理化性质及危险特性</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一览表</w:t>
      </w:r>
    </w:p>
    <w:tbl>
      <w:tblPr>
        <w:tblStyle w:val="80"/>
        <w:tblW w:w="85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183"/>
        <w:gridCol w:w="2476"/>
        <w:gridCol w:w="3659"/>
      </w:tblGrid>
      <w:tr w14:paraId="6EDD6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restart"/>
            <w:tcBorders>
              <w:tl2br w:val="nil"/>
              <w:tr2bl w:val="nil"/>
            </w:tcBorders>
            <w:noWrap w:val="0"/>
            <w:vAlign w:val="center"/>
          </w:tcPr>
          <w:p w14:paraId="74CD3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仿宋"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标识</w:t>
            </w:r>
          </w:p>
        </w:tc>
        <w:tc>
          <w:tcPr>
            <w:tcW w:w="7318" w:type="dxa"/>
            <w:gridSpan w:val="3"/>
            <w:tcBorders>
              <w:tl2br w:val="nil"/>
              <w:tr2bl w:val="nil"/>
            </w:tcBorders>
            <w:noWrap w:val="0"/>
            <w:vAlign w:val="center"/>
          </w:tcPr>
          <w:p w14:paraId="576AE86E">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中文名：矿物油</w:t>
            </w:r>
          </w:p>
        </w:tc>
      </w:tr>
      <w:tr w14:paraId="2E168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733B1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仿宋" w:cs="Times New Roman"/>
                <w:b/>
                <w:bCs/>
                <w:color w:val="000000" w:themeColor="text1"/>
                <w:sz w:val="21"/>
                <w:szCs w:val="21"/>
                <w:highlight w:val="none"/>
                <w:lang w:val="en-US" w:eastAsia="zh-CN"/>
                <w14:textFill>
                  <w14:solidFill>
                    <w14:schemeClr w14:val="tx1"/>
                  </w14:solidFill>
                </w14:textFill>
              </w:rPr>
            </w:pPr>
          </w:p>
        </w:tc>
        <w:tc>
          <w:tcPr>
            <w:tcW w:w="7318" w:type="dxa"/>
            <w:gridSpan w:val="3"/>
            <w:tcBorders>
              <w:tl2br w:val="nil"/>
              <w:tr2bl w:val="nil"/>
            </w:tcBorders>
            <w:noWrap w:val="0"/>
            <w:vAlign w:val="center"/>
          </w:tcPr>
          <w:p w14:paraId="496348B4">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英文名：paraffin</w:t>
            </w:r>
          </w:p>
        </w:tc>
      </w:tr>
      <w:tr w14:paraId="0D5EA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6A6B0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仿宋" w:cs="Times New Roman"/>
                <w:b/>
                <w:bCs/>
                <w:color w:val="000000" w:themeColor="text1"/>
                <w:sz w:val="21"/>
                <w:szCs w:val="21"/>
                <w:highlight w:val="none"/>
                <w:lang w:val="en-US" w:eastAsia="zh-CN"/>
                <w14:textFill>
                  <w14:solidFill>
                    <w14:schemeClr w14:val="tx1"/>
                  </w14:solidFill>
                </w14:textFill>
              </w:rPr>
            </w:pPr>
          </w:p>
        </w:tc>
        <w:tc>
          <w:tcPr>
            <w:tcW w:w="7318" w:type="dxa"/>
            <w:gridSpan w:val="3"/>
            <w:tcBorders>
              <w:tl2br w:val="nil"/>
              <w:tr2bl w:val="nil"/>
            </w:tcBorders>
            <w:noWrap w:val="0"/>
            <w:vAlign w:val="center"/>
          </w:tcPr>
          <w:p w14:paraId="55D0A30C">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危险性类别：可燃液体</w:t>
            </w:r>
          </w:p>
        </w:tc>
      </w:tr>
      <w:tr w14:paraId="06BD0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restart"/>
            <w:tcBorders>
              <w:tl2br w:val="nil"/>
              <w:tr2bl w:val="nil"/>
            </w:tcBorders>
            <w:noWrap w:val="0"/>
            <w:vAlign w:val="center"/>
          </w:tcPr>
          <w:p w14:paraId="4AEA4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仿宋"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理化性质</w:t>
            </w:r>
          </w:p>
        </w:tc>
        <w:tc>
          <w:tcPr>
            <w:tcW w:w="7318" w:type="dxa"/>
            <w:gridSpan w:val="3"/>
            <w:tcBorders>
              <w:tl2br w:val="nil"/>
              <w:tr2bl w:val="nil"/>
            </w:tcBorders>
            <w:noWrap w:val="0"/>
            <w:vAlign w:val="center"/>
          </w:tcPr>
          <w:p w14:paraId="0B621A60">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密度：0.85 g/mL at 20℃</w:t>
            </w:r>
          </w:p>
        </w:tc>
      </w:tr>
      <w:tr w14:paraId="456D9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70877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7318" w:type="dxa"/>
            <w:gridSpan w:val="3"/>
            <w:tcBorders>
              <w:tl2br w:val="nil"/>
              <w:tr2bl w:val="nil"/>
            </w:tcBorders>
            <w:noWrap w:val="0"/>
            <w:vAlign w:val="center"/>
          </w:tcPr>
          <w:p w14:paraId="57CE1E73">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溶解性：不溶于水、甘油、冷乙醇。溶于热乙醇、二硫化碳、乙醚、酯、氯仿、苯、石油醚。除蓖麻油外,与许多油脂和蜡都能混合</w:t>
            </w:r>
          </w:p>
        </w:tc>
      </w:tr>
      <w:tr w14:paraId="31C1F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restart"/>
            <w:tcBorders>
              <w:tl2br w:val="nil"/>
              <w:tr2bl w:val="nil"/>
            </w:tcBorders>
            <w:noWrap w:val="0"/>
            <w:vAlign w:val="center"/>
          </w:tcPr>
          <w:p w14:paraId="71F60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燃烧爆炸危险性</w:t>
            </w:r>
          </w:p>
        </w:tc>
        <w:tc>
          <w:tcPr>
            <w:tcW w:w="7318" w:type="dxa"/>
            <w:gridSpan w:val="3"/>
            <w:tcBorders>
              <w:tl2br w:val="nil"/>
              <w:tr2bl w:val="nil"/>
            </w:tcBorders>
            <w:noWrap w:val="0"/>
            <w:vAlign w:val="center"/>
          </w:tcPr>
          <w:p w14:paraId="597B0657">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燃烧性：本品可燃，具窒息</w:t>
            </w:r>
          </w:p>
        </w:tc>
      </w:tr>
      <w:tr w14:paraId="34DA1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0EB8A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3659" w:type="dxa"/>
            <w:gridSpan w:val="2"/>
            <w:tcBorders>
              <w:tl2br w:val="nil"/>
              <w:tr2bl w:val="nil"/>
            </w:tcBorders>
            <w:noWrap w:val="0"/>
            <w:vAlign w:val="center"/>
          </w:tcPr>
          <w:p w14:paraId="185764F7">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引燃温度（℃）：300</w:t>
            </w:r>
          </w:p>
        </w:tc>
        <w:tc>
          <w:tcPr>
            <w:tcW w:w="3659" w:type="dxa"/>
            <w:tcBorders>
              <w:tl2br w:val="nil"/>
              <w:tr2bl w:val="nil"/>
            </w:tcBorders>
            <w:noWrap w:val="0"/>
            <w:vAlign w:val="center"/>
          </w:tcPr>
          <w:p w14:paraId="53A205C8">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闪点（℃）：220</w:t>
            </w:r>
          </w:p>
        </w:tc>
      </w:tr>
      <w:tr w14:paraId="61B66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77B5A8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3659" w:type="dxa"/>
            <w:gridSpan w:val="2"/>
            <w:tcBorders>
              <w:tl2br w:val="nil"/>
              <w:tr2bl w:val="nil"/>
            </w:tcBorders>
            <w:noWrap w:val="0"/>
            <w:vAlign w:val="center"/>
          </w:tcPr>
          <w:p w14:paraId="59CA3133">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爆炸下限（%）：-</w:t>
            </w:r>
          </w:p>
        </w:tc>
        <w:tc>
          <w:tcPr>
            <w:tcW w:w="3659" w:type="dxa"/>
            <w:tcBorders>
              <w:tl2br w:val="nil"/>
              <w:tr2bl w:val="nil"/>
            </w:tcBorders>
            <w:noWrap w:val="0"/>
            <w:vAlign w:val="center"/>
          </w:tcPr>
          <w:p w14:paraId="55D7DA70">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爆炸上限（%）：-</w:t>
            </w:r>
          </w:p>
        </w:tc>
      </w:tr>
      <w:tr w14:paraId="54C03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6E883C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3659" w:type="dxa"/>
            <w:gridSpan w:val="2"/>
            <w:tcBorders>
              <w:tl2br w:val="nil"/>
              <w:tr2bl w:val="nil"/>
            </w:tcBorders>
            <w:noWrap w:val="0"/>
            <w:vAlign w:val="center"/>
          </w:tcPr>
          <w:p w14:paraId="1361AADF">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最小点火能（mj）：-</w:t>
            </w:r>
          </w:p>
        </w:tc>
        <w:tc>
          <w:tcPr>
            <w:tcW w:w="3659" w:type="dxa"/>
            <w:tcBorders>
              <w:tl2br w:val="nil"/>
              <w:tr2bl w:val="nil"/>
            </w:tcBorders>
            <w:noWrap w:val="0"/>
            <w:vAlign w:val="center"/>
          </w:tcPr>
          <w:p w14:paraId="17B2A8F3">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最大爆炸压力（MPa）：-</w:t>
            </w:r>
          </w:p>
        </w:tc>
      </w:tr>
      <w:tr w14:paraId="499D4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06B6E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1183" w:type="dxa"/>
            <w:tcBorders>
              <w:tl2br w:val="nil"/>
              <w:tr2bl w:val="nil"/>
            </w:tcBorders>
            <w:noWrap w:val="0"/>
            <w:vAlign w:val="center"/>
          </w:tcPr>
          <w:p w14:paraId="3C02A6BB">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危险特性</w:t>
            </w:r>
          </w:p>
        </w:tc>
        <w:tc>
          <w:tcPr>
            <w:tcW w:w="6135" w:type="dxa"/>
            <w:gridSpan w:val="2"/>
            <w:tcBorders>
              <w:tl2br w:val="nil"/>
              <w:tr2bl w:val="nil"/>
            </w:tcBorders>
            <w:noWrap w:val="0"/>
            <w:vAlign w:val="center"/>
          </w:tcPr>
          <w:p w14:paraId="12360CD7">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遇明火、高热</w:t>
            </w:r>
          </w:p>
        </w:tc>
      </w:tr>
      <w:tr w14:paraId="42F4D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59DAA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1183" w:type="dxa"/>
            <w:tcBorders>
              <w:tl2br w:val="nil"/>
              <w:tr2bl w:val="nil"/>
            </w:tcBorders>
            <w:noWrap w:val="0"/>
            <w:vAlign w:val="center"/>
          </w:tcPr>
          <w:p w14:paraId="6FBF4567">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禁配物</w:t>
            </w:r>
          </w:p>
        </w:tc>
        <w:tc>
          <w:tcPr>
            <w:tcW w:w="6135" w:type="dxa"/>
            <w:gridSpan w:val="2"/>
            <w:tcBorders>
              <w:tl2br w:val="nil"/>
              <w:tr2bl w:val="nil"/>
            </w:tcBorders>
            <w:noWrap w:val="0"/>
            <w:vAlign w:val="center"/>
          </w:tcPr>
          <w:p w14:paraId="49EEC83C">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DF1D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2244A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1183" w:type="dxa"/>
            <w:tcBorders>
              <w:tl2br w:val="nil"/>
              <w:tr2bl w:val="nil"/>
            </w:tcBorders>
            <w:noWrap w:val="0"/>
            <w:vAlign w:val="center"/>
          </w:tcPr>
          <w:p w14:paraId="4FB43B5F">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消防措施</w:t>
            </w:r>
          </w:p>
        </w:tc>
        <w:tc>
          <w:tcPr>
            <w:tcW w:w="6135" w:type="dxa"/>
            <w:gridSpan w:val="2"/>
            <w:tcBorders>
              <w:tl2br w:val="nil"/>
              <w:tr2bl w:val="nil"/>
            </w:tcBorders>
            <w:noWrap w:val="0"/>
            <w:vAlign w:val="center"/>
          </w:tcPr>
          <w:p w14:paraId="725E547A">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消防人员须佩戴防毒面具、穿全身消防服，在</w:t>
            </w:r>
            <w:r>
              <w:rPr>
                <w:rFonts w:hint="eastAsia" w:cs="Times New Roman"/>
                <w:color w:val="000000" w:themeColor="text1"/>
                <w:sz w:val="21"/>
                <w:szCs w:val="21"/>
                <w:highlight w:val="none"/>
                <w:lang w:val="en-US" w:eastAsia="zh-CN"/>
                <w14:textFill>
                  <w14:solidFill>
                    <w14:schemeClr w14:val="tx1"/>
                  </w14:solidFill>
                </w14:textFill>
              </w:rPr>
              <w:t>上风向灭火</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。尽可能将容器从火场移至空旷处。喷水保持火场容器冷却，直至</w:t>
            </w:r>
            <w:r>
              <w:rPr>
                <w:rFonts w:hint="eastAsia" w:cs="Times New Roman"/>
                <w:color w:val="000000" w:themeColor="text1"/>
                <w:sz w:val="21"/>
                <w:szCs w:val="21"/>
                <w:highlight w:val="none"/>
                <w:lang w:val="en-US" w:eastAsia="zh-CN"/>
                <w14:textFill>
                  <w14:solidFill>
                    <w14:schemeClr w14:val="tx1"/>
                  </w14:solidFill>
                </w14:textFill>
              </w:rPr>
              <w:t>灭火</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结束。处在火场中的容器若已变色或从安全泄压装置中产生声音，须马上撤离。灭火剂：雾状水、泡沫、干粉、二氧化碳、砂土。</w:t>
            </w:r>
          </w:p>
        </w:tc>
      </w:tr>
      <w:tr w14:paraId="647CC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restart"/>
            <w:tcBorders>
              <w:tl2br w:val="nil"/>
              <w:tr2bl w:val="nil"/>
            </w:tcBorders>
            <w:noWrap w:val="0"/>
            <w:vAlign w:val="center"/>
          </w:tcPr>
          <w:p w14:paraId="70F22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毒性</w:t>
            </w:r>
          </w:p>
        </w:tc>
        <w:tc>
          <w:tcPr>
            <w:tcW w:w="1183" w:type="dxa"/>
            <w:tcBorders>
              <w:tl2br w:val="nil"/>
              <w:tr2bl w:val="nil"/>
            </w:tcBorders>
            <w:noWrap w:val="0"/>
            <w:vAlign w:val="center"/>
          </w:tcPr>
          <w:p w14:paraId="0CC341D3">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健康危害</w:t>
            </w:r>
          </w:p>
        </w:tc>
        <w:tc>
          <w:tcPr>
            <w:tcW w:w="6135" w:type="dxa"/>
            <w:gridSpan w:val="2"/>
            <w:tcBorders>
              <w:tl2br w:val="nil"/>
              <w:tr2bl w:val="nil"/>
            </w:tcBorders>
            <w:noWrap w:val="0"/>
            <w:vAlign w:val="center"/>
          </w:tcPr>
          <w:p w14:paraId="704F17AB">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侵入途径：吸入、食入；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14:paraId="7314A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2DF0F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1183" w:type="dxa"/>
            <w:tcBorders>
              <w:tl2br w:val="nil"/>
              <w:tr2bl w:val="nil"/>
            </w:tcBorders>
            <w:noWrap w:val="0"/>
            <w:vAlign w:val="center"/>
          </w:tcPr>
          <w:p w14:paraId="5F8D6BF7">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防护</w:t>
            </w:r>
          </w:p>
        </w:tc>
        <w:tc>
          <w:tcPr>
            <w:tcW w:w="6135" w:type="dxa"/>
            <w:gridSpan w:val="2"/>
            <w:tcBorders>
              <w:tl2br w:val="nil"/>
              <w:tr2bl w:val="nil"/>
            </w:tcBorders>
            <w:noWrap w:val="0"/>
            <w:vAlign w:val="center"/>
          </w:tcPr>
          <w:p w14:paraId="33364C71">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工程控制：密闭操作，注意通风；</w:t>
            </w:r>
          </w:p>
          <w:p w14:paraId="2DD29E95">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呼吸系统防护：空气中浓度超标时，建议佩戴自吸过滤式防毒面具（半面罩）。紧急事态抢救或撤离时，应该佩戴空气呼吸器。</w:t>
            </w:r>
          </w:p>
          <w:p w14:paraId="2213D000">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眼睛防护：戴化学安全防护眼镜。</w:t>
            </w:r>
          </w:p>
          <w:p w14:paraId="1D06A321">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身体防护：穿防毒物渗透工作服；</w:t>
            </w:r>
          </w:p>
          <w:p w14:paraId="4DBC30AA">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手防护：戴橡胶耐油手套；</w:t>
            </w:r>
          </w:p>
          <w:p w14:paraId="332BCD7B">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其他：工作现场禁止吸烟。避免长期反复接触。</w:t>
            </w:r>
          </w:p>
        </w:tc>
      </w:tr>
      <w:tr w14:paraId="2EB05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tcBorders>
              <w:tl2br w:val="nil"/>
              <w:tr2bl w:val="nil"/>
            </w:tcBorders>
            <w:noWrap w:val="0"/>
            <w:vAlign w:val="center"/>
          </w:tcPr>
          <w:p w14:paraId="5E01B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1183" w:type="dxa"/>
            <w:tcBorders>
              <w:tl2br w:val="nil"/>
              <w:tr2bl w:val="nil"/>
            </w:tcBorders>
            <w:noWrap w:val="0"/>
            <w:vAlign w:val="center"/>
          </w:tcPr>
          <w:p w14:paraId="6456172D">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急救措施</w:t>
            </w:r>
          </w:p>
        </w:tc>
        <w:tc>
          <w:tcPr>
            <w:tcW w:w="6135" w:type="dxa"/>
            <w:gridSpan w:val="2"/>
            <w:tcBorders>
              <w:tl2br w:val="nil"/>
              <w:tr2bl w:val="nil"/>
            </w:tcBorders>
            <w:noWrap w:val="0"/>
            <w:vAlign w:val="center"/>
          </w:tcPr>
          <w:p w14:paraId="594415C8">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皮肤接触：立即脱去被污染的衣着，用大量清水冲洗；</w:t>
            </w:r>
          </w:p>
          <w:p w14:paraId="47D90913">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眼睛</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接触：立即提起眼睑，用大量流动清水或生理盐水冲洗，就医；</w:t>
            </w:r>
          </w:p>
          <w:p w14:paraId="6B572CAB">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吸入：迅速脱离现场至空气新鲜处，保持呼吸道通畅，如呼吸困难，给输氧；如呼吸停止，立即进行人工呼吸，就医；</w:t>
            </w:r>
          </w:p>
          <w:p w14:paraId="20B77FAB">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食入：饮足量温水，催吐，就医。</w:t>
            </w:r>
          </w:p>
        </w:tc>
      </w:tr>
      <w:tr w14:paraId="52FE4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tcBorders>
              <w:tl2br w:val="nil"/>
              <w:tr2bl w:val="nil"/>
            </w:tcBorders>
            <w:noWrap w:val="0"/>
            <w:vAlign w:val="center"/>
          </w:tcPr>
          <w:p w14:paraId="2BF5D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贮运条件</w:t>
            </w:r>
          </w:p>
        </w:tc>
        <w:tc>
          <w:tcPr>
            <w:tcW w:w="7318" w:type="dxa"/>
            <w:gridSpan w:val="3"/>
            <w:tcBorders>
              <w:tl2br w:val="nil"/>
              <w:tr2bl w:val="nil"/>
            </w:tcBorders>
            <w:noWrap w:val="0"/>
            <w:vAlign w:val="center"/>
          </w:tcPr>
          <w:p w14:paraId="3483EF68">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储存于阴凉、通风的库房。远离火种、热源。应与氧化剂分开存放，</w:t>
            </w:r>
            <w:r>
              <w:rPr>
                <w:rFonts w:hint="eastAsia" w:cs="Times New Roman"/>
                <w:color w:val="000000" w:themeColor="text1"/>
                <w:sz w:val="21"/>
                <w:szCs w:val="21"/>
                <w:highlight w:val="none"/>
                <w:lang w:val="en-US" w:eastAsia="zh-CN"/>
                <w14:textFill>
                  <w14:solidFill>
                    <w14:schemeClr w14:val="tx1"/>
                  </w14:solidFill>
                </w14:textFill>
              </w:rPr>
              <w:t>切忌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混储。配备相应品种和数量的消防器材。出去应备有泄漏应急处理设备和合适的收容材料。运输前应先检查包装容器是否完整、密封，运输过程中要确保容器不泄漏、不倒塌、不坠落、不损坏。严禁与氧化剂、食用化学品等混装混运。运输车船必须彻底清洗、消毒，否则不得装运其他物品。船运时，配装位置应远离卧室、厨房，并与电源、火源等部位隔离。公路运输时要按规定路线行驶。</w:t>
            </w:r>
          </w:p>
        </w:tc>
      </w:tr>
      <w:tr w14:paraId="6AE05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tcBorders>
              <w:tl2br w:val="nil"/>
              <w:tr2bl w:val="nil"/>
            </w:tcBorders>
            <w:noWrap w:val="0"/>
            <w:vAlign w:val="center"/>
          </w:tcPr>
          <w:p w14:paraId="0A009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泄漏应急处理</w:t>
            </w:r>
          </w:p>
        </w:tc>
        <w:tc>
          <w:tcPr>
            <w:tcW w:w="7318" w:type="dxa"/>
            <w:gridSpan w:val="3"/>
            <w:tcBorders>
              <w:tl2br w:val="nil"/>
              <w:tr2bl w:val="nil"/>
            </w:tcBorders>
            <w:noWrap w:val="0"/>
            <w:vAlign w:val="center"/>
          </w:tcPr>
          <w:p w14:paraId="5EC94C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迅速撤离泄漏污染区人员至安全区，并进行隔离，严格限制出入。切断火源。建议应急处理人员戴自给正压式呼吸器，穿防毒服。尽可能切断泄漏源。</w:t>
            </w:r>
            <w:r>
              <w:rPr>
                <w:rFonts w:hint="eastAsia" w:cs="Times New Roman"/>
                <w:color w:val="000000" w:themeColor="text1"/>
                <w:sz w:val="21"/>
                <w:szCs w:val="21"/>
                <w:highlight w:val="none"/>
                <w:lang w:val="en-US" w:eastAsia="zh-CN"/>
                <w14:textFill>
                  <w14:solidFill>
                    <w14:schemeClr w14:val="tx1"/>
                  </w14:solidFill>
                </w14:textFill>
              </w:rPr>
              <w:t>防止</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流入下水道、排洪沟等限制性空间。小量泄漏：用砂土或其他不燃材料吸附或吸收。大量泄漏：构筑</w:t>
            </w:r>
            <w:r>
              <w:rPr>
                <w:rFonts w:hint="eastAsia" w:cs="Times New Roman"/>
                <w:color w:val="000000" w:themeColor="text1"/>
                <w:sz w:val="21"/>
                <w:szCs w:val="21"/>
                <w:highlight w:val="none"/>
                <w:lang w:val="en-US" w:eastAsia="zh-CN"/>
                <w14:textFill>
                  <w14:solidFill>
                    <w14:schemeClr w14:val="tx1"/>
                  </w14:solidFill>
                </w14:textFill>
              </w:rPr>
              <w:t>围堤</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或挖坑收容。用泵转移至槽车或专用收集器内，回收或运至废物处理场所处置。</w:t>
            </w:r>
          </w:p>
        </w:tc>
      </w:tr>
    </w:tbl>
    <w:p w14:paraId="2E688E4E">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（2）工艺系统危险性调查</w:t>
      </w:r>
    </w:p>
    <w:p w14:paraId="3AB7385C">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rFonts w:hint="eastAsia"/>
          <w:color w:val="000000" w:themeColor="text1"/>
          <w:sz w:val="24"/>
          <w:lang w:eastAsia="zh-CN"/>
          <w14:textFill>
            <w14:solidFill>
              <w14:schemeClr w14:val="tx1"/>
            </w14:solidFill>
          </w14:textFill>
        </w:rPr>
        <w:t>项目</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地下</w:t>
      </w:r>
      <w:r>
        <w:rPr>
          <w:color w:val="000000" w:themeColor="text1"/>
          <w:sz w:val="24"/>
          <w14:textFill>
            <w14:solidFill>
              <w14:schemeClr w14:val="tx1"/>
            </w14:solidFill>
          </w14:textFill>
        </w:rPr>
        <w:t>采矿工程生产系统</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地下开采过程中不安全因素较多。各种风险事故多发生于井下，事故严重则会波及到地面，铁矿采掘过程中潜在的风险主要有采掘工作面冒顶、矿井透水事故；地面环境风险事故主要为</w:t>
      </w:r>
      <w:r>
        <w:rPr>
          <w:rFonts w:hint="eastAsia"/>
          <w:color w:val="000000" w:themeColor="text1"/>
          <w:sz w:val="24"/>
          <w14:textFill>
            <w14:solidFill>
              <w14:schemeClr w14:val="tx1"/>
            </w14:solidFill>
          </w14:textFill>
        </w:rPr>
        <w:t>废矿物油</w:t>
      </w:r>
      <w:r>
        <w:rPr>
          <w:color w:val="000000" w:themeColor="text1"/>
          <w:sz w:val="24"/>
          <w14:textFill>
            <w14:solidFill>
              <w14:schemeClr w14:val="tx1"/>
            </w14:solidFill>
          </w14:textFill>
        </w:rPr>
        <w:t>泄漏对地下水环境的影响，以及</w:t>
      </w:r>
      <w:r>
        <w:rPr>
          <w:rFonts w:hint="eastAsia"/>
          <w:color w:val="000000" w:themeColor="text1"/>
          <w:sz w:val="24"/>
          <w14:textFill>
            <w14:solidFill>
              <w14:schemeClr w14:val="tx1"/>
            </w14:solidFill>
          </w14:textFill>
        </w:rPr>
        <w:t>炸药</w:t>
      </w:r>
      <w:r>
        <w:rPr>
          <w:color w:val="000000" w:themeColor="text1"/>
          <w:sz w:val="24"/>
          <w14:textFill>
            <w14:solidFill>
              <w14:schemeClr w14:val="tx1"/>
            </w14:solidFill>
          </w14:textFill>
        </w:rPr>
        <w:t>发生火灾、爆炸次生污染物对大气环境的影响等。</w:t>
      </w:r>
    </w:p>
    <w:p w14:paraId="1A14323C">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5.3.2.2环境敏感目标调查</w:t>
      </w:r>
    </w:p>
    <w:p w14:paraId="40358681">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哈密市168°方位（与哈密市直线距离约179km），雅满苏镇以南约70km处，行政区划属于新疆维吾尔自治区哈密市雅满苏镇管辖</w:t>
      </w:r>
      <w:r>
        <w:rPr>
          <w:color w:val="000000" w:themeColor="text1"/>
          <w:sz w:val="24"/>
          <w14:textFill>
            <w14:solidFill>
              <w14:schemeClr w14:val="tx1"/>
            </w14:solidFill>
          </w14:textFill>
        </w:rPr>
        <w:t>。以项目区为中心5km范围内无</w:t>
      </w:r>
      <w:r>
        <w:rPr>
          <w:rFonts w:hint="eastAsia"/>
          <w:color w:val="000000" w:themeColor="text1"/>
          <w:sz w:val="24"/>
          <w:lang w:eastAsia="zh-CN"/>
          <w14:textFill>
            <w14:solidFill>
              <w14:schemeClr w14:val="tx1"/>
            </w14:solidFill>
          </w14:textFill>
        </w:rPr>
        <w:t>常住人口</w:t>
      </w:r>
      <w:r>
        <w:rPr>
          <w:color w:val="000000" w:themeColor="text1"/>
          <w:sz w:val="24"/>
          <w14:textFill>
            <w14:solidFill>
              <w14:schemeClr w14:val="tx1"/>
            </w14:solidFill>
          </w14:textFill>
        </w:rPr>
        <w:t>居住，无文教环境敏感区、国家和地方级文物古迹、珍稀濒危动植物保护物种等，矿区附近无其他国家及省级确定的风景名胜区、历史遗迹等保护区。</w:t>
      </w:r>
    </w:p>
    <w:p w14:paraId="1A62D03F">
      <w:pPr>
        <w:pStyle w:val="4"/>
        <w:spacing w:before="60" w:after="60" w:line="480" w:lineRule="exact"/>
        <w:rPr>
          <w:color w:val="000000" w:themeColor="text1"/>
          <w14:textFill>
            <w14:solidFill>
              <w14:schemeClr w14:val="tx1"/>
            </w14:solidFill>
          </w14:textFill>
        </w:rPr>
      </w:pPr>
      <w:bookmarkStart w:id="460" w:name="_Toc9124"/>
      <w:bookmarkStart w:id="461" w:name="_Toc30774"/>
      <w:r>
        <w:rPr>
          <w:color w:val="000000" w:themeColor="text1"/>
          <w14:textFill>
            <w14:solidFill>
              <w14:schemeClr w14:val="tx1"/>
            </w14:solidFill>
          </w14:textFill>
        </w:rPr>
        <w:t>5.3.3环境风险潜势初判</w:t>
      </w:r>
      <w:bookmarkEnd w:id="460"/>
      <w:bookmarkEnd w:id="461"/>
    </w:p>
    <w:p w14:paraId="30B48826">
      <w:pPr>
        <w:keepNext/>
        <w:keepLines/>
        <w:spacing w:line="480" w:lineRule="exact"/>
        <w:ind w:firstLine="482" w:firstLineChars="200"/>
        <w:outlineLvl w:val="3"/>
        <w:rPr>
          <w:b/>
          <w:bCs/>
          <w:color w:val="000000" w:themeColor="text1"/>
          <w:sz w:val="24"/>
          <w:szCs w:val="28"/>
          <w14:textFill>
            <w14:solidFill>
              <w14:schemeClr w14:val="tx1"/>
            </w14:solidFill>
          </w14:textFill>
        </w:rPr>
      </w:pPr>
      <w:bookmarkStart w:id="462" w:name="_Toc16979"/>
      <w:r>
        <w:rPr>
          <w:b/>
          <w:bCs/>
          <w:color w:val="000000" w:themeColor="text1"/>
          <w:sz w:val="24"/>
          <w:szCs w:val="28"/>
          <w14:textFill>
            <w14:solidFill>
              <w14:schemeClr w14:val="tx1"/>
            </w14:solidFill>
          </w14:textFill>
        </w:rPr>
        <w:t>5.3.3.1环境风险潜势划分</w:t>
      </w:r>
      <w:bookmarkEnd w:id="462"/>
    </w:p>
    <w:p w14:paraId="46D2A937">
      <w:pPr>
        <w:pStyle w:val="188"/>
        <w:adjustRightInd/>
        <w:snapToGrid/>
        <w:spacing w:line="48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建设项目环境风险潜势划分为Ⅰ、Ⅱ、Ⅲ、Ⅳ/Ⅳ</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级。</w:t>
      </w:r>
    </w:p>
    <w:p w14:paraId="68A91660">
      <w:pPr>
        <w:pStyle w:val="188"/>
        <w:adjustRightInd/>
        <w:snapToGrid/>
        <w:spacing w:line="48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根据建设项目所涉及的物质和工艺系统的危险性及其所在地的环境敏感程度，结合事故情形下环境影响途径，对建设项目潜在环境危害程度进行概化分析，环境风险潜势划分详见表5.3-</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w:t>
      </w:r>
    </w:p>
    <w:p w14:paraId="2203A81F">
      <w:pPr>
        <w:pStyle w:val="188"/>
        <w:adjustRightInd/>
        <w:snapToGrid/>
        <w:spacing w:line="480" w:lineRule="exact"/>
        <w:ind w:firstLine="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表5.3-</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 xml:space="preserve">    建设项目环境风险潜势划分一览表</w:t>
      </w:r>
    </w:p>
    <w:tbl>
      <w:tblPr>
        <w:tblStyle w:val="7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1585"/>
        <w:gridCol w:w="1585"/>
        <w:gridCol w:w="1581"/>
        <w:gridCol w:w="1595"/>
      </w:tblGrid>
      <w:tr w14:paraId="5F6DB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Merge w:val="restart"/>
            <w:noWrap w:val="0"/>
            <w:vAlign w:val="center"/>
          </w:tcPr>
          <w:p w14:paraId="4AF0C26B">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环境敏感程度（E）</w:t>
            </w:r>
          </w:p>
        </w:tc>
        <w:tc>
          <w:tcPr>
            <w:tcW w:w="3723" w:type="pct"/>
            <w:gridSpan w:val="4"/>
            <w:noWrap w:val="0"/>
            <w:vAlign w:val="center"/>
          </w:tcPr>
          <w:p w14:paraId="60B190E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危险物质及工艺系统危险性（P）</w:t>
            </w:r>
          </w:p>
        </w:tc>
      </w:tr>
      <w:tr w14:paraId="66817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Merge w:val="continue"/>
            <w:noWrap w:val="0"/>
            <w:vAlign w:val="center"/>
          </w:tcPr>
          <w:p w14:paraId="51DB48C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930" w:type="pct"/>
            <w:noWrap w:val="0"/>
            <w:vAlign w:val="center"/>
          </w:tcPr>
          <w:p w14:paraId="1C48F68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极高危害（P1）</w:t>
            </w:r>
          </w:p>
        </w:tc>
        <w:tc>
          <w:tcPr>
            <w:tcW w:w="930" w:type="pct"/>
            <w:noWrap w:val="0"/>
            <w:vAlign w:val="center"/>
          </w:tcPr>
          <w:p w14:paraId="4E2340F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高度危害（P2）</w:t>
            </w:r>
          </w:p>
        </w:tc>
        <w:tc>
          <w:tcPr>
            <w:tcW w:w="928" w:type="pct"/>
            <w:noWrap w:val="0"/>
            <w:vAlign w:val="center"/>
          </w:tcPr>
          <w:p w14:paraId="7066DFA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中度危害（P3）</w:t>
            </w:r>
          </w:p>
        </w:tc>
        <w:tc>
          <w:tcPr>
            <w:tcW w:w="934" w:type="pct"/>
            <w:noWrap w:val="0"/>
            <w:vAlign w:val="center"/>
          </w:tcPr>
          <w:p w14:paraId="749D6497">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轻度危害（P4）</w:t>
            </w:r>
          </w:p>
        </w:tc>
      </w:tr>
      <w:tr w14:paraId="21B12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noWrap w:val="0"/>
            <w:vAlign w:val="center"/>
          </w:tcPr>
          <w:p w14:paraId="60C8676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环境高度敏感区（E1）</w:t>
            </w:r>
          </w:p>
        </w:tc>
        <w:tc>
          <w:tcPr>
            <w:tcW w:w="930" w:type="pct"/>
            <w:noWrap w:val="0"/>
            <w:vAlign w:val="center"/>
          </w:tcPr>
          <w:p w14:paraId="2AE5B50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Ⅳ</w:t>
            </w:r>
            <w:r>
              <w:rPr>
                <w:rFonts w:hint="default" w:ascii="Times New Roman" w:hAnsi="Times New Roman" w:cs="Times New Roman"/>
                <w:bCs/>
                <w:color w:val="000000" w:themeColor="text1"/>
                <w:szCs w:val="21"/>
                <w:vertAlign w:val="superscript"/>
                <w14:textFill>
                  <w14:solidFill>
                    <w14:schemeClr w14:val="tx1"/>
                  </w14:solidFill>
                </w14:textFill>
              </w:rPr>
              <w:t>+</w:t>
            </w:r>
          </w:p>
        </w:tc>
        <w:tc>
          <w:tcPr>
            <w:tcW w:w="930" w:type="pct"/>
            <w:noWrap w:val="0"/>
            <w:vAlign w:val="center"/>
          </w:tcPr>
          <w:p w14:paraId="6DB81BF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Ⅳ</w:t>
            </w:r>
          </w:p>
        </w:tc>
        <w:tc>
          <w:tcPr>
            <w:tcW w:w="928" w:type="pct"/>
            <w:noWrap w:val="0"/>
            <w:vAlign w:val="center"/>
          </w:tcPr>
          <w:p w14:paraId="0CA069B3">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Ⅲ</w:t>
            </w:r>
          </w:p>
        </w:tc>
        <w:tc>
          <w:tcPr>
            <w:tcW w:w="934" w:type="pct"/>
            <w:noWrap w:val="0"/>
            <w:vAlign w:val="center"/>
          </w:tcPr>
          <w:p w14:paraId="47A17A26">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Ⅲ</w:t>
            </w:r>
          </w:p>
        </w:tc>
      </w:tr>
      <w:tr w14:paraId="1C897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noWrap w:val="0"/>
            <w:vAlign w:val="center"/>
          </w:tcPr>
          <w:p w14:paraId="0537720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环境中度敏感区（E2）</w:t>
            </w:r>
          </w:p>
        </w:tc>
        <w:tc>
          <w:tcPr>
            <w:tcW w:w="930" w:type="pct"/>
            <w:noWrap w:val="0"/>
            <w:vAlign w:val="center"/>
          </w:tcPr>
          <w:p w14:paraId="167AEAC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Ⅳ</w:t>
            </w:r>
          </w:p>
        </w:tc>
        <w:tc>
          <w:tcPr>
            <w:tcW w:w="930" w:type="pct"/>
            <w:noWrap w:val="0"/>
            <w:vAlign w:val="center"/>
          </w:tcPr>
          <w:p w14:paraId="57F2839F">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Ⅲ</w:t>
            </w:r>
          </w:p>
        </w:tc>
        <w:tc>
          <w:tcPr>
            <w:tcW w:w="928" w:type="pct"/>
            <w:noWrap w:val="0"/>
            <w:vAlign w:val="center"/>
          </w:tcPr>
          <w:p w14:paraId="3E2483D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Ⅲ</w:t>
            </w:r>
          </w:p>
        </w:tc>
        <w:tc>
          <w:tcPr>
            <w:tcW w:w="934" w:type="pct"/>
            <w:noWrap w:val="0"/>
            <w:vAlign w:val="center"/>
          </w:tcPr>
          <w:p w14:paraId="648A3DFD">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Ⅱ</w:t>
            </w:r>
          </w:p>
        </w:tc>
      </w:tr>
      <w:tr w14:paraId="73E15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noWrap w:val="0"/>
            <w:vAlign w:val="center"/>
          </w:tcPr>
          <w:p w14:paraId="43658A6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环境低度敏感区（E3）</w:t>
            </w:r>
          </w:p>
        </w:tc>
        <w:tc>
          <w:tcPr>
            <w:tcW w:w="930" w:type="pct"/>
            <w:noWrap w:val="0"/>
            <w:vAlign w:val="center"/>
          </w:tcPr>
          <w:p w14:paraId="7965CC7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Ⅲ</w:t>
            </w:r>
          </w:p>
        </w:tc>
        <w:tc>
          <w:tcPr>
            <w:tcW w:w="930" w:type="pct"/>
            <w:noWrap w:val="0"/>
            <w:vAlign w:val="center"/>
          </w:tcPr>
          <w:p w14:paraId="0347449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Ⅲ</w:t>
            </w:r>
          </w:p>
        </w:tc>
        <w:tc>
          <w:tcPr>
            <w:tcW w:w="928" w:type="pct"/>
            <w:noWrap w:val="0"/>
            <w:vAlign w:val="center"/>
          </w:tcPr>
          <w:p w14:paraId="4BC939F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Ⅱ</w:t>
            </w:r>
          </w:p>
        </w:tc>
        <w:tc>
          <w:tcPr>
            <w:tcW w:w="934" w:type="pct"/>
            <w:noWrap w:val="0"/>
            <w:vAlign w:val="center"/>
          </w:tcPr>
          <w:p w14:paraId="5C203BB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Ⅰ</w:t>
            </w:r>
          </w:p>
        </w:tc>
      </w:tr>
      <w:tr w14:paraId="4B466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55686A83">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注：Ⅳ</w:t>
            </w:r>
            <w:r>
              <w:rPr>
                <w:rFonts w:hint="default" w:ascii="Times New Roman" w:hAnsi="Times New Roman" w:cs="Times New Roman"/>
                <w:bCs/>
                <w:color w:val="000000" w:themeColor="text1"/>
                <w:szCs w:val="21"/>
                <w:vertAlign w:val="superscript"/>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为极高环境风险</w:t>
            </w:r>
          </w:p>
        </w:tc>
      </w:tr>
    </w:tbl>
    <w:p w14:paraId="57D68FE0">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5.3.3.</w:t>
      </w:r>
      <w:r>
        <w:rPr>
          <w:rFonts w:hint="eastAsia"/>
          <w:b/>
          <w:bCs/>
          <w:color w:val="000000" w:themeColor="text1"/>
          <w:sz w:val="24"/>
          <w:szCs w:val="28"/>
          <w14:textFill>
            <w14:solidFill>
              <w14:schemeClr w14:val="tx1"/>
            </w14:solidFill>
          </w14:textFill>
        </w:rPr>
        <w:t>2环境风险潜势判定</w:t>
      </w:r>
    </w:p>
    <w:p w14:paraId="075D74D2">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（1）P的分级确定</w:t>
      </w:r>
    </w:p>
    <w:p w14:paraId="2DA2EA6E">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14:paraId="64DFC480">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危险物质数量与临界量比值（</w:t>
      </w:r>
      <w:r>
        <w:rPr>
          <w:i/>
          <w:color w:val="000000" w:themeColor="text1"/>
          <w:sz w:val="24"/>
          <w:szCs w:val="24"/>
          <w14:textFill>
            <w14:solidFill>
              <w14:schemeClr w14:val="tx1"/>
            </w14:solidFill>
          </w14:textFill>
        </w:rPr>
        <w:t>Q</w:t>
      </w:r>
      <w:r>
        <w:rPr>
          <w:color w:val="000000" w:themeColor="text1"/>
          <w:sz w:val="24"/>
          <w:szCs w:val="24"/>
          <w14:textFill>
            <w14:solidFill>
              <w14:schemeClr w14:val="tx1"/>
            </w14:solidFill>
          </w14:textFill>
        </w:rPr>
        <w:t>）</w:t>
      </w:r>
    </w:p>
    <w:p w14:paraId="2BF33CF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计算所涉及的每种危险物质在厂界内最大存在量与附录B中临界量的比值Q具体计算方法如下：</w:t>
      </w:r>
    </w:p>
    <w:p w14:paraId="29A9DDC1">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当涉及一种危险物质时，计算该物质的总量与其临界量比值，即为Q；</w:t>
      </w:r>
    </w:p>
    <w:p w14:paraId="1DEE4CF4">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当存在多种危险物质时，则按如下式计算物质总量与其临界量比值Q：</w:t>
      </w:r>
    </w:p>
    <w:p w14:paraId="74D6CD2D">
      <w:pPr>
        <w:pStyle w:val="494"/>
        <w:ind w:firstLine="0" w:firstLineChars="0"/>
        <w:jc w:val="center"/>
        <w:rPr>
          <w:color w:val="000000" w:themeColor="text1"/>
          <w14:textFill>
            <w14:solidFill>
              <w14:schemeClr w14:val="tx1"/>
            </w14:solidFill>
          </w14:textFill>
        </w:rPr>
      </w:pPr>
      <w:r>
        <w:rPr>
          <w:color w:val="000000" w:themeColor="text1"/>
          <w:lang w:val="zh-CN"/>
          <w14:textFill>
            <w14:solidFill>
              <w14:schemeClr w14:val="tx1"/>
            </w14:solidFill>
          </w14:textFill>
        </w:rPr>
        <w:object>
          <v:shape id="_x0000_i1033" o:spt="75" type="#_x0000_t75" style="height:34.8pt;width:109.8pt;" o:ole="t" filled="f" o:preferrelative="t" stroked="f" coordsize="21600,21600">
            <v:path/>
            <v:fill on="f" focussize="0,0"/>
            <v:stroke on="f"/>
            <v:imagedata r:id="rId67" o:title=""/>
            <o:lock v:ext="edit" aspectratio="t"/>
            <w10:wrap type="none"/>
            <w10:anchorlock/>
          </v:shape>
          <o:OLEObject Type="Embed" ProgID="Equation.3" ShapeID="_x0000_i1033" DrawAspect="Content" ObjectID="_1468075734" r:id="rId66">
            <o:LockedField>false</o:LockedField>
          </o:OLEObject>
        </w:object>
      </w:r>
    </w:p>
    <w:p w14:paraId="747B1EA3">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式中：q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为每种危险化学品实际存在量，t。</w:t>
      </w:r>
    </w:p>
    <w:p w14:paraId="2DFA7012">
      <w:pPr>
        <w:pStyle w:val="494"/>
        <w:spacing w:line="480" w:lineRule="exact"/>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n</w:t>
      </w:r>
      <w:r>
        <w:rPr>
          <w:color w:val="000000" w:themeColor="text1"/>
          <w14:textFill>
            <w14:solidFill>
              <w14:schemeClr w14:val="tx1"/>
            </w14:solidFill>
          </w14:textFill>
        </w:rPr>
        <w:t>为与各危险化学品相对应的临界量，t。</w:t>
      </w:r>
    </w:p>
    <w:p w14:paraId="43E6738A">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计算出Q值后，当Q＜1时，</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环境风险潜势为Ⅰ。当Q≥1时，将Q值划分为：（1）1≤Q＜10；（2）10≤Q＜100；（3）Q≥100。</w:t>
      </w:r>
    </w:p>
    <w:p w14:paraId="29587A1C">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针对企业的生产原料、燃料、辅助生产物料等，对照《建设项目环境风险评价技术导则》（HJ169-2018）附录B环境风险物质，</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危险物质数量与临界量比值情况具体见表</w:t>
      </w:r>
      <w:r>
        <w:rPr>
          <w:rFonts w:hint="eastAsia"/>
          <w:color w:val="000000" w:themeColor="text1"/>
          <w:sz w:val="24"/>
          <w14:textFill>
            <w14:solidFill>
              <w14:schemeClr w14:val="tx1"/>
            </w14:solidFill>
          </w14:textFill>
        </w:rPr>
        <w:t>5.3-</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14:paraId="78F8A1AA">
      <w:pPr>
        <w:pStyle w:val="183"/>
        <w:widowControl w:val="0"/>
        <w:spacing w:after="0" w:line="480" w:lineRule="exact"/>
        <w:ind w:firstLine="0" w:firstLineChars="0"/>
        <w:rPr>
          <w:rFonts w:ascii="Times New Roman" w:hAnsi="Times New Roman" w:eastAsia="宋体"/>
          <w:b/>
          <w:bCs/>
          <w:snapToGrid w:val="0"/>
          <w:color w:val="000000" w:themeColor="text1"/>
          <w:sz w:val="24"/>
          <w:szCs w:val="24"/>
          <w14:textFill>
            <w14:solidFill>
              <w14:schemeClr w14:val="tx1"/>
            </w14:solidFill>
          </w14:textFill>
        </w:rPr>
      </w:pPr>
      <w:r>
        <w:rPr>
          <w:rFonts w:ascii="Times New Roman" w:hAnsi="Times New Roman" w:eastAsia="宋体"/>
          <w:b/>
          <w:bCs/>
          <w:snapToGrid w:val="0"/>
          <w:color w:val="000000" w:themeColor="text1"/>
          <w:sz w:val="24"/>
          <w:szCs w:val="24"/>
          <w14:textFill>
            <w14:solidFill>
              <w14:schemeClr w14:val="tx1"/>
            </w14:solidFill>
          </w14:textFill>
        </w:rPr>
        <w:t>表</w:t>
      </w:r>
      <w:r>
        <w:rPr>
          <w:rFonts w:hint="eastAsia" w:ascii="Times New Roman" w:hAnsi="Times New Roman" w:eastAsia="宋体"/>
          <w:b/>
          <w:bCs/>
          <w:snapToGrid w:val="0"/>
          <w:color w:val="000000" w:themeColor="text1"/>
          <w:sz w:val="24"/>
          <w:szCs w:val="24"/>
          <w14:textFill>
            <w14:solidFill>
              <w14:schemeClr w14:val="tx1"/>
            </w14:solidFill>
          </w14:textFill>
        </w:rPr>
        <w:t>5.3-</w:t>
      </w:r>
      <w:r>
        <w:rPr>
          <w:rFonts w:hint="eastAsia" w:ascii="Times New Roman" w:hAnsi="Times New Roman" w:eastAsia="宋体"/>
          <w:b/>
          <w:bCs/>
          <w:snapToGrid w:val="0"/>
          <w:color w:val="000000" w:themeColor="text1"/>
          <w:sz w:val="24"/>
          <w:szCs w:val="24"/>
          <w:lang w:val="en-US" w:eastAsia="zh-CN"/>
          <w14:textFill>
            <w14:solidFill>
              <w14:schemeClr w14:val="tx1"/>
            </w14:solidFill>
          </w14:textFill>
        </w:rPr>
        <w:t>6</w:t>
      </w:r>
      <w:r>
        <w:rPr>
          <w:rFonts w:ascii="Times New Roman" w:hAnsi="Times New Roman" w:eastAsia="宋体"/>
          <w:b/>
          <w:bCs/>
          <w:snapToGrid w:val="0"/>
          <w:color w:val="000000" w:themeColor="text1"/>
          <w:sz w:val="24"/>
          <w:szCs w:val="24"/>
          <w14:textFill>
            <w14:solidFill>
              <w14:schemeClr w14:val="tx1"/>
            </w14:solidFill>
          </w14:textFill>
        </w:rPr>
        <w:t xml:space="preserve">    本项目危险物质数量与临界量的比值</w:t>
      </w:r>
    </w:p>
    <w:tbl>
      <w:tblPr>
        <w:tblStyle w:val="79"/>
        <w:tblW w:w="50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95"/>
        <w:gridCol w:w="2327"/>
        <w:gridCol w:w="1734"/>
        <w:gridCol w:w="1700"/>
        <w:gridCol w:w="1627"/>
      </w:tblGrid>
      <w:tr w14:paraId="51979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0" w:hRule="exact"/>
          <w:jc w:val="center"/>
        </w:trPr>
        <w:tc>
          <w:tcPr>
            <w:tcW w:w="645" w:type="pct"/>
            <w:noWrap w:val="0"/>
            <w:vAlign w:val="center"/>
          </w:tcPr>
          <w:p w14:paraId="00E42803">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设施</w:t>
            </w:r>
          </w:p>
        </w:tc>
        <w:tc>
          <w:tcPr>
            <w:tcW w:w="1371" w:type="pct"/>
            <w:noWrap w:val="0"/>
            <w:vAlign w:val="center"/>
          </w:tcPr>
          <w:p w14:paraId="1E32724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物质名称</w:t>
            </w:r>
          </w:p>
        </w:tc>
        <w:tc>
          <w:tcPr>
            <w:tcW w:w="1022" w:type="pct"/>
            <w:noWrap w:val="0"/>
            <w:vAlign w:val="center"/>
          </w:tcPr>
          <w:p w14:paraId="71F89037">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临界量/t</w:t>
            </w:r>
          </w:p>
        </w:tc>
        <w:tc>
          <w:tcPr>
            <w:tcW w:w="1001" w:type="pct"/>
            <w:noWrap w:val="0"/>
            <w:vAlign w:val="center"/>
          </w:tcPr>
          <w:p w14:paraId="5E3F54E6">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储存量/t</w:t>
            </w:r>
          </w:p>
        </w:tc>
        <w:tc>
          <w:tcPr>
            <w:tcW w:w="959" w:type="pct"/>
            <w:noWrap w:val="0"/>
            <w:vAlign w:val="center"/>
          </w:tcPr>
          <w:p w14:paraId="2A45E038">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pacing w:val="-1"/>
                <w:sz w:val="21"/>
                <w:szCs w:val="21"/>
                <w14:textFill>
                  <w14:solidFill>
                    <w14:schemeClr w14:val="tx1"/>
                  </w14:solidFill>
                </w14:textFill>
              </w:rPr>
            </w:pPr>
            <w:r>
              <w:rPr>
                <w:rFonts w:hint="default" w:ascii="Times New Roman" w:hAnsi="Times New Roman" w:cs="Times New Roman"/>
                <w:b/>
                <w:bCs/>
                <w:color w:val="000000" w:themeColor="text1"/>
                <w:spacing w:val="-1"/>
                <w:sz w:val="21"/>
                <w:szCs w:val="21"/>
                <w14:textFill>
                  <w14:solidFill>
                    <w14:schemeClr w14:val="tx1"/>
                  </w14:solidFill>
                </w14:textFill>
              </w:rPr>
              <w:t>Q</w:t>
            </w:r>
          </w:p>
        </w:tc>
      </w:tr>
      <w:tr w14:paraId="6DA772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1092" w:type="dxa"/>
            <w:noWrap w:val="0"/>
            <w:vAlign w:val="center"/>
          </w:tcPr>
          <w:p w14:paraId="36E7F13A">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油库</w:t>
            </w:r>
          </w:p>
        </w:tc>
        <w:tc>
          <w:tcPr>
            <w:tcW w:w="2318" w:type="dxa"/>
            <w:noWrap w:val="0"/>
            <w:vAlign w:val="center"/>
          </w:tcPr>
          <w:p w14:paraId="03586A8A">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柴油</w:t>
            </w:r>
          </w:p>
        </w:tc>
        <w:tc>
          <w:tcPr>
            <w:tcW w:w="1728" w:type="dxa"/>
            <w:noWrap w:val="0"/>
            <w:vAlign w:val="center"/>
          </w:tcPr>
          <w:p w14:paraId="0D435F55">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2500</w:t>
            </w:r>
          </w:p>
        </w:tc>
        <w:tc>
          <w:tcPr>
            <w:tcW w:w="1693" w:type="dxa"/>
            <w:noWrap w:val="0"/>
            <w:vAlign w:val="center"/>
          </w:tcPr>
          <w:p w14:paraId="2418378B">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20</w:t>
            </w:r>
          </w:p>
        </w:tc>
        <w:tc>
          <w:tcPr>
            <w:tcW w:w="1622" w:type="dxa"/>
            <w:noWrap w:val="0"/>
            <w:vAlign w:val="center"/>
          </w:tcPr>
          <w:p w14:paraId="27952950">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0.008</w:t>
            </w:r>
          </w:p>
        </w:tc>
      </w:tr>
      <w:tr w14:paraId="4D8BBF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1092" w:type="dxa"/>
            <w:noWrap w:val="0"/>
            <w:vAlign w:val="center"/>
          </w:tcPr>
          <w:p w14:paraId="769C8000">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爆破器材库</w:t>
            </w:r>
          </w:p>
        </w:tc>
        <w:tc>
          <w:tcPr>
            <w:tcW w:w="2318" w:type="dxa"/>
            <w:noWrap w:val="0"/>
            <w:vAlign w:val="center"/>
          </w:tcPr>
          <w:p w14:paraId="4D3E2D04">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炸药</w:t>
            </w:r>
            <w:r>
              <w:rPr>
                <w:rFonts w:hint="eastAsia" w:ascii="Times New Roman" w:hAnsi="Times New Roman" w:cs="Times New Roman"/>
                <w:color w:val="000000" w:themeColor="text1"/>
                <w:spacing w:val="-1"/>
                <w:sz w:val="21"/>
                <w:szCs w:val="21"/>
                <w14:textFill>
                  <w14:solidFill>
                    <w14:schemeClr w14:val="tx1"/>
                  </w14:solidFill>
                </w14:textFill>
              </w:rPr>
              <w:t>（硝酸铵）</w:t>
            </w:r>
          </w:p>
        </w:tc>
        <w:tc>
          <w:tcPr>
            <w:tcW w:w="1728" w:type="dxa"/>
            <w:noWrap w:val="0"/>
            <w:vAlign w:val="center"/>
          </w:tcPr>
          <w:p w14:paraId="05944D9C">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50</w:t>
            </w:r>
          </w:p>
        </w:tc>
        <w:tc>
          <w:tcPr>
            <w:tcW w:w="1693" w:type="dxa"/>
            <w:noWrap w:val="0"/>
            <w:vAlign w:val="center"/>
          </w:tcPr>
          <w:p w14:paraId="6C6FA753">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t>30</w:t>
            </w:r>
          </w:p>
        </w:tc>
        <w:tc>
          <w:tcPr>
            <w:tcW w:w="1622" w:type="dxa"/>
            <w:noWrap w:val="0"/>
            <w:vAlign w:val="center"/>
          </w:tcPr>
          <w:p w14:paraId="48BBB4B7">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1"/>
                <w:kern w:val="0"/>
                <w:sz w:val="21"/>
                <w:szCs w:val="21"/>
                <w:lang w:val="en-US" w:eastAsia="zh-CN" w:bidi="ar-SA"/>
                <w14:textFill>
                  <w14:solidFill>
                    <w14:schemeClr w14:val="tx1"/>
                  </w14:solidFill>
                </w14:textFill>
              </w:rPr>
              <w:t>0.6</w:t>
            </w:r>
          </w:p>
        </w:tc>
      </w:tr>
      <w:tr w14:paraId="65E47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1092" w:type="dxa"/>
            <w:noWrap w:val="0"/>
            <w:vAlign w:val="center"/>
          </w:tcPr>
          <w:p w14:paraId="4EF6300F">
            <w:pPr>
              <w:pStyle w:val="679"/>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pacing w:val="-1"/>
                <w:sz w:val="2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危废贮存点</w:t>
            </w:r>
          </w:p>
        </w:tc>
        <w:tc>
          <w:tcPr>
            <w:tcW w:w="2318" w:type="dxa"/>
            <w:noWrap w:val="0"/>
            <w:vAlign w:val="center"/>
          </w:tcPr>
          <w:p w14:paraId="1DBD2E4D">
            <w:pPr>
              <w:pStyle w:val="679"/>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废矿物油</w:t>
            </w:r>
          </w:p>
        </w:tc>
        <w:tc>
          <w:tcPr>
            <w:tcW w:w="1728" w:type="dxa"/>
            <w:noWrap w:val="0"/>
            <w:vAlign w:val="center"/>
          </w:tcPr>
          <w:p w14:paraId="6D7CC4E1">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2500</w:t>
            </w:r>
          </w:p>
        </w:tc>
        <w:tc>
          <w:tcPr>
            <w:tcW w:w="1693" w:type="dxa"/>
            <w:noWrap w:val="0"/>
            <w:vAlign w:val="center"/>
          </w:tcPr>
          <w:p w14:paraId="557BEEB2">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1</w:t>
            </w:r>
          </w:p>
        </w:tc>
        <w:tc>
          <w:tcPr>
            <w:tcW w:w="1622" w:type="dxa"/>
            <w:noWrap w:val="0"/>
            <w:vAlign w:val="center"/>
          </w:tcPr>
          <w:p w14:paraId="2E0F5B1D">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0.0004</w:t>
            </w:r>
          </w:p>
        </w:tc>
      </w:tr>
      <w:tr w14:paraId="759CBE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6" w:hRule="exact"/>
          <w:jc w:val="center"/>
        </w:trPr>
        <w:tc>
          <w:tcPr>
            <w:tcW w:w="4040" w:type="pct"/>
            <w:gridSpan w:val="4"/>
            <w:noWrap w:val="0"/>
            <w:vAlign w:val="center"/>
          </w:tcPr>
          <w:p w14:paraId="765069AB">
            <w:pPr>
              <w:pStyle w:val="679"/>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pacing w:val="-1"/>
                <w:sz w:val="21"/>
                <w:szCs w:val="21"/>
                <w14:textFill>
                  <w14:solidFill>
                    <w14:schemeClr w14:val="tx1"/>
                  </w14:solidFill>
                </w14:textFill>
              </w:rPr>
            </w:pPr>
            <w:r>
              <w:rPr>
                <w:rFonts w:hint="eastAsia" w:ascii="Times New Roman" w:hAnsi="Times New Roman" w:cs="Times New Roman"/>
                <w:color w:val="000000" w:themeColor="text1"/>
                <w:spacing w:val="-1"/>
                <w:sz w:val="21"/>
                <w:szCs w:val="21"/>
                <w14:textFill>
                  <w14:solidFill>
                    <w14:schemeClr w14:val="tx1"/>
                  </w14:solidFill>
                </w14:textFill>
              </w:rPr>
              <w:t>合计</w:t>
            </w:r>
          </w:p>
        </w:tc>
        <w:tc>
          <w:tcPr>
            <w:tcW w:w="959" w:type="pct"/>
            <w:noWrap w:val="0"/>
            <w:vAlign w:val="center"/>
          </w:tcPr>
          <w:p w14:paraId="7B861ACA">
            <w:pPr>
              <w:pStyle w:val="679"/>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lang w:val="en-US" w:eastAsia="zh-CN"/>
                <w14:textFill>
                  <w14:solidFill>
                    <w14:schemeClr w14:val="tx1"/>
                  </w14:solidFill>
                </w14:textFill>
              </w:rPr>
              <w:t>0.6084</w:t>
            </w:r>
          </w:p>
        </w:tc>
      </w:tr>
    </w:tbl>
    <w:p w14:paraId="011703E3">
      <w:pPr>
        <w:pStyle w:val="494"/>
        <w:spacing w:line="480" w:lineRule="exact"/>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项目危险物质</w:t>
      </w:r>
      <w:r>
        <w:rPr>
          <w:rFonts w:hint="eastAsia"/>
          <w:color w:val="000000" w:themeColor="text1"/>
          <w:lang w:eastAsia="zh-CN"/>
          <w14:textFill>
            <w14:solidFill>
              <w14:schemeClr w14:val="tx1"/>
            </w14:solidFill>
          </w14:textFill>
        </w:rPr>
        <w:t>的</w:t>
      </w:r>
      <w:r>
        <w:rPr>
          <w:color w:val="000000" w:themeColor="text1"/>
          <w14:textFill>
            <w14:solidFill>
              <w14:schemeClr w14:val="tx1"/>
            </w14:solidFill>
          </w14:textFill>
        </w:rPr>
        <w:t>量与临界量比值Q为</w:t>
      </w:r>
      <w:r>
        <w:rPr>
          <w:rFonts w:hint="eastAsia"/>
          <w:color w:val="000000" w:themeColor="text1"/>
          <w:lang w:val="en-US" w:eastAsia="zh-CN"/>
          <w14:textFill>
            <w14:solidFill>
              <w14:schemeClr w14:val="tx1"/>
            </w14:solidFill>
          </w14:textFill>
        </w:rPr>
        <w:t>0.6084</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当Q＜1时，</w:t>
      </w:r>
      <w:r>
        <w:rPr>
          <w:rFonts w:hint="eastAsia"/>
          <w:color w:val="000000" w:themeColor="text1"/>
          <w:sz w:val="24"/>
          <w14:textFill>
            <w14:solidFill>
              <w14:schemeClr w14:val="tx1"/>
            </w14:solidFill>
          </w14:textFill>
        </w:rPr>
        <w:t>本项目</w:t>
      </w:r>
      <w:r>
        <w:rPr>
          <w:rFonts w:hint="eastAsia"/>
          <w:color w:val="000000" w:themeColor="text1"/>
          <w:lang w:val="en-US" w:eastAsia="zh-CN"/>
          <w14:textFill>
            <w14:solidFill>
              <w14:schemeClr w14:val="tx1"/>
            </w14:solidFill>
          </w14:textFill>
        </w:rPr>
        <w:t>环境风险潜势直接判定为</w:t>
      </w:r>
      <w:r>
        <w:rPr>
          <w:color w:val="000000" w:themeColor="text1"/>
          <w:sz w:val="24"/>
          <w14:textFill>
            <w14:solidFill>
              <w14:schemeClr w14:val="tx1"/>
            </w14:solidFill>
          </w14:textFill>
        </w:rPr>
        <w:t>Ⅰ</w:t>
      </w:r>
      <w:r>
        <w:rPr>
          <w:rFonts w:hint="eastAsia"/>
          <w:color w:val="000000" w:themeColor="text1"/>
          <w14:textFill>
            <w14:solidFill>
              <w14:schemeClr w14:val="tx1"/>
            </w14:solidFill>
          </w14:textFill>
        </w:rPr>
        <w:t>。</w:t>
      </w:r>
    </w:p>
    <w:p w14:paraId="459AF25D">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5.3.3.</w:t>
      </w:r>
      <w:r>
        <w:rPr>
          <w:rFonts w:hint="eastAsia"/>
          <w:b/>
          <w:bCs/>
          <w:color w:val="000000" w:themeColor="text1"/>
          <w:sz w:val="24"/>
          <w:szCs w:val="28"/>
          <w14:textFill>
            <w14:solidFill>
              <w14:schemeClr w14:val="tx1"/>
            </w14:solidFill>
          </w14:textFill>
        </w:rPr>
        <w:t>3</w:t>
      </w:r>
      <w:r>
        <w:rPr>
          <w:b/>
          <w:bCs/>
          <w:color w:val="000000" w:themeColor="text1"/>
          <w:sz w:val="24"/>
          <w:szCs w:val="28"/>
          <w14:textFill>
            <w14:solidFill>
              <w14:schemeClr w14:val="tx1"/>
            </w14:solidFill>
          </w14:textFill>
        </w:rPr>
        <w:t>环境风险评价等级的确定</w:t>
      </w:r>
    </w:p>
    <w:p w14:paraId="430337ED">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环境风险评价工作等级划分为一级、二级、三级。根据建设项目涉及的物质及工艺系统危险性和所在地的环境敏感性确定环境风险潜势，按照表1确定评价工作等级。风险潜势为Ⅳ及以上，进行一级评价；风险潜势为Ⅲ，进行二级评价；风险潜势为Ⅱ，进行三级评价；风险潜势为Ⅰ，可开展简单分析。</w:t>
      </w:r>
    </w:p>
    <w:p w14:paraId="26645231">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表5.3-</w:t>
      </w: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 xml:space="preserve">    风险评价等级划分表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4"/>
        <w:gridCol w:w="1702"/>
        <w:gridCol w:w="1702"/>
        <w:gridCol w:w="1709"/>
      </w:tblGrid>
      <w:tr w14:paraId="7FD8E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noWrap w:val="0"/>
            <w:vAlign w:val="center"/>
          </w:tcPr>
          <w:p w14:paraId="746553C5">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环境风险潜势</w:t>
            </w:r>
          </w:p>
        </w:tc>
        <w:tc>
          <w:tcPr>
            <w:tcW w:w="1000" w:type="pct"/>
            <w:noWrap w:val="0"/>
            <w:vAlign w:val="center"/>
          </w:tcPr>
          <w:p w14:paraId="630F7310">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Ⅳ</w:t>
            </w:r>
          </w:p>
        </w:tc>
        <w:tc>
          <w:tcPr>
            <w:tcW w:w="999" w:type="pct"/>
            <w:noWrap w:val="0"/>
            <w:vAlign w:val="center"/>
          </w:tcPr>
          <w:p w14:paraId="3B79040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Ⅲ</w:t>
            </w:r>
          </w:p>
        </w:tc>
        <w:tc>
          <w:tcPr>
            <w:tcW w:w="999" w:type="pct"/>
            <w:noWrap w:val="0"/>
            <w:vAlign w:val="center"/>
          </w:tcPr>
          <w:p w14:paraId="465DE804">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Ⅱ</w:t>
            </w:r>
          </w:p>
        </w:tc>
        <w:tc>
          <w:tcPr>
            <w:tcW w:w="1001" w:type="pct"/>
            <w:noWrap w:val="0"/>
            <w:vAlign w:val="center"/>
          </w:tcPr>
          <w:p w14:paraId="040F9D08">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Ⅰ</w:t>
            </w:r>
          </w:p>
        </w:tc>
      </w:tr>
      <w:tr w14:paraId="12D54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noWrap w:val="0"/>
            <w:vAlign w:val="center"/>
          </w:tcPr>
          <w:p w14:paraId="2728485E">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环境评价等级</w:t>
            </w:r>
          </w:p>
        </w:tc>
        <w:tc>
          <w:tcPr>
            <w:tcW w:w="1000" w:type="pct"/>
            <w:noWrap w:val="0"/>
            <w:vAlign w:val="center"/>
          </w:tcPr>
          <w:p w14:paraId="522C99BC">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w:t>
            </w:r>
          </w:p>
        </w:tc>
        <w:tc>
          <w:tcPr>
            <w:tcW w:w="999" w:type="pct"/>
            <w:noWrap w:val="0"/>
            <w:vAlign w:val="center"/>
          </w:tcPr>
          <w:p w14:paraId="71187C3A">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w:t>
            </w:r>
          </w:p>
        </w:tc>
        <w:tc>
          <w:tcPr>
            <w:tcW w:w="999" w:type="pct"/>
            <w:noWrap w:val="0"/>
            <w:vAlign w:val="center"/>
          </w:tcPr>
          <w:p w14:paraId="2D2BFCA2">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w:t>
            </w:r>
          </w:p>
        </w:tc>
        <w:tc>
          <w:tcPr>
            <w:tcW w:w="1001" w:type="pct"/>
            <w:noWrap w:val="0"/>
            <w:vAlign w:val="center"/>
          </w:tcPr>
          <w:p w14:paraId="47B17CF1">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简单分析</w:t>
            </w:r>
            <w:r>
              <w:rPr>
                <w:rFonts w:hint="default" w:ascii="Times New Roman" w:hAnsi="Times New Roman" w:cs="Times New Roman"/>
                <w:color w:val="000000" w:themeColor="text1"/>
                <w:szCs w:val="21"/>
                <w:vertAlign w:val="superscript"/>
                <w14:textFill>
                  <w14:solidFill>
                    <w14:schemeClr w14:val="tx1"/>
                  </w14:solidFill>
                </w14:textFill>
              </w:rPr>
              <w:t>a</w:t>
            </w:r>
          </w:p>
        </w:tc>
      </w:tr>
      <w:tr w14:paraId="27DE7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2D7F6157">
            <w:pPr>
              <w:keepNext w:val="0"/>
              <w:keepLines w:val="0"/>
              <w:suppressLineNumbers w:val="0"/>
              <w:adjustRightInd w:val="0"/>
              <w:snapToGrid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vertAlign w:val="superscript"/>
                <w14:textFill>
                  <w14:solidFill>
                    <w14:schemeClr w14:val="tx1"/>
                  </w14:solidFill>
                </w14:textFill>
              </w:rPr>
              <w:t>a</w:t>
            </w:r>
            <w:r>
              <w:rPr>
                <w:rFonts w:hint="default" w:ascii="Times New Roman" w:hAnsi="Times New Roman" w:cs="Times New Roman"/>
                <w:color w:val="000000" w:themeColor="text1"/>
                <w:szCs w:val="21"/>
                <w14:textFill>
                  <w14:solidFill>
                    <w14:schemeClr w14:val="tx1"/>
                  </w14:solidFill>
                </w14:textFill>
              </w:rPr>
              <w:t>是相对于详解评价工作内容而言，在描述危险物质、环境</w:t>
            </w:r>
            <w:r>
              <w:rPr>
                <w:rFonts w:hint="eastAsia" w:ascii="Times New Roman" w:hAnsi="Times New Roman" w:cs="Times New Roman"/>
                <w:color w:val="000000" w:themeColor="text1"/>
                <w:szCs w:val="21"/>
                <w14:textFill>
                  <w14:solidFill>
                    <w14:schemeClr w14:val="tx1"/>
                  </w14:solidFill>
                </w14:textFill>
              </w:rPr>
              <w:t>影响</w:t>
            </w:r>
            <w:r>
              <w:rPr>
                <w:rFonts w:hint="default" w:ascii="Times New Roman" w:hAnsi="Times New Roman" w:cs="Times New Roman"/>
                <w:color w:val="000000" w:themeColor="text1"/>
                <w:szCs w:val="21"/>
                <w14:textFill>
                  <w14:solidFill>
                    <w14:schemeClr w14:val="tx1"/>
                  </w14:solidFill>
                </w14:textFill>
              </w:rPr>
              <w:t>途径、环境危害后果、风险防范措施等方面给出定性的说明</w:t>
            </w:r>
          </w:p>
        </w:tc>
      </w:tr>
    </w:tbl>
    <w:p w14:paraId="0280945B">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根据判断，</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的风险潜势为Ⅱ。由表5.3-</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可知，</w:t>
      </w:r>
      <w:r>
        <w:rPr>
          <w:rFonts w:hint="eastAsia"/>
          <w:color w:val="000000" w:themeColor="text1"/>
          <w14:textFill>
            <w14:solidFill>
              <w14:schemeClr w14:val="tx1"/>
            </w14:solidFill>
          </w14:textFill>
        </w:rPr>
        <w:t>本项目风险评价等级为三级。</w:t>
      </w:r>
    </w:p>
    <w:p w14:paraId="3B66FA1B">
      <w:pPr>
        <w:pStyle w:val="4"/>
        <w:spacing w:before="60" w:after="60" w:line="480" w:lineRule="exact"/>
        <w:rPr>
          <w:color w:val="000000" w:themeColor="text1"/>
          <w14:textFill>
            <w14:solidFill>
              <w14:schemeClr w14:val="tx1"/>
            </w14:solidFill>
          </w14:textFill>
        </w:rPr>
      </w:pPr>
      <w:bookmarkStart w:id="463" w:name="_Toc22309"/>
      <w:bookmarkStart w:id="464" w:name="_Toc26101"/>
      <w:bookmarkStart w:id="465" w:name="_Toc29274"/>
      <w:bookmarkStart w:id="466" w:name="_Toc10223"/>
      <w:bookmarkStart w:id="467" w:name="_Toc12445"/>
      <w:r>
        <w:rPr>
          <w:color w:val="000000" w:themeColor="text1"/>
          <w14:textFill>
            <w14:solidFill>
              <w14:schemeClr w14:val="tx1"/>
            </w14:solidFill>
          </w14:textFill>
        </w:rPr>
        <w:t>5.3.4环境风险识别</w:t>
      </w:r>
      <w:bookmarkEnd w:id="463"/>
      <w:bookmarkEnd w:id="464"/>
      <w:bookmarkEnd w:id="465"/>
      <w:bookmarkEnd w:id="466"/>
      <w:bookmarkEnd w:id="467"/>
    </w:p>
    <w:p w14:paraId="289213DB">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风险识别范围包括生产设施风险识别和生产过程中所涉及的物质风险识别。</w:t>
      </w:r>
      <w:r>
        <w:rPr>
          <w:rFonts w:hint="eastAsia"/>
          <w:color w:val="000000" w:themeColor="text1"/>
          <w:sz w:val="24"/>
          <w:szCs w:val="24"/>
          <w:lang w:eastAsia="zh-CN"/>
          <w14:textFill>
            <w14:solidFill>
              <w14:schemeClr w14:val="tx1"/>
            </w14:solidFill>
          </w14:textFill>
        </w:rPr>
        <w:t>本项目</w:t>
      </w:r>
      <w:r>
        <w:rPr>
          <w:color w:val="000000" w:themeColor="text1"/>
          <w:sz w:val="24"/>
          <w:szCs w:val="24"/>
          <w14:textFill>
            <w14:solidFill>
              <w14:schemeClr w14:val="tx1"/>
            </w14:solidFill>
          </w14:textFill>
        </w:rPr>
        <w:t>为采矿类项目，生产过程涉及的危险化学品物质为</w:t>
      </w:r>
      <w:r>
        <w:rPr>
          <w:rFonts w:hint="eastAsia"/>
          <w:color w:val="000000" w:themeColor="text1"/>
          <w:sz w:val="24"/>
          <w:szCs w:val="24"/>
          <w:lang w:eastAsia="zh-CN"/>
          <w14:textFill>
            <w14:solidFill>
              <w14:schemeClr w14:val="tx1"/>
            </w14:solidFill>
          </w14:textFill>
        </w:rPr>
        <w:t>柴油、</w:t>
      </w:r>
      <w:r>
        <w:rPr>
          <w:rFonts w:hint="eastAsia"/>
          <w:color w:val="000000" w:themeColor="text1"/>
          <w:sz w:val="24"/>
          <w:szCs w:val="24"/>
          <w14:textFill>
            <w14:solidFill>
              <w14:schemeClr w14:val="tx1"/>
            </w14:solidFill>
          </w14:textFill>
        </w:rPr>
        <w:t>废矿物油和炸药（硝酸铵）</w:t>
      </w:r>
      <w:r>
        <w:rPr>
          <w:color w:val="000000" w:themeColor="text1"/>
          <w:sz w:val="24"/>
          <w:szCs w:val="24"/>
          <w14:textFill>
            <w14:solidFill>
              <w14:schemeClr w14:val="tx1"/>
            </w14:solidFill>
          </w14:textFill>
        </w:rPr>
        <w:t>。根据项目特点，本次生产设施识别范围为主要采矿区、工业场地、公用工程系统、环保设施及辅助生产设施。</w:t>
      </w:r>
    </w:p>
    <w:p w14:paraId="0CCD4029">
      <w:pPr>
        <w:keepNext/>
        <w:keepLines/>
        <w:spacing w:line="480" w:lineRule="exact"/>
        <w:ind w:firstLine="482" w:firstLineChars="200"/>
        <w:outlineLvl w:val="3"/>
        <w:rPr>
          <w:b/>
          <w:bCs/>
          <w:color w:val="000000" w:themeColor="text1"/>
          <w:sz w:val="24"/>
          <w:szCs w:val="28"/>
          <w14:textFill>
            <w14:solidFill>
              <w14:schemeClr w14:val="tx1"/>
            </w14:solidFill>
          </w14:textFill>
        </w:rPr>
      </w:pPr>
      <w:bookmarkStart w:id="468" w:name="_Toc2150"/>
      <w:r>
        <w:rPr>
          <w:b/>
          <w:bCs/>
          <w:color w:val="000000" w:themeColor="text1"/>
          <w:sz w:val="24"/>
          <w:szCs w:val="28"/>
          <w14:textFill>
            <w14:solidFill>
              <w14:schemeClr w14:val="tx1"/>
            </w14:solidFill>
          </w14:textFill>
        </w:rPr>
        <w:t>5.3.4.1</w:t>
      </w:r>
      <w:bookmarkEnd w:id="468"/>
      <w:r>
        <w:rPr>
          <w:b/>
          <w:bCs/>
          <w:color w:val="000000" w:themeColor="text1"/>
          <w:sz w:val="24"/>
          <w:szCs w:val="28"/>
          <w14:textFill>
            <w14:solidFill>
              <w14:schemeClr w14:val="tx1"/>
            </w14:solidFill>
          </w14:textFill>
        </w:rPr>
        <w:t>工程环境风险识别</w:t>
      </w:r>
    </w:p>
    <w:p w14:paraId="2970A33C">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工程主要环境风险见表5.</w:t>
      </w:r>
      <w:r>
        <w:rPr>
          <w:rFonts w:hint="eastAsia"/>
          <w:color w:val="000000" w:themeColor="text1"/>
          <w:sz w:val="24"/>
          <w:szCs w:val="24"/>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8</w:t>
      </w:r>
      <w:r>
        <w:rPr>
          <w:color w:val="000000" w:themeColor="text1"/>
          <w:sz w:val="24"/>
          <w:szCs w:val="24"/>
          <w14:textFill>
            <w14:solidFill>
              <w14:schemeClr w14:val="tx1"/>
            </w14:solidFill>
          </w14:textFill>
        </w:rPr>
        <w:t>。</w:t>
      </w:r>
    </w:p>
    <w:p w14:paraId="42F6E6D2">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w:t>
      </w:r>
      <w:r>
        <w:rPr>
          <w:rFonts w:hint="eastAsia"/>
          <w:b/>
          <w:bCs/>
          <w:color w:val="000000" w:themeColor="text1"/>
          <w:sz w:val="24"/>
          <w14:textFill>
            <w14:solidFill>
              <w14:schemeClr w14:val="tx1"/>
            </w14:solidFill>
          </w14:textFill>
        </w:rPr>
        <w:t>3-</w:t>
      </w:r>
      <w:r>
        <w:rPr>
          <w:rFonts w:hint="eastAsia"/>
          <w:b/>
          <w:bCs/>
          <w:color w:val="000000" w:themeColor="text1"/>
          <w:sz w:val="24"/>
          <w:lang w:val="en-US" w:eastAsia="zh-CN"/>
          <w14:textFill>
            <w14:solidFill>
              <w14:schemeClr w14:val="tx1"/>
            </w14:solidFill>
          </w14:textFill>
        </w:rPr>
        <w:t>8</w:t>
      </w:r>
      <w:r>
        <w:rPr>
          <w:rFonts w:hint="eastAsia"/>
          <w:b/>
          <w:bCs/>
          <w:color w:val="000000" w:themeColor="text1"/>
          <w:sz w:val="24"/>
          <w14:textFill>
            <w14:solidFill>
              <w14:schemeClr w14:val="tx1"/>
            </w14:solidFill>
          </w14:textFill>
        </w:rPr>
        <w:t xml:space="preserve">    工程主要环境风险</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5"/>
        <w:gridCol w:w="1452"/>
        <w:gridCol w:w="2223"/>
        <w:gridCol w:w="1982"/>
        <w:gridCol w:w="2177"/>
      </w:tblGrid>
      <w:tr w14:paraId="3D823A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2" w:type="pct"/>
            <w:tcBorders>
              <w:top w:val="single" w:color="auto" w:sz="12" w:space="0"/>
            </w:tcBorders>
            <w:noWrap w:val="0"/>
            <w:vAlign w:val="center"/>
          </w:tcPr>
          <w:p w14:paraId="608CBE4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序号</w:t>
            </w:r>
          </w:p>
        </w:tc>
        <w:tc>
          <w:tcPr>
            <w:tcW w:w="852" w:type="pct"/>
            <w:tcBorders>
              <w:top w:val="single" w:color="auto" w:sz="12" w:space="0"/>
            </w:tcBorders>
            <w:noWrap w:val="0"/>
            <w:vAlign w:val="center"/>
          </w:tcPr>
          <w:p w14:paraId="2B74888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发生环境风险对象</w:t>
            </w:r>
          </w:p>
        </w:tc>
        <w:tc>
          <w:tcPr>
            <w:tcW w:w="1304" w:type="pct"/>
            <w:tcBorders>
              <w:top w:val="single" w:color="auto" w:sz="12" w:space="0"/>
            </w:tcBorders>
            <w:noWrap w:val="0"/>
            <w:vAlign w:val="center"/>
          </w:tcPr>
          <w:p w14:paraId="2FD7011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风险类别</w:t>
            </w:r>
          </w:p>
        </w:tc>
        <w:tc>
          <w:tcPr>
            <w:tcW w:w="1163" w:type="pct"/>
            <w:tcBorders>
              <w:top w:val="single" w:color="auto" w:sz="12" w:space="0"/>
            </w:tcBorders>
            <w:noWrap w:val="0"/>
            <w:vAlign w:val="center"/>
          </w:tcPr>
          <w:p w14:paraId="78F35FE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发生原因</w:t>
            </w:r>
          </w:p>
        </w:tc>
        <w:tc>
          <w:tcPr>
            <w:tcW w:w="1277" w:type="pct"/>
            <w:tcBorders>
              <w:top w:val="single" w:color="auto" w:sz="12" w:space="0"/>
            </w:tcBorders>
            <w:noWrap w:val="0"/>
            <w:vAlign w:val="center"/>
          </w:tcPr>
          <w:p w14:paraId="53944CD7">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产生危害</w:t>
            </w:r>
          </w:p>
        </w:tc>
      </w:tr>
      <w:tr w14:paraId="339EE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2" w:type="pct"/>
            <w:noWrap w:val="0"/>
            <w:vAlign w:val="center"/>
          </w:tcPr>
          <w:p w14:paraId="26759F6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852" w:type="pct"/>
            <w:noWrap w:val="0"/>
            <w:vAlign w:val="center"/>
          </w:tcPr>
          <w:p w14:paraId="6E36FFE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爆破</w:t>
            </w:r>
            <w:r>
              <w:rPr>
                <w:rFonts w:hint="eastAsia" w:ascii="Times New Roman" w:hAnsi="Times New Roman" w:cs="Times New Roman"/>
                <w:color w:val="000000" w:themeColor="text1"/>
                <w:szCs w:val="21"/>
                <w:lang w:eastAsia="zh-CN"/>
                <w14:textFill>
                  <w14:solidFill>
                    <w14:schemeClr w14:val="tx1"/>
                  </w14:solidFill>
                </w14:textFill>
              </w:rPr>
              <w:t>器材</w:t>
            </w:r>
            <w:r>
              <w:rPr>
                <w:rFonts w:hint="eastAsia" w:ascii="Times New Roman" w:hAnsi="Times New Roman" w:cs="Times New Roman"/>
                <w:color w:val="000000" w:themeColor="text1"/>
                <w:szCs w:val="21"/>
                <w14:textFill>
                  <w14:solidFill>
                    <w14:schemeClr w14:val="tx1"/>
                  </w14:solidFill>
                </w14:textFill>
              </w:rPr>
              <w:t>库</w:t>
            </w:r>
          </w:p>
        </w:tc>
        <w:tc>
          <w:tcPr>
            <w:tcW w:w="1304" w:type="pct"/>
            <w:noWrap w:val="0"/>
            <w:vAlign w:val="center"/>
          </w:tcPr>
          <w:p w14:paraId="28A99AD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爆炸产生CO、SO</w:t>
            </w:r>
            <w:r>
              <w:rPr>
                <w:rFonts w:hint="eastAsia" w:ascii="Times New Roman" w:hAnsi="Times New Roman" w:cs="Times New Roman"/>
                <w:color w:val="000000" w:themeColor="text1"/>
                <w:szCs w:val="21"/>
                <w:vertAlign w:val="sub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等</w:t>
            </w:r>
          </w:p>
        </w:tc>
        <w:tc>
          <w:tcPr>
            <w:tcW w:w="1163" w:type="pct"/>
            <w:noWrap w:val="0"/>
            <w:vAlign w:val="center"/>
          </w:tcPr>
          <w:p w14:paraId="321742E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自然灾害、储存、管理、维护不善</w:t>
            </w:r>
          </w:p>
        </w:tc>
        <w:tc>
          <w:tcPr>
            <w:tcW w:w="1277" w:type="pct"/>
            <w:noWrap w:val="0"/>
            <w:vAlign w:val="center"/>
          </w:tcPr>
          <w:p w14:paraId="500913A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人员伤亡、损坏设施、环境污染</w:t>
            </w:r>
          </w:p>
        </w:tc>
      </w:tr>
      <w:tr w14:paraId="688B6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2" w:type="pct"/>
            <w:noWrap w:val="0"/>
            <w:vAlign w:val="center"/>
          </w:tcPr>
          <w:p w14:paraId="613580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852" w:type="pct"/>
            <w:noWrap w:val="0"/>
            <w:vAlign w:val="center"/>
          </w:tcPr>
          <w:p w14:paraId="5DEFF57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pacing w:val="-1"/>
                <w:szCs w:val="21"/>
                <w:lang w:eastAsia="zh-CN"/>
                <w14:textFill>
                  <w14:solidFill>
                    <w14:schemeClr w14:val="tx1"/>
                  </w14:solidFill>
                </w14:textFill>
              </w:rPr>
              <w:t>危废贮存点</w:t>
            </w:r>
          </w:p>
        </w:tc>
        <w:tc>
          <w:tcPr>
            <w:tcW w:w="1304" w:type="pct"/>
            <w:noWrap w:val="0"/>
            <w:vAlign w:val="center"/>
          </w:tcPr>
          <w:p w14:paraId="5ABAE6C2">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废油泄漏、火灾产生的CO、SO</w:t>
            </w:r>
            <w:r>
              <w:rPr>
                <w:rFonts w:hint="eastAsia" w:ascii="Times New Roman" w:hAnsi="Times New Roman" w:cs="Times New Roman"/>
                <w:color w:val="000000" w:themeColor="text1"/>
                <w:szCs w:val="21"/>
                <w:vertAlign w:val="sub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等</w:t>
            </w:r>
          </w:p>
        </w:tc>
        <w:tc>
          <w:tcPr>
            <w:tcW w:w="1163" w:type="pct"/>
            <w:noWrap w:val="0"/>
            <w:vAlign w:val="center"/>
          </w:tcPr>
          <w:p w14:paraId="2E95A1A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自然灾害、储存、管理、维护不善</w:t>
            </w:r>
          </w:p>
        </w:tc>
        <w:tc>
          <w:tcPr>
            <w:tcW w:w="1277" w:type="pct"/>
            <w:noWrap w:val="0"/>
            <w:vAlign w:val="center"/>
          </w:tcPr>
          <w:p w14:paraId="49FEE58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人员伤亡、损坏设施、环境污染</w:t>
            </w:r>
          </w:p>
        </w:tc>
      </w:tr>
      <w:tr w14:paraId="550A6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2" w:type="pct"/>
            <w:noWrap w:val="0"/>
            <w:vAlign w:val="center"/>
          </w:tcPr>
          <w:p w14:paraId="1BF82066">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w:t>
            </w:r>
          </w:p>
        </w:tc>
        <w:tc>
          <w:tcPr>
            <w:tcW w:w="852" w:type="pct"/>
            <w:noWrap w:val="0"/>
            <w:vAlign w:val="center"/>
          </w:tcPr>
          <w:p w14:paraId="32AFA70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pacing w:val="-1"/>
                <w:szCs w:val="21"/>
                <w:lang w:eastAsia="zh-CN"/>
                <w14:textFill>
                  <w14:solidFill>
                    <w14:schemeClr w14:val="tx1"/>
                  </w14:solidFill>
                </w14:textFill>
              </w:rPr>
            </w:pPr>
            <w:r>
              <w:rPr>
                <w:rFonts w:hint="eastAsia" w:ascii="Times New Roman" w:hAnsi="Times New Roman" w:cs="Times New Roman"/>
                <w:color w:val="000000" w:themeColor="text1"/>
                <w:spacing w:val="-1"/>
                <w:szCs w:val="21"/>
                <w:lang w:eastAsia="zh-CN"/>
                <w14:textFill>
                  <w14:solidFill>
                    <w14:schemeClr w14:val="tx1"/>
                  </w14:solidFill>
                </w14:textFill>
              </w:rPr>
              <w:t>油库</w:t>
            </w:r>
          </w:p>
        </w:tc>
        <w:tc>
          <w:tcPr>
            <w:tcW w:w="2222" w:type="dxa"/>
            <w:noWrap w:val="0"/>
            <w:vAlign w:val="center"/>
          </w:tcPr>
          <w:p w14:paraId="3FDE165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柴油泄漏、火灾产生的</w:t>
            </w:r>
            <w:r>
              <w:rPr>
                <w:rFonts w:hint="eastAsia" w:ascii="Times New Roman" w:hAnsi="Times New Roman" w:eastAsia="宋体" w:cs="Times New Roman"/>
                <w:color w:val="000000" w:themeColor="text1"/>
                <w:szCs w:val="21"/>
                <w14:textFill>
                  <w14:solidFill>
                    <w14:schemeClr w14:val="tx1"/>
                  </w14:solidFill>
                </w14:textFill>
              </w:rPr>
              <w:t>CO、SO</w:t>
            </w:r>
            <w:r>
              <w:rPr>
                <w:rFonts w:hint="eastAsia" w:ascii="Times New Roman" w:hAnsi="Times New Roman" w:eastAsia="宋体" w:cs="Times New Roman"/>
                <w:color w:val="000000" w:themeColor="text1"/>
                <w:szCs w:val="21"/>
                <w:vertAlign w:val="subscript"/>
                <w14:textFill>
                  <w14:solidFill>
                    <w14:schemeClr w14:val="tx1"/>
                  </w14:solidFill>
                </w14:textFill>
              </w:rPr>
              <w:t>2</w:t>
            </w:r>
            <w:r>
              <w:rPr>
                <w:rFonts w:hint="eastAsia" w:ascii="Times New Roman" w:hAnsi="Times New Roman" w:eastAsia="宋体" w:cs="Times New Roman"/>
                <w:color w:val="000000" w:themeColor="text1"/>
                <w:szCs w:val="21"/>
                <w14:textFill>
                  <w14:solidFill>
                    <w14:schemeClr w14:val="tx1"/>
                  </w14:solidFill>
                </w14:textFill>
              </w:rPr>
              <w:t>等</w:t>
            </w:r>
          </w:p>
        </w:tc>
        <w:tc>
          <w:tcPr>
            <w:tcW w:w="1983" w:type="dxa"/>
            <w:noWrap w:val="0"/>
            <w:vAlign w:val="center"/>
          </w:tcPr>
          <w:p w14:paraId="1EF2D274">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自然灾害、储存、管理、维护不善</w:t>
            </w:r>
          </w:p>
        </w:tc>
        <w:tc>
          <w:tcPr>
            <w:tcW w:w="2176" w:type="dxa"/>
            <w:noWrap w:val="0"/>
            <w:vAlign w:val="center"/>
          </w:tcPr>
          <w:p w14:paraId="433F8A7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人员伤亡、损坏设施、环境污染</w:t>
            </w:r>
          </w:p>
        </w:tc>
      </w:tr>
    </w:tbl>
    <w:p w14:paraId="02B9A844">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5.3.4.</w:t>
      </w:r>
      <w:r>
        <w:rPr>
          <w:rFonts w:hint="eastAsia"/>
          <w:b/>
          <w:bCs/>
          <w:color w:val="000000" w:themeColor="text1"/>
          <w:sz w:val="24"/>
          <w:szCs w:val="28"/>
          <w14:textFill>
            <w14:solidFill>
              <w14:schemeClr w14:val="tx1"/>
            </w14:solidFill>
          </w14:textFill>
        </w:rPr>
        <w:t>2生产设施风险识别</w:t>
      </w:r>
    </w:p>
    <w:p w14:paraId="3164EC0B">
      <w:pPr>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矿山</w:t>
      </w:r>
      <w:r>
        <w:rPr>
          <w:color w:val="000000" w:themeColor="text1"/>
          <w:sz w:val="24"/>
          <w14:textFill>
            <w14:solidFill>
              <w14:schemeClr w14:val="tx1"/>
            </w14:solidFill>
          </w14:textFill>
        </w:rPr>
        <w:t>开采中，炸药在生产场所每个爆破孔均为数公斤小剂量的使用；其他过程物料不存在易燃易爆或有毒有害性，也没有风险性的生产设施或装置</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危废贮存点</w:t>
      </w:r>
      <w:r>
        <w:rPr>
          <w:rFonts w:hint="eastAsia"/>
          <w:color w:val="000000" w:themeColor="text1"/>
          <w:sz w:val="24"/>
          <w14:textFill>
            <w14:solidFill>
              <w14:schemeClr w14:val="tx1"/>
            </w14:solidFill>
          </w14:textFill>
        </w:rPr>
        <w:t>按照《危险废物贮存污染控制标准》（GB18597-2023）</w:t>
      </w:r>
      <w:r>
        <w:rPr>
          <w:color w:val="000000" w:themeColor="text1"/>
          <w:sz w:val="24"/>
          <w:szCs w:val="24"/>
          <w14:textFill>
            <w14:solidFill>
              <w14:schemeClr w14:val="tx1"/>
            </w14:solidFill>
          </w14:textFill>
        </w:rPr>
        <w:t>要求进行设计建造</w:t>
      </w:r>
      <w:r>
        <w:rPr>
          <w:rFonts w:hint="eastAsia"/>
          <w:color w:val="000000" w:themeColor="text1"/>
          <w:sz w:val="24"/>
          <w:szCs w:val="24"/>
          <w14:textFill>
            <w14:solidFill>
              <w14:schemeClr w14:val="tx1"/>
            </w14:solidFill>
          </w14:textFill>
        </w:rPr>
        <w:t>，基本不会发生泄漏</w:t>
      </w:r>
      <w:r>
        <w:rPr>
          <w:color w:val="000000" w:themeColor="text1"/>
          <w:sz w:val="24"/>
          <w14:textFill>
            <w14:solidFill>
              <w14:schemeClr w14:val="tx1"/>
            </w14:solidFill>
          </w14:textFill>
        </w:rPr>
        <w:t>，因此是一个发生生产设施危险性较小的行业。但从实际情况来看，采矿行业的危险性主要来自采矿过程的风险事故，是矿难安全事故的多发行业，所以防范安全风险事故是该行业的重点。</w:t>
      </w:r>
    </w:p>
    <w:p w14:paraId="20611746">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5.3.4.</w:t>
      </w:r>
      <w:r>
        <w:rPr>
          <w:rFonts w:hint="eastAsia"/>
          <w:b/>
          <w:bCs/>
          <w:color w:val="000000" w:themeColor="text1"/>
          <w:sz w:val="24"/>
          <w:szCs w:val="28"/>
          <w14:textFill>
            <w14:solidFill>
              <w14:schemeClr w14:val="tx1"/>
            </w14:solidFill>
          </w14:textFill>
        </w:rPr>
        <w:t>3爆破</w:t>
      </w:r>
      <w:r>
        <w:rPr>
          <w:rFonts w:hint="eastAsia"/>
          <w:b/>
          <w:bCs/>
          <w:color w:val="000000" w:themeColor="text1"/>
          <w:sz w:val="24"/>
          <w:szCs w:val="28"/>
          <w:lang w:eastAsia="zh-CN"/>
          <w14:textFill>
            <w14:solidFill>
              <w14:schemeClr w14:val="tx1"/>
            </w14:solidFill>
          </w14:textFill>
        </w:rPr>
        <w:t>器材</w:t>
      </w:r>
      <w:r>
        <w:rPr>
          <w:rFonts w:hint="eastAsia"/>
          <w:b/>
          <w:bCs/>
          <w:color w:val="000000" w:themeColor="text1"/>
          <w:sz w:val="24"/>
          <w:szCs w:val="28"/>
          <w14:textFill>
            <w14:solidFill>
              <w14:schemeClr w14:val="tx1"/>
            </w14:solidFill>
          </w14:textFill>
        </w:rPr>
        <w:t>库风险识别</w:t>
      </w:r>
    </w:p>
    <w:p w14:paraId="6A604FA6">
      <w:pPr>
        <w:spacing w:line="480" w:lineRule="exact"/>
        <w:ind w:firstLine="48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本矿设</w:t>
      </w:r>
      <w:r>
        <w:rPr>
          <w:rFonts w:hint="eastAsia"/>
          <w:color w:val="000000" w:themeColor="text1"/>
          <w:sz w:val="24"/>
          <w14:textFill>
            <w14:solidFill>
              <w14:schemeClr w14:val="tx1"/>
            </w14:solidFill>
          </w14:textFill>
        </w:rPr>
        <w:t>爆破器材库</w:t>
      </w:r>
      <w:r>
        <w:rPr>
          <w:rFonts w:hint="eastAsia"/>
          <w:color w:val="000000" w:themeColor="text1"/>
          <w:sz w:val="24"/>
          <w:szCs w:val="24"/>
          <w14:textFill>
            <w14:solidFill>
              <w14:schemeClr w14:val="tx1"/>
            </w14:solidFill>
          </w14:textFill>
        </w:rPr>
        <w:t>，按</w:t>
      </w:r>
      <w:r>
        <w:rPr>
          <w:rFonts w:hint="eastAsia"/>
          <w:color w:val="000000" w:themeColor="text1"/>
          <w:sz w:val="24"/>
          <w:szCs w:val="24"/>
          <w:lang w:val="en-US" w:eastAsia="zh-CN"/>
          <w14:textFill>
            <w14:solidFill>
              <w14:schemeClr w14:val="tx1"/>
            </w14:solidFill>
          </w14:textFill>
        </w:rPr>
        <w:t>50</w:t>
      </w:r>
      <w:r>
        <w:rPr>
          <w:rFonts w:hint="eastAsia"/>
          <w:color w:val="000000" w:themeColor="text1"/>
          <w:sz w:val="24"/>
          <w:szCs w:val="24"/>
          <w14:textFill>
            <w14:solidFill>
              <w14:schemeClr w14:val="tx1"/>
            </w14:solidFill>
          </w14:textFill>
        </w:rPr>
        <w:t>t炸药存容量设计，爆破</w:t>
      </w:r>
      <w:r>
        <w:rPr>
          <w:rFonts w:hint="eastAsia"/>
          <w:color w:val="000000" w:themeColor="text1"/>
          <w:sz w:val="24"/>
          <w14:textFill>
            <w14:solidFill>
              <w14:schemeClr w14:val="tx1"/>
            </w14:solidFill>
          </w14:textFill>
        </w:rPr>
        <w:t>器材</w:t>
      </w:r>
      <w:r>
        <w:rPr>
          <w:rFonts w:hint="eastAsia"/>
          <w:color w:val="000000" w:themeColor="text1"/>
          <w:sz w:val="24"/>
          <w:szCs w:val="24"/>
          <w14:textFill>
            <w14:solidFill>
              <w14:schemeClr w14:val="tx1"/>
            </w14:solidFill>
          </w14:textFill>
        </w:rPr>
        <w:t>库位于矿区东南方向界外约500</w:t>
      </w:r>
      <w:r>
        <w:rPr>
          <w:rFonts w:hint="eastAsia"/>
          <w:color w:val="000000" w:themeColor="text1"/>
          <w:sz w:val="24"/>
          <w:szCs w:val="24"/>
          <w:lang w:eastAsia="zh-CN"/>
          <w14:textFill>
            <w14:solidFill>
              <w14:schemeClr w14:val="tx1"/>
            </w14:solidFill>
          </w14:textFill>
        </w:rPr>
        <w:t>m</w:t>
      </w:r>
      <w:r>
        <w:rPr>
          <w:rFonts w:hint="eastAsia"/>
          <w:color w:val="000000" w:themeColor="text1"/>
          <w:sz w:val="24"/>
          <w:szCs w:val="24"/>
          <w14:textFill>
            <w14:solidFill>
              <w14:schemeClr w14:val="tx1"/>
            </w14:solidFill>
          </w14:textFill>
        </w:rPr>
        <w:t>处。</w:t>
      </w:r>
      <w:r>
        <w:rPr>
          <w:rFonts w:hint="eastAsia"/>
          <w:color w:val="000000" w:themeColor="text1"/>
          <w:sz w:val="24"/>
          <w14:textFill>
            <w14:solidFill>
              <w14:schemeClr w14:val="tx1"/>
            </w14:solidFill>
          </w14:textFill>
        </w:rPr>
        <w:t>爆破器材库</w:t>
      </w:r>
      <w:r>
        <w:rPr>
          <w:rFonts w:hint="eastAsia"/>
          <w:color w:val="000000" w:themeColor="text1"/>
          <w:sz w:val="24"/>
          <w:szCs w:val="24"/>
          <w14:textFill>
            <w14:solidFill>
              <w14:schemeClr w14:val="tx1"/>
            </w14:solidFill>
          </w14:textFill>
        </w:rPr>
        <w:t>应按要求设置防、避雷装置和监控装置。炸药和雷管的危险性主要表现为易爆，因此，爆破器材库的风险主要为爆破器材意外爆炸</w:t>
      </w:r>
      <w:r>
        <w:rPr>
          <w:rFonts w:hint="eastAsia"/>
          <w:color w:val="000000" w:themeColor="text1"/>
          <w:sz w:val="24"/>
          <w:szCs w:val="24"/>
          <w:lang w:eastAsia="zh-CN"/>
          <w14:textFill>
            <w14:solidFill>
              <w14:schemeClr w14:val="tx1"/>
            </w14:solidFill>
          </w14:textFill>
        </w:rPr>
        <w:t>对</w:t>
      </w:r>
      <w:r>
        <w:rPr>
          <w:rFonts w:hint="eastAsia"/>
          <w:color w:val="000000" w:themeColor="text1"/>
          <w:sz w:val="24"/>
          <w:szCs w:val="24"/>
          <w14:textFill>
            <w14:solidFill>
              <w14:schemeClr w14:val="tx1"/>
            </w14:solidFill>
          </w14:textFill>
        </w:rPr>
        <w:t>人员造成的危害，以及对周边环境的污染影响。其中，环境危害主要为爆炸后引发火灾时，对其周边区域生态环境的影响。</w:t>
      </w:r>
    </w:p>
    <w:p w14:paraId="61FAAF94">
      <w:pPr>
        <w:pStyle w:val="4"/>
        <w:spacing w:before="0" w:after="0" w:line="480" w:lineRule="exact"/>
        <w:rPr>
          <w:color w:val="000000" w:themeColor="text1"/>
          <w14:textFill>
            <w14:solidFill>
              <w14:schemeClr w14:val="tx1"/>
            </w14:solidFill>
          </w14:textFill>
        </w:rPr>
      </w:pPr>
      <w:r>
        <w:rPr>
          <w:color w:val="000000" w:themeColor="text1"/>
          <w14:textFill>
            <w14:solidFill>
              <w14:schemeClr w14:val="tx1"/>
            </w14:solidFill>
          </w14:textFill>
        </w:rPr>
        <w:t>5.3.</w:t>
      </w:r>
      <w:r>
        <w:rPr>
          <w:rFonts w:hint="eastAsia"/>
          <w:color w:val="000000" w:themeColor="text1"/>
          <w14:textFill>
            <w14:solidFill>
              <w14:schemeClr w14:val="tx1"/>
            </w14:solidFill>
          </w14:textFill>
        </w:rPr>
        <w:t>5环境风险类型及危害分析</w:t>
      </w:r>
    </w:p>
    <w:p w14:paraId="46AAB2BC">
      <w:pPr>
        <w:spacing w:line="480" w:lineRule="exact"/>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根据项目物质危险性识别、生产系统危险性识别的结果，本项目矿区危险物质在事故情形下对环境的影响途径主要是炸药爆炸后发生火灾情形下通过大气对周围环境产生影响，</w:t>
      </w:r>
      <w:r>
        <w:rPr>
          <w:rFonts w:hint="eastAsia"/>
          <w:color w:val="000000" w:themeColor="text1"/>
          <w:sz w:val="24"/>
          <w:szCs w:val="24"/>
          <w:lang w:eastAsia="zh-CN"/>
          <w14:textFill>
            <w14:solidFill>
              <w14:schemeClr w14:val="tx1"/>
            </w14:solidFill>
          </w14:textFill>
        </w:rPr>
        <w:t>危废贮存点</w:t>
      </w:r>
      <w:r>
        <w:rPr>
          <w:rFonts w:hint="eastAsia"/>
          <w:color w:val="000000" w:themeColor="text1"/>
          <w:sz w:val="24"/>
          <w:szCs w:val="24"/>
          <w14:textFill>
            <w14:solidFill>
              <w14:schemeClr w14:val="tx1"/>
            </w14:solidFill>
          </w14:textFill>
        </w:rPr>
        <w:t>废油</w:t>
      </w:r>
      <w:r>
        <w:rPr>
          <w:rFonts w:hint="eastAsia"/>
          <w:color w:val="000000" w:themeColor="text1"/>
          <w:sz w:val="24"/>
          <w:szCs w:val="24"/>
          <w:lang w:val="en-US" w:eastAsia="zh-CN"/>
          <w14:textFill>
            <w14:solidFill>
              <w14:schemeClr w14:val="tx1"/>
            </w14:solidFill>
          </w14:textFill>
        </w:rPr>
        <w:t>泄漏</w:t>
      </w:r>
      <w:r>
        <w:rPr>
          <w:rFonts w:hint="eastAsia"/>
          <w:color w:val="000000" w:themeColor="text1"/>
          <w:sz w:val="24"/>
          <w:szCs w:val="24"/>
          <w14:textFill>
            <w14:solidFill>
              <w14:schemeClr w14:val="tx1"/>
            </w14:solidFill>
          </w14:textFill>
        </w:rPr>
        <w:t>对地下水甚至地表水产生影响。</w:t>
      </w:r>
    </w:p>
    <w:p w14:paraId="7859D072">
      <w:pPr>
        <w:pStyle w:val="4"/>
        <w:spacing w:before="0" w:after="0" w:line="480" w:lineRule="exact"/>
        <w:rPr>
          <w:color w:val="000000" w:themeColor="text1"/>
          <w14:textFill>
            <w14:solidFill>
              <w14:schemeClr w14:val="tx1"/>
            </w14:solidFill>
          </w14:textFill>
        </w:rPr>
      </w:pPr>
      <w:r>
        <w:rPr>
          <w:color w:val="000000" w:themeColor="text1"/>
          <w14:textFill>
            <w14:solidFill>
              <w14:schemeClr w14:val="tx1"/>
            </w14:solidFill>
          </w14:textFill>
        </w:rPr>
        <w:t>5.3.</w:t>
      </w:r>
      <w:r>
        <w:rPr>
          <w:rFonts w:hint="eastAsia"/>
          <w:color w:val="000000" w:themeColor="text1"/>
          <w14:textFill>
            <w14:solidFill>
              <w14:schemeClr w14:val="tx1"/>
            </w14:solidFill>
          </w14:textFill>
        </w:rPr>
        <w:t>6风险识别结果</w:t>
      </w:r>
    </w:p>
    <w:p w14:paraId="451B3EF5">
      <w:pPr>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根据以上风险识别内容可知本项目环境风险识别结果见下表。</w:t>
      </w:r>
    </w:p>
    <w:p w14:paraId="6CF020BB">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w:t>
      </w:r>
      <w:r>
        <w:rPr>
          <w:rFonts w:hint="eastAsia"/>
          <w:b/>
          <w:bCs/>
          <w:color w:val="000000" w:themeColor="text1"/>
          <w:sz w:val="24"/>
          <w14:textFill>
            <w14:solidFill>
              <w14:schemeClr w14:val="tx1"/>
            </w14:solidFill>
          </w14:textFill>
        </w:rPr>
        <w:t>3-</w:t>
      </w:r>
      <w:r>
        <w:rPr>
          <w:rFonts w:hint="eastAsia"/>
          <w:b/>
          <w:bCs/>
          <w:color w:val="000000" w:themeColor="text1"/>
          <w:sz w:val="24"/>
          <w:lang w:val="en-US" w:eastAsia="zh-CN"/>
          <w14:textFill>
            <w14:solidFill>
              <w14:schemeClr w14:val="tx1"/>
            </w14:solidFill>
          </w14:textFill>
        </w:rPr>
        <w:t>9</w:t>
      </w:r>
      <w:r>
        <w:rPr>
          <w:rFonts w:hint="eastAsia"/>
          <w:b/>
          <w:bCs/>
          <w:color w:val="000000" w:themeColor="text1"/>
          <w:sz w:val="24"/>
          <w14:textFill>
            <w14:solidFill>
              <w14:schemeClr w14:val="tx1"/>
            </w14:solidFill>
          </w14:textFill>
        </w:rPr>
        <w:t xml:space="preserve">    工程主要环境风险</w:t>
      </w:r>
    </w:p>
    <w:tbl>
      <w:tblPr>
        <w:tblStyle w:val="79"/>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2"/>
        <w:gridCol w:w="1172"/>
        <w:gridCol w:w="1278"/>
        <w:gridCol w:w="1560"/>
        <w:gridCol w:w="991"/>
        <w:gridCol w:w="1419"/>
        <w:gridCol w:w="1605"/>
      </w:tblGrid>
      <w:tr w14:paraId="679FC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9" w:type="pct"/>
            <w:tcBorders>
              <w:top w:val="single" w:color="auto" w:sz="12" w:space="0"/>
            </w:tcBorders>
            <w:noWrap w:val="0"/>
            <w:vAlign w:val="center"/>
          </w:tcPr>
          <w:p w14:paraId="38A4E804">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序号</w:t>
            </w:r>
          </w:p>
        </w:tc>
        <w:tc>
          <w:tcPr>
            <w:tcW w:w="688" w:type="pct"/>
            <w:tcBorders>
              <w:top w:val="single" w:color="auto" w:sz="12" w:space="0"/>
            </w:tcBorders>
            <w:noWrap w:val="0"/>
            <w:vAlign w:val="center"/>
          </w:tcPr>
          <w:p w14:paraId="7D09A7D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危险单元</w:t>
            </w:r>
          </w:p>
        </w:tc>
        <w:tc>
          <w:tcPr>
            <w:tcW w:w="750" w:type="pct"/>
            <w:tcBorders>
              <w:top w:val="single" w:color="auto" w:sz="12" w:space="0"/>
            </w:tcBorders>
            <w:noWrap w:val="0"/>
            <w:vAlign w:val="center"/>
          </w:tcPr>
          <w:p w14:paraId="3AB555B7">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风险源</w:t>
            </w:r>
          </w:p>
        </w:tc>
        <w:tc>
          <w:tcPr>
            <w:tcW w:w="916" w:type="pct"/>
            <w:tcBorders>
              <w:top w:val="single" w:color="auto" w:sz="12" w:space="0"/>
            </w:tcBorders>
            <w:noWrap w:val="0"/>
            <w:vAlign w:val="center"/>
          </w:tcPr>
          <w:p w14:paraId="5D05D71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主要危险物质</w:t>
            </w:r>
          </w:p>
        </w:tc>
        <w:tc>
          <w:tcPr>
            <w:tcW w:w="582" w:type="pct"/>
            <w:tcBorders>
              <w:top w:val="single" w:color="auto" w:sz="12" w:space="0"/>
            </w:tcBorders>
            <w:noWrap w:val="0"/>
            <w:vAlign w:val="center"/>
          </w:tcPr>
          <w:p w14:paraId="6E70FD4E">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环境风险类别</w:t>
            </w:r>
          </w:p>
        </w:tc>
        <w:tc>
          <w:tcPr>
            <w:tcW w:w="833" w:type="pct"/>
            <w:tcBorders>
              <w:top w:val="single" w:color="auto" w:sz="12" w:space="0"/>
            </w:tcBorders>
            <w:noWrap w:val="0"/>
            <w:vAlign w:val="center"/>
          </w:tcPr>
          <w:p w14:paraId="4993E6C5">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环境影响途径</w:t>
            </w:r>
          </w:p>
        </w:tc>
        <w:tc>
          <w:tcPr>
            <w:tcW w:w="942" w:type="pct"/>
            <w:tcBorders>
              <w:top w:val="single" w:color="auto" w:sz="12" w:space="0"/>
            </w:tcBorders>
            <w:noWrap w:val="0"/>
            <w:vAlign w:val="center"/>
          </w:tcPr>
          <w:p w14:paraId="624B5DE2">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可能受影响的环境敏感目标</w:t>
            </w:r>
          </w:p>
        </w:tc>
      </w:tr>
      <w:tr w14:paraId="7A6B0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9" w:type="pct"/>
            <w:noWrap w:val="0"/>
            <w:vAlign w:val="center"/>
          </w:tcPr>
          <w:p w14:paraId="16EB90C0">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688" w:type="pct"/>
            <w:noWrap w:val="0"/>
            <w:vAlign w:val="center"/>
          </w:tcPr>
          <w:p w14:paraId="0301F44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爆破</w:t>
            </w:r>
            <w:r>
              <w:rPr>
                <w:rFonts w:hint="eastAsia" w:ascii="Times New Roman" w:hAnsi="Times New Roman" w:cs="Times New Roman"/>
                <w:color w:val="000000" w:themeColor="text1"/>
                <w:szCs w:val="21"/>
                <w:lang w:eastAsia="zh-CN"/>
                <w14:textFill>
                  <w14:solidFill>
                    <w14:schemeClr w14:val="tx1"/>
                  </w14:solidFill>
                </w14:textFill>
              </w:rPr>
              <w:t>器材</w:t>
            </w:r>
            <w:r>
              <w:rPr>
                <w:rFonts w:hint="eastAsia" w:ascii="Times New Roman" w:hAnsi="Times New Roman" w:cs="Times New Roman"/>
                <w:color w:val="000000" w:themeColor="text1"/>
                <w:szCs w:val="21"/>
                <w14:textFill>
                  <w14:solidFill>
                    <w14:schemeClr w14:val="tx1"/>
                  </w14:solidFill>
                </w14:textFill>
              </w:rPr>
              <w:t>库</w:t>
            </w:r>
          </w:p>
        </w:tc>
        <w:tc>
          <w:tcPr>
            <w:tcW w:w="750" w:type="pct"/>
            <w:noWrap w:val="0"/>
            <w:vAlign w:val="center"/>
          </w:tcPr>
          <w:p w14:paraId="28E1793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爆破</w:t>
            </w:r>
            <w:r>
              <w:rPr>
                <w:rFonts w:hint="eastAsia" w:ascii="Times New Roman" w:hAnsi="Times New Roman" w:cs="Times New Roman"/>
                <w:color w:val="000000" w:themeColor="text1"/>
                <w:szCs w:val="21"/>
                <w:lang w:eastAsia="zh-CN"/>
                <w14:textFill>
                  <w14:solidFill>
                    <w14:schemeClr w14:val="tx1"/>
                  </w14:solidFill>
                </w14:textFill>
              </w:rPr>
              <w:t>器材</w:t>
            </w:r>
            <w:r>
              <w:rPr>
                <w:rFonts w:hint="eastAsia" w:ascii="Times New Roman" w:hAnsi="Times New Roman" w:cs="Times New Roman"/>
                <w:color w:val="000000" w:themeColor="text1"/>
                <w:szCs w:val="21"/>
                <w14:textFill>
                  <w14:solidFill>
                    <w14:schemeClr w14:val="tx1"/>
                  </w14:solidFill>
                </w14:textFill>
              </w:rPr>
              <w:t>库</w:t>
            </w:r>
          </w:p>
        </w:tc>
        <w:tc>
          <w:tcPr>
            <w:tcW w:w="916" w:type="pct"/>
            <w:noWrap w:val="0"/>
            <w:vAlign w:val="center"/>
          </w:tcPr>
          <w:p w14:paraId="3741F30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pacing w:val="-1"/>
                <w:szCs w:val="21"/>
                <w14:textFill>
                  <w14:solidFill>
                    <w14:schemeClr w14:val="tx1"/>
                  </w14:solidFill>
                </w14:textFill>
              </w:rPr>
              <w:t>炸药</w:t>
            </w:r>
            <w:r>
              <w:rPr>
                <w:rFonts w:hint="eastAsia" w:ascii="Times New Roman" w:hAnsi="Times New Roman" w:cs="Times New Roman"/>
                <w:color w:val="000000" w:themeColor="text1"/>
                <w:spacing w:val="-1"/>
                <w:szCs w:val="21"/>
                <w14:textFill>
                  <w14:solidFill>
                    <w14:schemeClr w14:val="tx1"/>
                  </w14:solidFill>
                </w14:textFill>
              </w:rPr>
              <w:t>（硝酸铵）</w:t>
            </w:r>
          </w:p>
        </w:tc>
        <w:tc>
          <w:tcPr>
            <w:tcW w:w="582" w:type="pct"/>
            <w:noWrap w:val="0"/>
            <w:vAlign w:val="center"/>
          </w:tcPr>
          <w:p w14:paraId="6AD95686">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火灾爆炸</w:t>
            </w:r>
          </w:p>
        </w:tc>
        <w:tc>
          <w:tcPr>
            <w:tcW w:w="833" w:type="pct"/>
            <w:noWrap w:val="0"/>
            <w:vAlign w:val="center"/>
          </w:tcPr>
          <w:p w14:paraId="061E402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大气</w:t>
            </w:r>
          </w:p>
        </w:tc>
        <w:tc>
          <w:tcPr>
            <w:tcW w:w="942" w:type="pct"/>
            <w:noWrap w:val="0"/>
            <w:vAlign w:val="center"/>
          </w:tcPr>
          <w:p w14:paraId="30C20783">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办公生活区</w:t>
            </w:r>
          </w:p>
        </w:tc>
      </w:tr>
      <w:tr w14:paraId="2831D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9" w:type="pct"/>
            <w:noWrap w:val="0"/>
            <w:vAlign w:val="center"/>
          </w:tcPr>
          <w:p w14:paraId="7E544512">
            <w:pPr>
              <w:keepNext w:val="0"/>
              <w:keepLines w:val="0"/>
              <w:suppressLineNumbers w:val="0"/>
              <w:spacing w:before="0" w:beforeAutospacing="0" w:after="0" w:afterAutospacing="0" w:line="360" w:lineRule="exact"/>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688" w:type="pct"/>
            <w:noWrap w:val="0"/>
            <w:vAlign w:val="center"/>
          </w:tcPr>
          <w:p w14:paraId="457B4C3D">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pacing w:val="-1"/>
                <w:szCs w:val="21"/>
                <w:lang w:eastAsia="zh-CN"/>
                <w14:textFill>
                  <w14:solidFill>
                    <w14:schemeClr w14:val="tx1"/>
                  </w14:solidFill>
                </w14:textFill>
              </w:rPr>
              <w:t>危废贮存点</w:t>
            </w:r>
          </w:p>
        </w:tc>
        <w:tc>
          <w:tcPr>
            <w:tcW w:w="750" w:type="pct"/>
            <w:noWrap w:val="0"/>
            <w:vAlign w:val="center"/>
          </w:tcPr>
          <w:p w14:paraId="565A613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pacing w:val="-1"/>
                <w:szCs w:val="21"/>
                <w14:textFill>
                  <w14:solidFill>
                    <w14:schemeClr w14:val="tx1"/>
                  </w14:solidFill>
                </w14:textFill>
              </w:rPr>
            </w:pPr>
            <w:r>
              <w:rPr>
                <w:rFonts w:hint="eastAsia" w:ascii="Times New Roman" w:hAnsi="Times New Roman" w:cs="Times New Roman"/>
                <w:color w:val="000000" w:themeColor="text1"/>
                <w:spacing w:val="-1"/>
                <w:szCs w:val="21"/>
                <w14:textFill>
                  <w14:solidFill>
                    <w14:schemeClr w14:val="tx1"/>
                  </w14:solidFill>
                </w14:textFill>
              </w:rPr>
              <w:t>废油收集罐</w:t>
            </w:r>
          </w:p>
        </w:tc>
        <w:tc>
          <w:tcPr>
            <w:tcW w:w="916" w:type="pct"/>
            <w:noWrap w:val="0"/>
            <w:vAlign w:val="center"/>
          </w:tcPr>
          <w:p w14:paraId="1CFB7F06">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pacing w:val="-1"/>
                <w:szCs w:val="21"/>
                <w14:textFill>
                  <w14:solidFill>
                    <w14:schemeClr w14:val="tx1"/>
                  </w14:solidFill>
                </w14:textFill>
              </w:rPr>
            </w:pPr>
            <w:r>
              <w:rPr>
                <w:rFonts w:hint="eastAsia" w:ascii="Times New Roman" w:hAnsi="Times New Roman" w:cs="Times New Roman"/>
                <w:color w:val="000000" w:themeColor="text1"/>
                <w:spacing w:val="-1"/>
                <w:szCs w:val="21"/>
                <w14:textFill>
                  <w14:solidFill>
                    <w14:schemeClr w14:val="tx1"/>
                  </w14:solidFill>
                </w14:textFill>
              </w:rPr>
              <w:t>废矿物油</w:t>
            </w:r>
          </w:p>
        </w:tc>
        <w:tc>
          <w:tcPr>
            <w:tcW w:w="582" w:type="pct"/>
            <w:noWrap w:val="0"/>
            <w:vAlign w:val="center"/>
          </w:tcPr>
          <w:p w14:paraId="177A1F49">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泄漏/火灾</w:t>
            </w:r>
          </w:p>
        </w:tc>
        <w:tc>
          <w:tcPr>
            <w:tcW w:w="833" w:type="pct"/>
            <w:noWrap w:val="0"/>
            <w:vAlign w:val="center"/>
          </w:tcPr>
          <w:p w14:paraId="604158FE">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地下水、土壤</w:t>
            </w:r>
          </w:p>
        </w:tc>
        <w:tc>
          <w:tcPr>
            <w:tcW w:w="942" w:type="pct"/>
            <w:noWrap w:val="0"/>
            <w:vAlign w:val="center"/>
          </w:tcPr>
          <w:p w14:paraId="561E09F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地下水</w:t>
            </w:r>
          </w:p>
        </w:tc>
      </w:tr>
      <w:tr w14:paraId="77A9F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9" w:type="pct"/>
            <w:tcBorders>
              <w:bottom w:val="single" w:color="auto" w:sz="12" w:space="0"/>
            </w:tcBorders>
            <w:noWrap w:val="0"/>
            <w:vAlign w:val="center"/>
          </w:tcPr>
          <w:p w14:paraId="005BA52A">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w:t>
            </w:r>
          </w:p>
        </w:tc>
        <w:tc>
          <w:tcPr>
            <w:tcW w:w="688" w:type="pct"/>
            <w:tcBorders>
              <w:bottom w:val="single" w:color="auto" w:sz="12" w:space="0"/>
            </w:tcBorders>
            <w:noWrap w:val="0"/>
            <w:vAlign w:val="center"/>
          </w:tcPr>
          <w:p w14:paraId="7B624558">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pacing w:val="-1"/>
                <w:szCs w:val="21"/>
                <w:lang w:eastAsia="zh-CN"/>
                <w14:textFill>
                  <w14:solidFill>
                    <w14:schemeClr w14:val="tx1"/>
                  </w14:solidFill>
                </w14:textFill>
              </w:rPr>
            </w:pPr>
            <w:r>
              <w:rPr>
                <w:rFonts w:hint="eastAsia" w:ascii="Times New Roman" w:hAnsi="Times New Roman" w:cs="Times New Roman"/>
                <w:color w:val="000000" w:themeColor="text1"/>
                <w:spacing w:val="-1"/>
                <w:szCs w:val="21"/>
                <w:lang w:eastAsia="zh-CN"/>
                <w14:textFill>
                  <w14:solidFill>
                    <w14:schemeClr w14:val="tx1"/>
                  </w14:solidFill>
                </w14:textFill>
              </w:rPr>
              <w:t>油库</w:t>
            </w:r>
          </w:p>
        </w:tc>
        <w:tc>
          <w:tcPr>
            <w:tcW w:w="750" w:type="pct"/>
            <w:tcBorders>
              <w:bottom w:val="single" w:color="auto" w:sz="12" w:space="0"/>
            </w:tcBorders>
            <w:noWrap w:val="0"/>
            <w:vAlign w:val="center"/>
          </w:tcPr>
          <w:p w14:paraId="231AC90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pacing w:val="-1"/>
                <w:szCs w:val="21"/>
                <w:lang w:eastAsia="zh-CN"/>
                <w14:textFill>
                  <w14:solidFill>
                    <w14:schemeClr w14:val="tx1"/>
                  </w14:solidFill>
                </w14:textFill>
              </w:rPr>
            </w:pPr>
            <w:r>
              <w:rPr>
                <w:rFonts w:hint="eastAsia" w:ascii="Times New Roman" w:hAnsi="Times New Roman" w:cs="Times New Roman"/>
                <w:color w:val="000000" w:themeColor="text1"/>
                <w:spacing w:val="-1"/>
                <w:szCs w:val="21"/>
                <w:lang w:eastAsia="zh-CN"/>
                <w14:textFill>
                  <w14:solidFill>
                    <w14:schemeClr w14:val="tx1"/>
                  </w14:solidFill>
                </w14:textFill>
              </w:rPr>
              <w:t>柴油储罐</w:t>
            </w:r>
          </w:p>
        </w:tc>
        <w:tc>
          <w:tcPr>
            <w:tcW w:w="916" w:type="pct"/>
            <w:tcBorders>
              <w:bottom w:val="single" w:color="auto" w:sz="12" w:space="0"/>
            </w:tcBorders>
            <w:noWrap w:val="0"/>
            <w:vAlign w:val="center"/>
          </w:tcPr>
          <w:p w14:paraId="1CF45563">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pacing w:val="-1"/>
                <w:szCs w:val="21"/>
                <w:lang w:eastAsia="zh-CN"/>
                <w14:textFill>
                  <w14:solidFill>
                    <w14:schemeClr w14:val="tx1"/>
                  </w14:solidFill>
                </w14:textFill>
              </w:rPr>
            </w:pPr>
            <w:r>
              <w:rPr>
                <w:rFonts w:hint="eastAsia" w:ascii="Times New Roman" w:hAnsi="Times New Roman" w:cs="Times New Roman"/>
                <w:color w:val="000000" w:themeColor="text1"/>
                <w:spacing w:val="-1"/>
                <w:szCs w:val="21"/>
                <w:lang w:eastAsia="zh-CN"/>
                <w14:textFill>
                  <w14:solidFill>
                    <w14:schemeClr w14:val="tx1"/>
                  </w14:solidFill>
                </w14:textFill>
              </w:rPr>
              <w:t>柴油</w:t>
            </w:r>
          </w:p>
        </w:tc>
        <w:tc>
          <w:tcPr>
            <w:tcW w:w="582" w:type="pct"/>
            <w:tcBorders>
              <w:bottom w:val="single" w:color="auto" w:sz="12" w:space="0"/>
            </w:tcBorders>
            <w:noWrap w:val="0"/>
            <w:vAlign w:val="center"/>
          </w:tcPr>
          <w:p w14:paraId="0D7299A1">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泄漏/火灾</w:t>
            </w:r>
            <w:r>
              <w:rPr>
                <w:rFonts w:hint="eastAsia" w:ascii="Times New Roman" w:hAnsi="Times New Roman" w:cs="Times New Roman"/>
                <w:color w:val="000000" w:themeColor="text1"/>
                <w:szCs w:val="21"/>
                <w:lang w:val="en-US" w:eastAsia="zh-CN"/>
                <w14:textFill>
                  <w14:solidFill>
                    <w14:schemeClr w14:val="tx1"/>
                  </w14:solidFill>
                </w14:textFill>
              </w:rPr>
              <w:t>/爆炸</w:t>
            </w:r>
          </w:p>
        </w:tc>
        <w:tc>
          <w:tcPr>
            <w:tcW w:w="833" w:type="pct"/>
            <w:tcBorders>
              <w:bottom w:val="single" w:color="auto" w:sz="12" w:space="0"/>
            </w:tcBorders>
            <w:noWrap w:val="0"/>
            <w:vAlign w:val="center"/>
          </w:tcPr>
          <w:p w14:paraId="06D9E86F">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土壤、大气、地下水</w:t>
            </w:r>
          </w:p>
        </w:tc>
        <w:tc>
          <w:tcPr>
            <w:tcW w:w="942" w:type="pct"/>
            <w:tcBorders>
              <w:bottom w:val="single" w:color="auto" w:sz="12" w:space="0"/>
            </w:tcBorders>
            <w:noWrap w:val="0"/>
            <w:vAlign w:val="center"/>
          </w:tcPr>
          <w:p w14:paraId="01E9E7FB">
            <w:pPr>
              <w:keepNext w:val="0"/>
              <w:keepLines w:val="0"/>
              <w:suppressLineNumbers w:val="0"/>
              <w:spacing w:before="0" w:beforeAutospacing="0" w:after="0" w:afterAutospacing="0" w:line="360" w:lineRule="exact"/>
              <w:ind w:left="-105" w:leftChars="-50" w:right="-105" w:rightChars="-5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办公生活区</w:t>
            </w:r>
            <w:r>
              <w:rPr>
                <w:rFonts w:hint="eastAsia" w:ascii="Times New Roman" w:hAnsi="Times New Roman" w:cs="Times New Roman"/>
                <w:color w:val="000000" w:themeColor="text1"/>
                <w:szCs w:val="21"/>
                <w:lang w:eastAsia="zh-CN"/>
                <w14:textFill>
                  <w14:solidFill>
                    <w14:schemeClr w14:val="tx1"/>
                  </w14:solidFill>
                </w14:textFill>
              </w:rPr>
              <w:t>、地下水</w:t>
            </w:r>
          </w:p>
        </w:tc>
      </w:tr>
    </w:tbl>
    <w:p w14:paraId="15E82AC7">
      <w:pPr>
        <w:pStyle w:val="4"/>
        <w:spacing w:before="0" w:after="0"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5.3.7风险事故情形分析</w:t>
      </w:r>
    </w:p>
    <w:p w14:paraId="03528979">
      <w:pPr>
        <w:keepNext/>
        <w:keepLines/>
        <w:spacing w:line="480" w:lineRule="exact"/>
        <w:ind w:firstLine="482" w:firstLineChars="200"/>
        <w:outlineLvl w:val="3"/>
        <w:rPr>
          <w:rFonts w:hint="eastAsia"/>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w:t>
      </w:r>
      <w:r>
        <w:rPr>
          <w:rFonts w:hint="eastAsia"/>
          <w:b/>
          <w:bCs/>
          <w:color w:val="000000" w:themeColor="text1"/>
          <w:sz w:val="24"/>
          <w:szCs w:val="28"/>
          <w14:textFill>
            <w14:solidFill>
              <w14:schemeClr w14:val="tx1"/>
            </w14:solidFill>
          </w14:textFill>
        </w:rPr>
        <w:t>7</w:t>
      </w:r>
      <w:r>
        <w:rPr>
          <w:b/>
          <w:bCs/>
          <w:color w:val="000000" w:themeColor="text1"/>
          <w:sz w:val="24"/>
          <w:szCs w:val="28"/>
          <w14:textFill>
            <w14:solidFill>
              <w14:schemeClr w14:val="tx1"/>
            </w14:solidFill>
          </w14:textFill>
        </w:rPr>
        <w:t>.1</w:t>
      </w:r>
      <w:r>
        <w:rPr>
          <w:rFonts w:hint="eastAsia"/>
          <w:b/>
          <w:bCs/>
          <w:color w:val="000000" w:themeColor="text1"/>
          <w:sz w:val="24"/>
          <w:szCs w:val="28"/>
          <w14:textFill>
            <w14:solidFill>
              <w14:schemeClr w14:val="tx1"/>
            </w14:solidFill>
          </w14:textFill>
        </w:rPr>
        <w:t>风险事故情形设定</w:t>
      </w:r>
    </w:p>
    <w:p w14:paraId="0ED599FA">
      <w:pPr>
        <w:spacing w:line="480" w:lineRule="exact"/>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根据同类项目统计资料，本项目的风险事故情形为</w:t>
      </w:r>
      <w:r>
        <w:rPr>
          <w:rFonts w:hint="eastAsia"/>
          <w:color w:val="000000" w:themeColor="text1"/>
          <w:sz w:val="24"/>
          <w:szCs w:val="24"/>
          <w:lang w:eastAsia="zh-CN"/>
          <w14:textFill>
            <w14:solidFill>
              <w14:schemeClr w14:val="tx1"/>
            </w14:solidFill>
          </w14:textFill>
        </w:rPr>
        <w:t>柴油、</w:t>
      </w:r>
      <w:r>
        <w:rPr>
          <w:rFonts w:hint="eastAsia"/>
          <w:color w:val="000000" w:themeColor="text1"/>
          <w:sz w:val="24"/>
          <w:szCs w:val="24"/>
          <w14:textFill>
            <w14:solidFill>
              <w14:schemeClr w14:val="tx1"/>
            </w14:solidFill>
          </w14:textFill>
        </w:rPr>
        <w:t>废矿物油发生泄漏污染土壤和地下水，炸药发生火灾爆炸产生后的伴生/次生污染物可能污染环境空气。</w:t>
      </w:r>
    </w:p>
    <w:p w14:paraId="76DE6217">
      <w:pPr>
        <w:keepNext/>
        <w:keepLines/>
        <w:spacing w:line="480" w:lineRule="exact"/>
        <w:ind w:firstLine="482" w:firstLineChars="200"/>
        <w:outlineLvl w:val="3"/>
        <w:rPr>
          <w:rFonts w:hint="eastAsia"/>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w:t>
      </w:r>
      <w:r>
        <w:rPr>
          <w:rFonts w:hint="eastAsia"/>
          <w:b/>
          <w:bCs/>
          <w:color w:val="000000" w:themeColor="text1"/>
          <w:sz w:val="24"/>
          <w:szCs w:val="28"/>
          <w14:textFill>
            <w14:solidFill>
              <w14:schemeClr w14:val="tx1"/>
            </w14:solidFill>
          </w14:textFill>
        </w:rPr>
        <w:t>7</w:t>
      </w:r>
      <w:r>
        <w:rPr>
          <w:b/>
          <w:bCs/>
          <w:color w:val="000000" w:themeColor="text1"/>
          <w:sz w:val="24"/>
          <w:szCs w:val="28"/>
          <w14:textFill>
            <w14:solidFill>
              <w14:schemeClr w14:val="tx1"/>
            </w14:solidFill>
          </w14:textFill>
        </w:rPr>
        <w:t>.</w:t>
      </w:r>
      <w:r>
        <w:rPr>
          <w:rFonts w:hint="eastAsia"/>
          <w:b/>
          <w:bCs/>
          <w:color w:val="000000" w:themeColor="text1"/>
          <w:sz w:val="24"/>
          <w:szCs w:val="28"/>
          <w14:textFill>
            <w14:solidFill>
              <w14:schemeClr w14:val="tx1"/>
            </w14:solidFill>
          </w14:textFill>
        </w:rPr>
        <w:t>2最大可信事件</w:t>
      </w:r>
    </w:p>
    <w:p w14:paraId="0510CD2A">
      <w:pPr>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结合</w:t>
      </w:r>
      <w:r>
        <w:rPr>
          <w:rFonts w:hint="eastAsia"/>
          <w:color w:val="000000" w:themeColor="text1"/>
          <w:sz w:val="24"/>
          <w:szCs w:val="24"/>
          <w:lang w:eastAsia="zh-CN"/>
          <w14:textFill>
            <w14:solidFill>
              <w14:schemeClr w14:val="tx1"/>
            </w14:solidFill>
          </w14:textFill>
        </w:rPr>
        <w:t>本项目</w:t>
      </w:r>
      <w:r>
        <w:rPr>
          <w:color w:val="000000" w:themeColor="text1"/>
          <w:sz w:val="24"/>
          <w:szCs w:val="24"/>
          <w14:textFill>
            <w14:solidFill>
              <w14:schemeClr w14:val="tx1"/>
            </w14:solidFill>
          </w14:textFill>
        </w:rPr>
        <w:t>工程状况与当地环境状况，可能发生的事故风险主要包括：</w:t>
      </w:r>
    </w:p>
    <w:p w14:paraId="5B4CF309">
      <w:pPr>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炸药库发生</w:t>
      </w:r>
      <w:r>
        <w:rPr>
          <w:color w:val="000000" w:themeColor="text1"/>
          <w:sz w:val="24"/>
          <w:szCs w:val="24"/>
          <w14:textFill>
            <w14:solidFill>
              <w14:schemeClr w14:val="tx1"/>
            </w14:solidFill>
          </w14:textFill>
        </w:rPr>
        <w:t>火灾爆炸</w:t>
      </w:r>
    </w:p>
    <w:p w14:paraId="036BBEAE">
      <w:pPr>
        <w:spacing w:line="48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硝酸铵是极其钝感的炸药，硝酸铵炸药的使用</w:t>
      </w:r>
      <w:r>
        <w:rPr>
          <w:color w:val="000000" w:themeColor="text1"/>
          <w:sz w:val="24"/>
          <w:szCs w:val="24"/>
          <w14:textFill>
            <w14:solidFill>
              <w14:schemeClr w14:val="tx1"/>
            </w14:solidFill>
          </w14:textFill>
        </w:rPr>
        <w:t>过程中</w:t>
      </w:r>
      <w:r>
        <w:rPr>
          <w:rFonts w:hint="eastAsia"/>
          <w:color w:val="000000" w:themeColor="text1"/>
          <w:sz w:val="24"/>
          <w:szCs w:val="24"/>
          <w14:textFill>
            <w14:solidFill>
              <w14:schemeClr w14:val="tx1"/>
            </w14:solidFill>
          </w14:textFill>
        </w:rPr>
        <w:t>需要有雷管引爆，炸药库和雷管库分别建设，在严格按照安全规程进行操作的情况下，意外爆炸的</w:t>
      </w:r>
      <w:r>
        <w:rPr>
          <w:rFonts w:hint="eastAsia"/>
          <w:color w:val="000000" w:themeColor="text1"/>
          <w:sz w:val="24"/>
          <w:szCs w:val="24"/>
          <w:lang w:eastAsia="zh-CN"/>
          <w14:textFill>
            <w14:solidFill>
              <w14:schemeClr w14:val="tx1"/>
            </w14:solidFill>
          </w14:textFill>
        </w:rPr>
        <w:t>概率</w:t>
      </w:r>
      <w:r>
        <w:rPr>
          <w:rFonts w:hint="eastAsia"/>
          <w:color w:val="000000" w:themeColor="text1"/>
          <w:sz w:val="24"/>
          <w:szCs w:val="24"/>
          <w14:textFill>
            <w14:solidFill>
              <w14:schemeClr w14:val="tx1"/>
            </w14:solidFill>
          </w14:textFill>
        </w:rPr>
        <w:t>较低</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是</w:t>
      </w:r>
      <w:r>
        <w:rPr>
          <w:color w:val="000000" w:themeColor="text1"/>
          <w:sz w:val="24"/>
          <w:szCs w:val="24"/>
          <w14:textFill>
            <w14:solidFill>
              <w14:schemeClr w14:val="tx1"/>
            </w14:solidFill>
          </w14:textFill>
        </w:rPr>
        <w:t>发生频率小于10</w:t>
      </w:r>
      <w:r>
        <w:rPr>
          <w:color w:val="000000" w:themeColor="text1"/>
          <w:sz w:val="24"/>
          <w:szCs w:val="24"/>
          <w:vertAlign w:val="superscript"/>
          <w14:textFill>
            <w14:solidFill>
              <w14:schemeClr w14:val="tx1"/>
            </w14:solidFill>
          </w14:textFill>
        </w:rPr>
        <w:t>-6</w:t>
      </w:r>
      <w:r>
        <w:rPr>
          <w:color w:val="000000" w:themeColor="text1"/>
          <w:sz w:val="24"/>
          <w:szCs w:val="24"/>
          <w14:textFill>
            <w14:solidFill>
              <w14:schemeClr w14:val="tx1"/>
            </w14:solidFill>
          </w14:textFill>
        </w:rPr>
        <w:t>/年的极小概率事件</w:t>
      </w:r>
      <w:r>
        <w:rPr>
          <w:rFonts w:hint="eastAsia"/>
          <w:color w:val="000000" w:themeColor="text1"/>
          <w:sz w:val="24"/>
          <w:szCs w:val="24"/>
          <w14:textFill>
            <w14:solidFill>
              <w14:schemeClr w14:val="tx1"/>
            </w14:solidFill>
          </w14:textFill>
        </w:rPr>
        <w:t>。火灾爆炸</w:t>
      </w:r>
      <w:r>
        <w:rPr>
          <w:color w:val="000000" w:themeColor="text1"/>
          <w:sz w:val="24"/>
          <w:szCs w:val="24"/>
          <w14:textFill>
            <w14:solidFill>
              <w14:schemeClr w14:val="tx1"/>
            </w14:solidFill>
          </w14:textFill>
        </w:rPr>
        <w:t>会对空气环境、水环境及生态环境造成危害，致使人员伤亡、财产损失</w:t>
      </w:r>
      <w:r>
        <w:rPr>
          <w:rFonts w:hint="eastAsia"/>
          <w:color w:val="000000" w:themeColor="text1"/>
          <w:sz w:val="24"/>
          <w:szCs w:val="24"/>
          <w14:textFill>
            <w14:solidFill>
              <w14:schemeClr w14:val="tx1"/>
            </w14:solidFill>
          </w14:textFill>
        </w:rPr>
        <w:t>。</w:t>
      </w:r>
    </w:p>
    <w:p w14:paraId="56860385">
      <w:pPr>
        <w:spacing w:line="48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危废贮存点</w:t>
      </w:r>
      <w:r>
        <w:rPr>
          <w:rFonts w:hint="eastAsia"/>
          <w:color w:val="000000" w:themeColor="text1"/>
          <w:sz w:val="24"/>
          <w:szCs w:val="24"/>
          <w14:textFill>
            <w14:solidFill>
              <w14:schemeClr w14:val="tx1"/>
            </w14:solidFill>
          </w14:textFill>
        </w:rPr>
        <w:t>废油</w:t>
      </w:r>
      <w:r>
        <w:rPr>
          <w:color w:val="000000" w:themeColor="text1"/>
          <w:sz w:val="24"/>
          <w:szCs w:val="24"/>
          <w14:textFill>
            <w14:solidFill>
              <w14:schemeClr w14:val="tx1"/>
            </w14:solidFill>
          </w14:textFill>
        </w:rPr>
        <w:t>泄漏</w:t>
      </w:r>
    </w:p>
    <w:p w14:paraId="2E726E35">
      <w:pPr>
        <w:spacing w:line="480" w:lineRule="exact"/>
        <w:ind w:firstLine="480"/>
        <w:rPr>
          <w:rFonts w:hint="eastAsia"/>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废矿物油贮存在</w:t>
      </w:r>
      <w:r>
        <w:rPr>
          <w:rFonts w:hint="eastAsia"/>
          <w:color w:val="000000" w:themeColor="text1"/>
          <w:sz w:val="24"/>
          <w:szCs w:val="24"/>
          <w:lang w:eastAsia="zh-CN"/>
          <w14:textFill>
            <w14:solidFill>
              <w14:schemeClr w14:val="tx1"/>
            </w14:solidFill>
          </w14:textFill>
        </w:rPr>
        <w:t>危废贮存点</w:t>
      </w:r>
      <w:r>
        <w:rPr>
          <w:rFonts w:hint="eastAsia"/>
          <w:color w:val="000000" w:themeColor="text1"/>
          <w:sz w:val="24"/>
          <w:szCs w:val="24"/>
          <w14:textFill>
            <w14:solidFill>
              <w14:schemeClr w14:val="tx1"/>
            </w14:solidFill>
          </w14:textFill>
        </w:rPr>
        <w:t>内，</w:t>
      </w:r>
      <w:r>
        <w:rPr>
          <w:rFonts w:hint="eastAsia"/>
          <w:color w:val="000000" w:themeColor="text1"/>
          <w:sz w:val="24"/>
          <w:lang w:eastAsia="zh-CN"/>
          <w14:textFill>
            <w14:solidFill>
              <w14:schemeClr w14:val="tx1"/>
            </w14:solidFill>
          </w14:textFill>
        </w:rPr>
        <w:t>危废贮存点</w:t>
      </w:r>
      <w:r>
        <w:rPr>
          <w:rFonts w:hint="eastAsia"/>
          <w:color w:val="000000" w:themeColor="text1"/>
          <w:sz w:val="24"/>
          <w14:textFill>
            <w14:solidFill>
              <w14:schemeClr w14:val="tx1"/>
            </w14:solidFill>
          </w14:textFill>
        </w:rPr>
        <w:t>已按照</w:t>
      </w:r>
      <w:r>
        <w:rPr>
          <w:color w:val="000000" w:themeColor="text1"/>
          <w:sz w:val="24"/>
          <w:szCs w:val="24"/>
          <w14:textFill>
            <w14:solidFill>
              <w14:schemeClr w14:val="tx1"/>
            </w14:solidFill>
          </w14:textFill>
        </w:rPr>
        <w:t>《危险废物贮存污染控制标准》（GB18597-20</w:t>
      </w:r>
      <w:r>
        <w:rPr>
          <w:rFonts w:hint="eastAsia"/>
          <w:color w:val="000000" w:themeColor="text1"/>
          <w:sz w:val="24"/>
          <w:szCs w:val="24"/>
          <w:lang w:val="en-US" w:eastAsia="zh-CN"/>
          <w14:textFill>
            <w14:solidFill>
              <w14:schemeClr w14:val="tx1"/>
            </w14:solidFill>
          </w14:textFill>
        </w:rPr>
        <w:t>23</w:t>
      </w:r>
      <w:r>
        <w:rPr>
          <w:color w:val="000000" w:themeColor="text1"/>
          <w:sz w:val="24"/>
          <w:szCs w:val="24"/>
          <w14:textFill>
            <w14:solidFill>
              <w14:schemeClr w14:val="tx1"/>
            </w14:solidFill>
          </w14:textFill>
        </w:rPr>
        <w:t>）要求进行设计建造</w:t>
      </w:r>
      <w:r>
        <w:rPr>
          <w:rFonts w:hint="eastAsia"/>
          <w:color w:val="000000" w:themeColor="text1"/>
          <w:sz w:val="24"/>
          <w:szCs w:val="24"/>
          <w14:textFill>
            <w14:solidFill>
              <w14:schemeClr w14:val="tx1"/>
            </w14:solidFill>
          </w14:textFill>
        </w:rPr>
        <w:t>，废矿物油泄漏的</w:t>
      </w:r>
      <w:r>
        <w:rPr>
          <w:rFonts w:hint="eastAsia"/>
          <w:color w:val="000000" w:themeColor="text1"/>
          <w:sz w:val="24"/>
          <w:szCs w:val="24"/>
          <w:lang w:eastAsia="zh-CN"/>
          <w14:textFill>
            <w14:solidFill>
              <w14:schemeClr w14:val="tx1"/>
            </w14:solidFill>
          </w14:textFill>
        </w:rPr>
        <w:t>概率</w:t>
      </w:r>
      <w:r>
        <w:rPr>
          <w:rFonts w:hint="eastAsia"/>
          <w:color w:val="000000" w:themeColor="text1"/>
          <w:sz w:val="24"/>
          <w:szCs w:val="24"/>
          <w14:textFill>
            <w14:solidFill>
              <w14:schemeClr w14:val="tx1"/>
            </w14:solidFill>
          </w14:textFill>
        </w:rPr>
        <w:t>较小，废矿物油</w:t>
      </w:r>
      <w:r>
        <w:rPr>
          <w:color w:val="000000" w:themeColor="text1"/>
          <w:sz w:val="24"/>
          <w:szCs w:val="24"/>
          <w14:textFill>
            <w14:solidFill>
              <w14:schemeClr w14:val="tx1"/>
            </w14:solidFill>
          </w14:textFill>
        </w:rPr>
        <w:t>泄漏</w:t>
      </w:r>
      <w:r>
        <w:rPr>
          <w:rFonts w:hint="eastAsia"/>
          <w:color w:val="000000" w:themeColor="text1"/>
          <w:sz w:val="24"/>
          <w:szCs w:val="24"/>
          <w14:textFill>
            <w14:solidFill>
              <w14:schemeClr w14:val="tx1"/>
            </w14:solidFill>
          </w14:textFill>
        </w:rPr>
        <w:t>或引起</w:t>
      </w:r>
      <w:r>
        <w:rPr>
          <w:color w:val="000000" w:themeColor="text1"/>
          <w:sz w:val="24"/>
          <w:szCs w:val="24"/>
          <w14:textFill>
            <w14:solidFill>
              <w14:schemeClr w14:val="tx1"/>
            </w14:solidFill>
          </w14:textFill>
        </w:rPr>
        <w:t>火灾，对周围空气环境</w:t>
      </w:r>
      <w:r>
        <w:rPr>
          <w:rFonts w:hint="eastAsia"/>
          <w:color w:val="000000" w:themeColor="text1"/>
          <w:sz w:val="24"/>
          <w:szCs w:val="24"/>
          <w14:textFill>
            <w14:solidFill>
              <w14:schemeClr w14:val="tx1"/>
            </w14:solidFill>
          </w14:textFill>
        </w:rPr>
        <w:t>、水环境</w:t>
      </w:r>
      <w:r>
        <w:rPr>
          <w:color w:val="000000" w:themeColor="text1"/>
          <w:sz w:val="24"/>
          <w:szCs w:val="24"/>
          <w14:textFill>
            <w14:solidFill>
              <w14:schemeClr w14:val="tx1"/>
            </w14:solidFill>
          </w14:textFill>
        </w:rPr>
        <w:t>及生态环境造成危害</w:t>
      </w:r>
      <w:r>
        <w:rPr>
          <w:rFonts w:hint="eastAsia"/>
          <w:color w:val="000000" w:themeColor="text1"/>
          <w:sz w:val="24"/>
          <w:szCs w:val="24"/>
          <w:lang w:eastAsia="zh-CN"/>
          <w14:textFill>
            <w14:solidFill>
              <w14:schemeClr w14:val="tx1"/>
            </w14:solidFill>
          </w14:textFill>
        </w:rPr>
        <w:t>。</w:t>
      </w:r>
    </w:p>
    <w:p w14:paraId="197B7E24">
      <w:pPr>
        <w:spacing w:line="480" w:lineRule="exact"/>
        <w:ind w:firstLine="48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）油库发生火灾爆炸</w:t>
      </w:r>
    </w:p>
    <w:p w14:paraId="5A9152C7">
      <w:pPr>
        <w:spacing w:line="480" w:lineRule="exact"/>
        <w:ind w:firstLine="480"/>
        <w:rPr>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在严格按照安全规程进行操作的情况下，</w:t>
      </w:r>
      <w:r>
        <w:rPr>
          <w:rFonts w:hint="eastAsia"/>
          <w:color w:val="000000" w:themeColor="text1"/>
          <w:sz w:val="24"/>
          <w:szCs w:val="24"/>
          <w:lang w:val="en-US" w:eastAsia="zh-CN"/>
          <w14:textFill>
            <w14:solidFill>
              <w14:schemeClr w14:val="tx1"/>
            </w14:solidFill>
          </w14:textFill>
        </w:rPr>
        <w:t>油库</w:t>
      </w:r>
      <w:r>
        <w:rPr>
          <w:rFonts w:hint="eastAsia"/>
          <w:color w:val="000000" w:themeColor="text1"/>
          <w:sz w:val="24"/>
          <w:szCs w:val="24"/>
          <w14:textFill>
            <w14:solidFill>
              <w14:schemeClr w14:val="tx1"/>
            </w14:solidFill>
          </w14:textFill>
        </w:rPr>
        <w:t>意外爆炸的</w:t>
      </w:r>
      <w:r>
        <w:rPr>
          <w:rFonts w:hint="eastAsia"/>
          <w:color w:val="000000" w:themeColor="text1"/>
          <w:sz w:val="24"/>
          <w:szCs w:val="24"/>
          <w:lang w:eastAsia="zh-CN"/>
          <w14:textFill>
            <w14:solidFill>
              <w14:schemeClr w14:val="tx1"/>
            </w14:solidFill>
          </w14:textFill>
        </w:rPr>
        <w:t>概率</w:t>
      </w:r>
      <w:r>
        <w:rPr>
          <w:rFonts w:hint="eastAsia"/>
          <w:color w:val="000000" w:themeColor="text1"/>
          <w:sz w:val="24"/>
          <w:szCs w:val="24"/>
          <w14:textFill>
            <w14:solidFill>
              <w14:schemeClr w14:val="tx1"/>
            </w14:solidFill>
          </w14:textFill>
        </w:rPr>
        <w:t>较低</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是</w:t>
      </w:r>
      <w:r>
        <w:rPr>
          <w:color w:val="000000" w:themeColor="text1"/>
          <w:sz w:val="24"/>
          <w:szCs w:val="24"/>
          <w14:textFill>
            <w14:solidFill>
              <w14:schemeClr w14:val="tx1"/>
            </w14:solidFill>
          </w14:textFill>
        </w:rPr>
        <w:t>发生频率小于10</w:t>
      </w:r>
      <w:r>
        <w:rPr>
          <w:color w:val="000000" w:themeColor="text1"/>
          <w:sz w:val="24"/>
          <w:szCs w:val="24"/>
          <w:vertAlign w:val="superscript"/>
          <w14:textFill>
            <w14:solidFill>
              <w14:schemeClr w14:val="tx1"/>
            </w14:solidFill>
          </w14:textFill>
        </w:rPr>
        <w:t>-6</w:t>
      </w:r>
      <w:r>
        <w:rPr>
          <w:color w:val="000000" w:themeColor="text1"/>
          <w:sz w:val="24"/>
          <w:szCs w:val="24"/>
          <w14:textFill>
            <w14:solidFill>
              <w14:schemeClr w14:val="tx1"/>
            </w14:solidFill>
          </w14:textFill>
        </w:rPr>
        <w:t>/年的极小概率事件</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泄漏、</w:t>
      </w:r>
      <w:r>
        <w:rPr>
          <w:rFonts w:hint="eastAsia"/>
          <w:color w:val="000000" w:themeColor="text1"/>
          <w:sz w:val="24"/>
          <w:szCs w:val="24"/>
          <w14:textFill>
            <w14:solidFill>
              <w14:schemeClr w14:val="tx1"/>
            </w14:solidFill>
          </w14:textFill>
        </w:rPr>
        <w:t>火灾</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爆炸</w:t>
      </w:r>
      <w:r>
        <w:rPr>
          <w:color w:val="000000" w:themeColor="text1"/>
          <w:sz w:val="24"/>
          <w:szCs w:val="24"/>
          <w14:textFill>
            <w14:solidFill>
              <w14:schemeClr w14:val="tx1"/>
            </w14:solidFill>
          </w14:textFill>
        </w:rPr>
        <w:t>会对空气环境、水环境及生态环境造成危害，致使人员伤亡、财产损失。</w:t>
      </w:r>
    </w:p>
    <w:p w14:paraId="02B68523">
      <w:pPr>
        <w:pStyle w:val="4"/>
        <w:spacing w:before="0" w:after="0" w:line="480" w:lineRule="exact"/>
        <w:rPr>
          <w:color w:val="000000" w:themeColor="text1"/>
          <w14:textFill>
            <w14:solidFill>
              <w14:schemeClr w14:val="tx1"/>
            </w14:solidFill>
          </w14:textFill>
        </w:rPr>
      </w:pPr>
      <w:bookmarkStart w:id="469" w:name="_Toc14116"/>
      <w:bookmarkStart w:id="470" w:name="_Toc7048"/>
      <w:bookmarkStart w:id="471" w:name="_Toc18335"/>
      <w:bookmarkStart w:id="472" w:name="_Toc10079"/>
      <w:r>
        <w:rPr>
          <w:color w:val="000000" w:themeColor="text1"/>
          <w14:textFill>
            <w14:solidFill>
              <w14:schemeClr w14:val="tx1"/>
            </w14:solidFill>
          </w14:textFill>
        </w:rPr>
        <w:t>5.3.8环境风险分析</w:t>
      </w:r>
      <w:bookmarkEnd w:id="469"/>
      <w:bookmarkEnd w:id="470"/>
      <w:bookmarkEnd w:id="471"/>
      <w:bookmarkEnd w:id="472"/>
    </w:p>
    <w:p w14:paraId="0EDF374D">
      <w:pPr>
        <w:keepNext/>
        <w:keepLines/>
        <w:spacing w:line="480" w:lineRule="exact"/>
        <w:ind w:firstLine="482" w:firstLineChars="200"/>
        <w:outlineLvl w:val="3"/>
        <w:rPr>
          <w:b/>
          <w:bCs/>
          <w:color w:val="000000" w:themeColor="text1"/>
          <w:sz w:val="24"/>
          <w:szCs w:val="28"/>
          <w14:textFill>
            <w14:solidFill>
              <w14:schemeClr w14:val="tx1"/>
            </w14:solidFill>
          </w14:textFill>
        </w:rPr>
      </w:pPr>
      <w:bookmarkStart w:id="473" w:name="_Toc3098"/>
      <w:r>
        <w:rPr>
          <w:b/>
          <w:bCs/>
          <w:color w:val="000000" w:themeColor="text1"/>
          <w:sz w:val="24"/>
          <w:szCs w:val="28"/>
          <w14:textFill>
            <w14:solidFill>
              <w14:schemeClr w14:val="tx1"/>
            </w14:solidFill>
          </w14:textFill>
        </w:rPr>
        <w:t>5.3.8.1爆破</w:t>
      </w:r>
      <w:r>
        <w:rPr>
          <w:rFonts w:hint="eastAsia"/>
          <w:b/>
          <w:bCs/>
          <w:color w:val="000000" w:themeColor="text1"/>
          <w:sz w:val="24"/>
          <w:szCs w:val="28"/>
          <w:lang w:eastAsia="zh-CN"/>
          <w14:textFill>
            <w14:solidFill>
              <w14:schemeClr w14:val="tx1"/>
            </w14:solidFill>
          </w14:textFill>
        </w:rPr>
        <w:t>器材</w:t>
      </w:r>
      <w:r>
        <w:rPr>
          <w:b/>
          <w:bCs/>
          <w:color w:val="000000" w:themeColor="text1"/>
          <w:sz w:val="24"/>
          <w:szCs w:val="28"/>
          <w14:textFill>
            <w14:solidFill>
              <w14:schemeClr w14:val="tx1"/>
            </w14:solidFill>
          </w14:textFill>
        </w:rPr>
        <w:t>库环境风险分析</w:t>
      </w:r>
    </w:p>
    <w:p w14:paraId="0EDAB792">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（1）选址合理性分析</w:t>
      </w:r>
    </w:p>
    <w:p w14:paraId="107E3529">
      <w:pPr>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根据《爆破安全规程》（</w:t>
      </w:r>
      <w:r>
        <w:rPr>
          <w:color w:val="000000" w:themeColor="text1"/>
          <w:sz w:val="24"/>
          <w14:textFill>
            <w14:solidFill>
              <w14:schemeClr w14:val="tx1"/>
            </w14:solidFill>
          </w14:textFill>
        </w:rPr>
        <w:t>GB6722-20</w:t>
      </w:r>
      <w:r>
        <w:rPr>
          <w:rFonts w:hint="eastAsia"/>
          <w:color w:val="000000" w:themeColor="text1"/>
          <w:sz w:val="24"/>
          <w14:textFill>
            <w14:solidFill>
              <w14:schemeClr w14:val="tx1"/>
            </w14:solidFill>
          </w14:textFill>
        </w:rPr>
        <w:t>14）相关规定，爆破</w:t>
      </w:r>
      <w:r>
        <w:rPr>
          <w:rFonts w:hint="eastAsia"/>
          <w:color w:val="000000" w:themeColor="text1"/>
          <w:sz w:val="24"/>
          <w:lang w:eastAsia="zh-CN"/>
          <w14:textFill>
            <w14:solidFill>
              <w14:schemeClr w14:val="tx1"/>
            </w14:solidFill>
          </w14:textFill>
        </w:rPr>
        <w:t>器材</w:t>
      </w:r>
      <w:r>
        <w:rPr>
          <w:rFonts w:hint="eastAsia"/>
          <w:color w:val="000000" w:themeColor="text1"/>
          <w:sz w:val="24"/>
          <w14:textFill>
            <w14:solidFill>
              <w14:schemeClr w14:val="tx1"/>
            </w14:solidFill>
          </w14:textFill>
        </w:rPr>
        <w:t>库址与工业场地边缘的距离要求见表</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10</w:t>
      </w:r>
      <w:r>
        <w:rPr>
          <w:rFonts w:hint="eastAsia"/>
          <w:color w:val="000000" w:themeColor="text1"/>
          <w:sz w:val="24"/>
          <w14:textFill>
            <w14:solidFill>
              <w14:schemeClr w14:val="tx1"/>
            </w14:solidFill>
          </w14:textFill>
        </w:rPr>
        <w:t>。</w:t>
      </w:r>
    </w:p>
    <w:p w14:paraId="21E0649E">
      <w:pPr>
        <w:spacing w:line="480" w:lineRule="exact"/>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5.</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10</w:t>
      </w:r>
      <w:r>
        <w:rPr>
          <w:rFonts w:hint="eastAsia"/>
          <w:b/>
          <w:bCs/>
          <w:color w:val="000000" w:themeColor="text1"/>
          <w:sz w:val="24"/>
          <w14:textFill>
            <w14:solidFill>
              <w14:schemeClr w14:val="tx1"/>
            </w14:solidFill>
          </w14:textFill>
        </w:rPr>
        <w:t xml:space="preserve">    地面爆破</w:t>
      </w:r>
      <w:r>
        <w:rPr>
          <w:rFonts w:hint="eastAsia"/>
          <w:b/>
          <w:bCs/>
          <w:color w:val="000000" w:themeColor="text1"/>
          <w:sz w:val="24"/>
          <w:lang w:eastAsia="zh-CN"/>
          <w14:textFill>
            <w14:solidFill>
              <w14:schemeClr w14:val="tx1"/>
            </w14:solidFill>
          </w14:textFill>
        </w:rPr>
        <w:t>器材</w:t>
      </w:r>
      <w:r>
        <w:rPr>
          <w:rFonts w:hint="eastAsia"/>
          <w:b/>
          <w:bCs/>
          <w:color w:val="000000" w:themeColor="text1"/>
          <w:sz w:val="24"/>
          <w14:textFill>
            <w14:solidFill>
              <w14:schemeClr w14:val="tx1"/>
            </w14:solidFill>
          </w14:textFill>
        </w:rPr>
        <w:t>库至矿体部边缘的安全允许距离</w:t>
      </w:r>
    </w:p>
    <w:tbl>
      <w:tblPr>
        <w:tblStyle w:val="79"/>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82"/>
        <w:gridCol w:w="901"/>
        <w:gridCol w:w="884"/>
        <w:gridCol w:w="855"/>
        <w:gridCol w:w="824"/>
        <w:gridCol w:w="767"/>
        <w:gridCol w:w="719"/>
        <w:gridCol w:w="809"/>
        <w:gridCol w:w="671"/>
      </w:tblGrid>
      <w:tr w14:paraId="79EF2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2" w:type="pct"/>
            <w:tcBorders>
              <w:top w:val="single" w:color="auto" w:sz="12" w:space="0"/>
            </w:tcBorders>
            <w:noWrap w:val="0"/>
            <w:vAlign w:val="center"/>
          </w:tcPr>
          <w:p w14:paraId="270DFA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存药量</w:t>
            </w:r>
            <w:r>
              <w:rPr>
                <w:rFonts w:hint="default" w:ascii="Times New Roman" w:hAnsi="Times New Roman" w:cs="Times New Roman"/>
                <w:b/>
                <w:bCs/>
                <w:color w:val="000000" w:themeColor="text1"/>
                <w:szCs w:val="21"/>
                <w14:textFill>
                  <w14:solidFill>
                    <w14:schemeClr w14:val="tx1"/>
                  </w14:solidFill>
                </w14:textFill>
              </w:rPr>
              <w:t>t</w:t>
            </w:r>
          </w:p>
        </w:tc>
        <w:tc>
          <w:tcPr>
            <w:tcW w:w="529" w:type="pct"/>
            <w:tcBorders>
              <w:top w:val="single" w:color="auto" w:sz="12" w:space="0"/>
            </w:tcBorders>
            <w:noWrap w:val="0"/>
            <w:vAlign w:val="center"/>
          </w:tcPr>
          <w:p w14:paraId="379A8BD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p w14:paraId="66014F5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w:t>
            </w:r>
          </w:p>
        </w:tc>
        <w:tc>
          <w:tcPr>
            <w:tcW w:w="519" w:type="pct"/>
            <w:tcBorders>
              <w:top w:val="single" w:color="auto" w:sz="12" w:space="0"/>
            </w:tcBorders>
            <w:noWrap w:val="0"/>
            <w:vAlign w:val="center"/>
          </w:tcPr>
          <w:p w14:paraId="6D972FD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150</w:t>
            </w:r>
          </w:p>
          <w:p w14:paraId="11A2846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502" w:type="pct"/>
            <w:tcBorders>
              <w:top w:val="single" w:color="auto" w:sz="12" w:space="0"/>
            </w:tcBorders>
            <w:noWrap w:val="0"/>
            <w:vAlign w:val="center"/>
          </w:tcPr>
          <w:p w14:paraId="50AB55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100</w:t>
            </w:r>
          </w:p>
          <w:p w14:paraId="52E36BD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484" w:type="pct"/>
            <w:tcBorders>
              <w:top w:val="single" w:color="auto" w:sz="12" w:space="0"/>
            </w:tcBorders>
            <w:noWrap w:val="0"/>
            <w:vAlign w:val="center"/>
          </w:tcPr>
          <w:p w14:paraId="36FA8D4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50</w:t>
            </w:r>
          </w:p>
          <w:p w14:paraId="79C467F1">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450" w:type="pct"/>
            <w:tcBorders>
              <w:top w:val="single" w:color="auto" w:sz="12" w:space="0"/>
            </w:tcBorders>
            <w:noWrap w:val="0"/>
            <w:vAlign w:val="center"/>
          </w:tcPr>
          <w:p w14:paraId="05438B2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30</w:t>
            </w:r>
          </w:p>
          <w:p w14:paraId="4F3FAD8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422" w:type="pct"/>
            <w:tcBorders>
              <w:top w:val="single" w:color="auto" w:sz="12" w:space="0"/>
            </w:tcBorders>
            <w:noWrap w:val="0"/>
            <w:vAlign w:val="center"/>
          </w:tcPr>
          <w:p w14:paraId="0EFAA85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w:t>
            </w:r>
          </w:p>
          <w:p w14:paraId="3C7CE45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475" w:type="pct"/>
            <w:tcBorders>
              <w:top w:val="single" w:color="auto" w:sz="12" w:space="0"/>
            </w:tcBorders>
            <w:noWrap w:val="0"/>
            <w:vAlign w:val="center"/>
          </w:tcPr>
          <w:p w14:paraId="45822A4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10</w:t>
            </w:r>
          </w:p>
          <w:p w14:paraId="33B9465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394" w:type="pct"/>
            <w:tcBorders>
              <w:top w:val="single" w:color="auto" w:sz="12" w:space="0"/>
            </w:tcBorders>
            <w:noWrap w:val="0"/>
            <w:vAlign w:val="center"/>
          </w:tcPr>
          <w:p w14:paraId="3A55EA7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5</w:t>
            </w:r>
          </w:p>
        </w:tc>
      </w:tr>
      <w:tr w14:paraId="343E4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2" w:type="pct"/>
            <w:tcBorders>
              <w:bottom w:val="single" w:color="auto" w:sz="12" w:space="0"/>
            </w:tcBorders>
            <w:noWrap w:val="0"/>
            <w:vAlign w:val="center"/>
          </w:tcPr>
          <w:p w14:paraId="413CDE9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最小外部距离</w:t>
            </w:r>
            <w:r>
              <w:rPr>
                <w:rFonts w:hint="default" w:ascii="Times New Roman" w:hAnsi="Times New Roman" w:cs="Times New Roman"/>
                <w:b/>
                <w:bCs/>
                <w:color w:val="000000" w:themeColor="text1"/>
                <w:szCs w:val="21"/>
                <w14:textFill>
                  <w14:solidFill>
                    <w14:schemeClr w14:val="tx1"/>
                  </w14:solidFill>
                </w14:textFill>
              </w:rPr>
              <w:t>m</w:t>
            </w:r>
          </w:p>
        </w:tc>
        <w:tc>
          <w:tcPr>
            <w:tcW w:w="529" w:type="pct"/>
            <w:tcBorders>
              <w:bottom w:val="single" w:color="auto" w:sz="12" w:space="0"/>
            </w:tcBorders>
            <w:noWrap w:val="0"/>
            <w:vAlign w:val="center"/>
          </w:tcPr>
          <w:p w14:paraId="4585EC7F">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1000</w:t>
            </w:r>
          </w:p>
        </w:tc>
        <w:tc>
          <w:tcPr>
            <w:tcW w:w="519" w:type="pct"/>
            <w:tcBorders>
              <w:bottom w:val="single" w:color="auto" w:sz="12" w:space="0"/>
            </w:tcBorders>
            <w:noWrap w:val="0"/>
            <w:vAlign w:val="center"/>
          </w:tcPr>
          <w:p w14:paraId="78E04954">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900</w:t>
            </w:r>
          </w:p>
        </w:tc>
        <w:tc>
          <w:tcPr>
            <w:tcW w:w="502" w:type="pct"/>
            <w:tcBorders>
              <w:bottom w:val="single" w:color="auto" w:sz="12" w:space="0"/>
            </w:tcBorders>
            <w:noWrap w:val="0"/>
            <w:vAlign w:val="center"/>
          </w:tcPr>
          <w:p w14:paraId="2A65B350">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800</w:t>
            </w:r>
          </w:p>
        </w:tc>
        <w:tc>
          <w:tcPr>
            <w:tcW w:w="484" w:type="pct"/>
            <w:tcBorders>
              <w:bottom w:val="single" w:color="auto" w:sz="12" w:space="0"/>
            </w:tcBorders>
            <w:noWrap w:val="0"/>
            <w:vAlign w:val="center"/>
          </w:tcPr>
          <w:p w14:paraId="6AA5A22E">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700</w:t>
            </w:r>
          </w:p>
        </w:tc>
        <w:tc>
          <w:tcPr>
            <w:tcW w:w="450" w:type="pct"/>
            <w:tcBorders>
              <w:bottom w:val="single" w:color="auto" w:sz="12" w:space="0"/>
            </w:tcBorders>
            <w:noWrap w:val="0"/>
            <w:vAlign w:val="center"/>
          </w:tcPr>
          <w:p w14:paraId="7A2E89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600</w:t>
            </w:r>
          </w:p>
        </w:tc>
        <w:tc>
          <w:tcPr>
            <w:tcW w:w="422" w:type="pct"/>
            <w:tcBorders>
              <w:bottom w:val="single" w:color="auto" w:sz="12" w:space="0"/>
            </w:tcBorders>
            <w:noWrap w:val="0"/>
            <w:vAlign w:val="center"/>
          </w:tcPr>
          <w:p w14:paraId="35D23F36">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500</w:t>
            </w:r>
          </w:p>
        </w:tc>
        <w:tc>
          <w:tcPr>
            <w:tcW w:w="475" w:type="pct"/>
            <w:tcBorders>
              <w:bottom w:val="single" w:color="auto" w:sz="12" w:space="0"/>
            </w:tcBorders>
            <w:noWrap w:val="0"/>
            <w:vAlign w:val="center"/>
          </w:tcPr>
          <w:p w14:paraId="3264999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400</w:t>
            </w:r>
          </w:p>
        </w:tc>
        <w:tc>
          <w:tcPr>
            <w:tcW w:w="394" w:type="pct"/>
            <w:tcBorders>
              <w:bottom w:val="single" w:color="auto" w:sz="12" w:space="0"/>
            </w:tcBorders>
            <w:noWrap w:val="0"/>
            <w:vAlign w:val="center"/>
          </w:tcPr>
          <w:p w14:paraId="57AA7A1C">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300</w:t>
            </w:r>
          </w:p>
        </w:tc>
      </w:tr>
    </w:tbl>
    <w:p w14:paraId="41631EAF">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本矿爆破器材库单库储存量为</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0t以下，与周边距离应不小于</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00m。爆破器材库周边无敏感目标，与生活场地直距</w:t>
      </w:r>
      <w:r>
        <w:rPr>
          <w:rFonts w:hint="eastAsia"/>
          <w:color w:val="000000" w:themeColor="text1"/>
          <w:sz w:val="24"/>
          <w:lang w:eastAsia="zh-CN"/>
          <w14:textFill>
            <w14:solidFill>
              <w14:schemeClr w14:val="tx1"/>
            </w14:solidFill>
          </w14:textFill>
        </w:rPr>
        <w:t>约</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00m，选址合理。</w:t>
      </w:r>
    </w:p>
    <w:p w14:paraId="357F6B85">
      <w:pPr>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（2）环境安全分析</w:t>
      </w:r>
    </w:p>
    <w:p w14:paraId="22A70541">
      <w:pPr>
        <w:spacing w:line="480" w:lineRule="exact"/>
        <w:ind w:firstLine="48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使用的危险物质炸药是一种含有少量水分的多组分均匀分布的爆炸混合物，常温下化学性质稳定，与外界物质接触时，能发生氧化反应，生成高感度物质，在《危险化学品</w:t>
      </w:r>
      <w:r>
        <w:rPr>
          <w:rFonts w:hint="eastAsia"/>
          <w:color w:val="000000" w:themeColor="text1"/>
          <w:sz w:val="24"/>
          <w14:textFill>
            <w14:solidFill>
              <w14:schemeClr w14:val="tx1"/>
            </w14:solidFill>
          </w14:textFill>
        </w:rPr>
        <w:t>目</w:t>
      </w:r>
      <w:r>
        <w:rPr>
          <w:color w:val="000000" w:themeColor="text1"/>
          <w:sz w:val="24"/>
          <w14:textFill>
            <w14:solidFill>
              <w14:schemeClr w14:val="tx1"/>
            </w14:solidFill>
          </w14:textFill>
        </w:rPr>
        <w:t>录</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2022调整版</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》中为第一类易爆炸物质，雷管也属于易爆炸物质。</w:t>
      </w:r>
    </w:p>
    <w:p w14:paraId="631DB5AB">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炸药的爆炸是一种化学过程，但与一般的化学反应过程相比，具有三大特征：</w:t>
      </w:r>
    </w:p>
    <w:p w14:paraId="4BD441C5">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1）反常过程的放热性。一般常用炸药的爆热约在3700～7500kJ/kg。</w:t>
      </w:r>
    </w:p>
    <w:p w14:paraId="280F0C9E">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2）反应过程的高速度。许多炸药的氧化剂和还原剂共存一个分子内，能够发生快速的逐层传递的化学反应，使爆炸过程以极快的速度进行，通常为每秒几百米或几千米。</w:t>
      </w:r>
    </w:p>
    <w:p w14:paraId="151029E8">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3）反应成物含有大量的气态物质。</w:t>
      </w:r>
    </w:p>
    <w:p w14:paraId="53CE4390">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炸药在运输、贮存、使用过程中的环境问题可归纳为如下三类：由于爆破力学效应，产生地震波、冲击波和噪声；由于炸药爆炸时的化学反应，产生大量的有毒气体；突发性爆破事故，如炸药的早爆、拒爆和因操作失误而引起的安全事故。如果贮存或使用过程中违反爆破安全规程的有关规定，一旦发生爆炸事故，往往造成生命财产重大损失。</w:t>
      </w:r>
    </w:p>
    <w:p w14:paraId="447E7F00">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5.3.8.</w:t>
      </w:r>
      <w:r>
        <w:rPr>
          <w:rFonts w:hint="eastAsia"/>
          <w:b/>
          <w:bCs/>
          <w:color w:val="000000" w:themeColor="text1"/>
          <w:sz w:val="24"/>
          <w:szCs w:val="28"/>
          <w14:textFill>
            <w14:solidFill>
              <w14:schemeClr w14:val="tx1"/>
            </w14:solidFill>
          </w14:textFill>
        </w:rPr>
        <w:t>2</w:t>
      </w:r>
      <w:r>
        <w:rPr>
          <w:b/>
          <w:bCs/>
          <w:color w:val="000000" w:themeColor="text1"/>
          <w:sz w:val="24"/>
          <w:szCs w:val="28"/>
          <w14:textFill>
            <w14:solidFill>
              <w14:schemeClr w14:val="tx1"/>
            </w14:solidFill>
          </w14:textFill>
        </w:rPr>
        <w:t>油品风险事故影响分析</w:t>
      </w:r>
      <w:bookmarkEnd w:id="473"/>
    </w:p>
    <w:p w14:paraId="74E499C3">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（1）火灾爆炸危险性分析</w:t>
      </w:r>
    </w:p>
    <w:p w14:paraId="392CD710">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szCs w:val="24"/>
          <w14:textFill>
            <w14:solidFill>
              <w14:schemeClr w14:val="tx1"/>
            </w14:solidFill>
          </w14:textFill>
        </w:rPr>
        <w:t>废矿物油</w:t>
      </w:r>
      <w:r>
        <w:rPr>
          <w:color w:val="000000" w:themeColor="text1"/>
          <w:sz w:val="24"/>
          <w14:textFill>
            <w14:solidFill>
              <w14:schemeClr w14:val="tx1"/>
            </w14:solidFill>
          </w14:textFill>
        </w:rPr>
        <w:t>的易燃、易爆性</w:t>
      </w:r>
    </w:p>
    <w:p w14:paraId="17075A5B">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油品挥发出来的蒸汽与空气混合，浓度处于爆炸浓度范围内时，遇有一定能量的着火源，容易发生爆炸，爆炸浓度（或极限）范围越宽，爆炸危险性就越大。在储运过程中，爆炸和燃烧经常同时出现。由于油品蒸汽具有燃烧和爆炸性，因此在生产操作过程中，应防止其可燃性蒸汽的积聚，尽可能将其浓度控制在爆炸下限以下，以防止火灾、爆炸事故的发生。</w:t>
      </w:r>
    </w:p>
    <w:p w14:paraId="7681B8BD">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②油品的易扩散、流淌性</w:t>
      </w:r>
    </w:p>
    <w:p w14:paraId="1B044CF3">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易燃油品的</w:t>
      </w:r>
      <w:r>
        <w:rPr>
          <w:rFonts w:hint="eastAsia"/>
          <w:color w:val="000000" w:themeColor="text1"/>
          <w:sz w:val="24"/>
          <w:lang w:val="en-US" w:eastAsia="zh-CN"/>
          <w14:textFill>
            <w14:solidFill>
              <w14:schemeClr w14:val="tx1"/>
            </w14:solidFill>
          </w14:textFill>
        </w:rPr>
        <w:t>粘度</w:t>
      </w:r>
      <w:r>
        <w:rPr>
          <w:color w:val="000000" w:themeColor="text1"/>
          <w:sz w:val="24"/>
          <w14:textFill>
            <w14:solidFill>
              <w14:schemeClr w14:val="tx1"/>
            </w14:solidFill>
          </w14:textFill>
        </w:rPr>
        <w:t>一般较小，容易流淌扩散。同时，由于其渗透、浸润和毛细管引力等作用，而扩大其表面积，使蒸发速度加快，并向四周迅速扩散，与空气混合，遇有火源极易发生燃烧爆炸。</w:t>
      </w:r>
    </w:p>
    <w:p w14:paraId="39AF2BA4">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）次生大气污染物对环境的影响分析</w:t>
      </w:r>
    </w:p>
    <w:p w14:paraId="41682197">
      <w:pPr>
        <w:spacing w:line="480" w:lineRule="exact"/>
        <w:ind w:firstLine="48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w:t>
      </w:r>
      <w:r>
        <w:rPr>
          <w:rFonts w:hint="eastAsia"/>
          <w:color w:val="000000" w:themeColor="text1"/>
          <w:sz w:val="24"/>
          <w:szCs w:val="24"/>
          <w14:textFill>
            <w14:solidFill>
              <w14:schemeClr w14:val="tx1"/>
            </w14:solidFill>
          </w14:textFill>
        </w:rPr>
        <w:t>废矿物油</w:t>
      </w:r>
      <w:r>
        <w:rPr>
          <w:color w:val="000000" w:themeColor="text1"/>
          <w:sz w:val="24"/>
          <w14:textFill>
            <w14:solidFill>
              <w14:schemeClr w14:val="tx1"/>
            </w14:solidFill>
          </w14:textFill>
        </w:rPr>
        <w:t>发生泄漏后，引发火灾、爆炸事故，次生大气污染物主要为</w:t>
      </w:r>
      <w:r>
        <w:rPr>
          <w:rFonts w:hint="eastAsia"/>
          <w:color w:val="000000" w:themeColor="text1"/>
          <w:sz w:val="24"/>
          <w:szCs w:val="24"/>
          <w14:textFill>
            <w14:solidFill>
              <w14:schemeClr w14:val="tx1"/>
            </w14:solidFill>
          </w14:textFill>
        </w:rPr>
        <w:t>废矿物油</w:t>
      </w:r>
      <w:r>
        <w:rPr>
          <w:color w:val="000000" w:themeColor="text1"/>
          <w:sz w:val="24"/>
          <w14:textFill>
            <w14:solidFill>
              <w14:schemeClr w14:val="tx1"/>
            </w14:solidFill>
          </w14:textFill>
        </w:rPr>
        <w:t>不完全燃烧产生的CO以及THC等。由于项目</w:t>
      </w:r>
      <w:r>
        <w:rPr>
          <w:rFonts w:hint="eastAsia"/>
          <w:color w:val="000000" w:themeColor="text1"/>
          <w:sz w:val="24"/>
          <w:szCs w:val="24"/>
          <w14:textFill>
            <w14:solidFill>
              <w14:schemeClr w14:val="tx1"/>
            </w14:solidFill>
          </w14:textFill>
        </w:rPr>
        <w:t>废矿物油</w:t>
      </w:r>
      <w:r>
        <w:rPr>
          <w:rFonts w:hint="eastAsia"/>
          <w:color w:val="000000" w:themeColor="text1"/>
          <w:sz w:val="24"/>
          <w14:textFill>
            <w14:solidFill>
              <w14:schemeClr w14:val="tx1"/>
            </w14:solidFill>
          </w14:textFill>
        </w:rPr>
        <w:t>储存</w:t>
      </w:r>
      <w:r>
        <w:rPr>
          <w:color w:val="000000" w:themeColor="text1"/>
          <w:sz w:val="24"/>
          <w14:textFill>
            <w14:solidFill>
              <w14:schemeClr w14:val="tx1"/>
            </w14:solidFill>
          </w14:textFill>
        </w:rPr>
        <w:t>容积较小，发生事故后可及时有效得到处置，其次生大气污染物对环境影响较小，在可控范围内。</w:t>
      </w:r>
    </w:p>
    <w:p w14:paraId="2619CC40">
      <w:pPr>
        <w:keepNext/>
        <w:keepLines/>
        <w:spacing w:line="480" w:lineRule="exact"/>
        <w:ind w:firstLine="482" w:firstLineChars="200"/>
        <w:outlineLvl w:val="3"/>
        <w:rPr>
          <w:b/>
          <w:bCs/>
          <w:color w:val="000000" w:themeColor="text1"/>
          <w:sz w:val="24"/>
          <w:szCs w:val="28"/>
          <w14:textFill>
            <w14:solidFill>
              <w14:schemeClr w14:val="tx1"/>
            </w14:solidFill>
          </w14:textFill>
        </w:rPr>
      </w:pPr>
      <w:bookmarkStart w:id="474" w:name="_Toc24690"/>
      <w:r>
        <w:rPr>
          <w:b/>
          <w:bCs/>
          <w:color w:val="000000" w:themeColor="text1"/>
          <w:sz w:val="24"/>
          <w:szCs w:val="28"/>
          <w14:textFill>
            <w14:solidFill>
              <w14:schemeClr w14:val="tx1"/>
            </w14:solidFill>
          </w14:textFill>
        </w:rPr>
        <w:t>5.3.8.</w:t>
      </w:r>
      <w:r>
        <w:rPr>
          <w:rFonts w:hint="eastAsia"/>
          <w:b/>
          <w:bCs/>
          <w:color w:val="000000" w:themeColor="text1"/>
          <w:sz w:val="24"/>
          <w:szCs w:val="28"/>
          <w14:textFill>
            <w14:solidFill>
              <w14:schemeClr w14:val="tx1"/>
            </w14:solidFill>
          </w14:textFill>
        </w:rPr>
        <w:t>3</w:t>
      </w:r>
      <w:r>
        <w:rPr>
          <w:b/>
          <w:bCs/>
          <w:color w:val="000000" w:themeColor="text1"/>
          <w:sz w:val="24"/>
          <w:szCs w:val="28"/>
          <w14:textFill>
            <w14:solidFill>
              <w14:schemeClr w14:val="tx1"/>
            </w14:solidFill>
          </w14:textFill>
        </w:rPr>
        <w:t>井巷工程事故风险分析</w:t>
      </w:r>
      <w:bookmarkEnd w:id="474"/>
    </w:p>
    <w:p w14:paraId="10C45E46">
      <w:pPr>
        <w:spacing w:line="480" w:lineRule="exact"/>
        <w:ind w:firstLine="48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本项目</w:t>
      </w:r>
      <w:r>
        <w:rPr>
          <w:color w:val="000000" w:themeColor="text1"/>
          <w:sz w:val="24"/>
          <w14:textFill>
            <w14:solidFill>
              <w14:schemeClr w14:val="tx1"/>
            </w14:solidFill>
          </w14:textFill>
        </w:rPr>
        <w:t>为井下采矿工程，建设及运行过程中存在以下环境风险：</w:t>
      </w:r>
    </w:p>
    <w:p w14:paraId="4E83E178">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（1）地质灾害风险；</w:t>
      </w:r>
    </w:p>
    <w:p w14:paraId="3E62C29F">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（2）井下安全事故风险。</w:t>
      </w:r>
    </w:p>
    <w:p w14:paraId="2132EE2E">
      <w:pPr>
        <w:spacing w:line="48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地质灾害、</w:t>
      </w:r>
      <w:r>
        <w:rPr>
          <w:color w:val="000000" w:themeColor="text1"/>
          <w:sz w:val="24"/>
          <w14:textFill>
            <w14:solidFill>
              <w14:schemeClr w14:val="tx1"/>
            </w14:solidFill>
          </w14:textFill>
        </w:rPr>
        <w:t>矿井突水、崩塌安全隐患灾害对人体和环境的损害见表5.3-</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w:t>
      </w:r>
    </w:p>
    <w:p w14:paraId="3A66F035">
      <w:pPr>
        <w:spacing w:line="480" w:lineRule="exact"/>
        <w:ind w:firstLine="480"/>
        <w:rPr>
          <w:rFonts w:hint="eastAsia" w:ascii="Times New Roman" w:hAnsi="Times New Roman" w:cs="Times New Roman"/>
          <w:color w:val="000000" w:themeColor="text1"/>
          <w:sz w:val="24"/>
          <w:lang w:eastAsia="zh-CN"/>
          <w14:textFill>
            <w14:solidFill>
              <w14:schemeClr w14:val="tx1"/>
            </w14:solidFill>
          </w14:textFill>
        </w:rPr>
      </w:pPr>
    </w:p>
    <w:p w14:paraId="53DA9470">
      <w:pPr>
        <w:spacing w:line="480" w:lineRule="exact"/>
        <w:ind w:firstLine="480"/>
        <w:rPr>
          <w:rFonts w:hint="eastAsia" w:ascii="Times New Roman" w:hAnsi="Times New Roman" w:cs="Times New Roman"/>
          <w:color w:val="000000" w:themeColor="text1"/>
          <w:sz w:val="24"/>
          <w:lang w:eastAsia="zh-CN"/>
          <w14:textFill>
            <w14:solidFill>
              <w14:schemeClr w14:val="tx1"/>
            </w14:solidFill>
          </w14:textFill>
        </w:rPr>
      </w:pPr>
    </w:p>
    <w:p w14:paraId="01C3B53E">
      <w:pPr>
        <w:spacing w:line="480" w:lineRule="exact"/>
        <w:ind w:firstLine="480"/>
        <w:rPr>
          <w:rFonts w:hint="eastAsia" w:ascii="Times New Roman" w:hAnsi="Times New Roman" w:cs="Times New Roman"/>
          <w:color w:val="000000" w:themeColor="text1"/>
          <w:sz w:val="24"/>
          <w:lang w:eastAsia="zh-CN"/>
          <w14:textFill>
            <w14:solidFill>
              <w14:schemeClr w14:val="tx1"/>
            </w14:solidFill>
          </w14:textFill>
        </w:rPr>
      </w:pPr>
    </w:p>
    <w:p w14:paraId="65610A86">
      <w:pPr>
        <w:spacing w:line="480" w:lineRule="exact"/>
        <w:ind w:firstLine="480"/>
        <w:rPr>
          <w:rFonts w:hint="eastAsia" w:ascii="Times New Roman" w:hAnsi="Times New Roman" w:cs="Times New Roman"/>
          <w:color w:val="000000" w:themeColor="text1"/>
          <w:sz w:val="24"/>
          <w:lang w:eastAsia="zh-CN"/>
          <w14:textFill>
            <w14:solidFill>
              <w14:schemeClr w14:val="tx1"/>
            </w14:solidFill>
          </w14:textFill>
        </w:rPr>
      </w:pPr>
    </w:p>
    <w:p w14:paraId="20AA155F">
      <w:pPr>
        <w:spacing w:line="480" w:lineRule="exact"/>
        <w:ind w:firstLine="480"/>
        <w:rPr>
          <w:rFonts w:hint="eastAsia" w:ascii="Times New Roman" w:hAnsi="Times New Roman" w:cs="Times New Roman"/>
          <w:color w:val="000000" w:themeColor="text1"/>
          <w:sz w:val="24"/>
          <w:lang w:eastAsia="zh-CN"/>
          <w14:textFill>
            <w14:solidFill>
              <w14:schemeClr w14:val="tx1"/>
            </w14:solidFill>
          </w14:textFill>
        </w:rPr>
      </w:pPr>
    </w:p>
    <w:p w14:paraId="6F2CDB63">
      <w:pPr>
        <w:spacing w:line="480" w:lineRule="exact"/>
        <w:ind w:firstLine="480"/>
        <w:rPr>
          <w:rFonts w:hint="eastAsia" w:ascii="Times New Roman" w:hAnsi="Times New Roman" w:cs="Times New Roman"/>
          <w:color w:val="000000" w:themeColor="text1"/>
          <w:sz w:val="24"/>
          <w:lang w:eastAsia="zh-CN"/>
          <w14:textFill>
            <w14:solidFill>
              <w14:schemeClr w14:val="tx1"/>
            </w14:solidFill>
          </w14:textFill>
        </w:rPr>
      </w:pPr>
    </w:p>
    <w:p w14:paraId="1FB4A8ED">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表5.3-</w:t>
      </w:r>
      <w:r>
        <w:rPr>
          <w:rFonts w:hint="eastAsia"/>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1</w:t>
      </w:r>
      <w:r>
        <w:rPr>
          <w:b/>
          <w:bCs/>
          <w:color w:val="000000" w:themeColor="text1"/>
          <w:sz w:val="24"/>
          <w14:textFill>
            <w14:solidFill>
              <w14:schemeClr w14:val="tx1"/>
            </w14:solidFill>
          </w14:textFill>
        </w:rPr>
        <w:t xml:space="preserve">    风险表征表</w:t>
      </w:r>
    </w:p>
    <w:tbl>
      <w:tblPr>
        <w:tblStyle w:val="7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7158"/>
      </w:tblGrid>
      <w:tr w14:paraId="0F56E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noWrap w:val="0"/>
            <w:vAlign w:val="center"/>
          </w:tcPr>
          <w:p w14:paraId="0EF679B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风险类型</w:t>
            </w:r>
          </w:p>
        </w:tc>
        <w:tc>
          <w:tcPr>
            <w:tcW w:w="4200" w:type="pct"/>
            <w:noWrap w:val="0"/>
            <w:vAlign w:val="center"/>
          </w:tcPr>
          <w:p w14:paraId="3820984D">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对人体与环境损害</w:t>
            </w:r>
          </w:p>
        </w:tc>
      </w:tr>
      <w:tr w14:paraId="4A15D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noWrap w:val="0"/>
            <w:vAlign w:val="center"/>
          </w:tcPr>
          <w:p w14:paraId="08415B84">
            <w:pPr>
              <w:keepNext w:val="0"/>
              <w:keepLines w:val="0"/>
              <w:suppressLineNumbers w:val="0"/>
              <w:spacing w:before="0" w:beforeAutospacing="0" w:after="0" w:afterAutospacing="0" w:line="360" w:lineRule="exact"/>
              <w:ind w:left="0" w:right="0"/>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地质灾害</w:t>
            </w:r>
          </w:p>
        </w:tc>
        <w:tc>
          <w:tcPr>
            <w:tcW w:w="4200" w:type="pct"/>
            <w:noWrap w:val="0"/>
            <w:vAlign w:val="center"/>
          </w:tcPr>
          <w:p w14:paraId="51D327C8">
            <w:pPr>
              <w:keepNext w:val="0"/>
              <w:keepLines w:val="0"/>
              <w:suppressLineNumbers w:val="0"/>
              <w:spacing w:before="0" w:beforeAutospacing="0" w:after="0" w:afterAutospacing="0" w:line="360" w:lineRule="exact"/>
              <w:ind w:left="0" w:right="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地表裂缝错动、地表沉陷会使影响范围内的建（构）筑物及天然地物受到破坏；行人、机械及车辆等误入错动区会受到损害；暴雨洪水汇入会危及井下安全。</w:t>
            </w:r>
          </w:p>
        </w:tc>
      </w:tr>
      <w:tr w14:paraId="032CA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noWrap w:val="0"/>
            <w:vAlign w:val="center"/>
          </w:tcPr>
          <w:p w14:paraId="146AC841">
            <w:pPr>
              <w:pStyle w:val="68"/>
              <w:keepNext w:val="0"/>
              <w:keepLines w:val="0"/>
              <w:suppressLineNumbers w:val="0"/>
              <w:spacing w:before="0" w:beforeAutospacing="0" w:after="0" w:afterAutospacing="0" w:line="360" w:lineRule="exact"/>
              <w:ind w:left="0" w:right="0"/>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矿井突水及骨顶</w:t>
            </w:r>
          </w:p>
        </w:tc>
        <w:tc>
          <w:tcPr>
            <w:tcW w:w="4200" w:type="pct"/>
            <w:noWrap w:val="0"/>
            <w:vAlign w:val="center"/>
          </w:tcPr>
          <w:p w14:paraId="5ED7B39A">
            <w:pPr>
              <w:pStyle w:val="442"/>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井下人员和内、外环境造成损害，发生率较大，瞬间会发生淹井，造成人员伤亡，改变地下水环境原有状况、补给径流、排泄途径，局部影响地表水与地下水的水力联系，并增加了排水量。巷道骨顶会造成井下伤亡事故。</w:t>
            </w:r>
          </w:p>
        </w:tc>
      </w:tr>
    </w:tbl>
    <w:p w14:paraId="4FB996C5">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5.3.8.</w:t>
      </w:r>
      <w:r>
        <w:rPr>
          <w:rFonts w:hint="eastAsia"/>
          <w:b/>
          <w:bCs/>
          <w:color w:val="000000" w:themeColor="text1"/>
          <w:sz w:val="24"/>
          <w:szCs w:val="28"/>
          <w14:textFill>
            <w14:solidFill>
              <w14:schemeClr w14:val="tx1"/>
            </w14:solidFill>
          </w14:textFill>
        </w:rPr>
        <w:t>4</w:t>
      </w:r>
      <w:r>
        <w:rPr>
          <w:b/>
          <w:bCs/>
          <w:color w:val="000000" w:themeColor="text1"/>
          <w:sz w:val="24"/>
          <w:szCs w:val="28"/>
          <w14:textFill>
            <w14:solidFill>
              <w14:schemeClr w14:val="tx1"/>
            </w14:solidFill>
          </w14:textFill>
        </w:rPr>
        <w:t>拦挡坝溃坝事故发生可能性分析</w:t>
      </w:r>
    </w:p>
    <w:p w14:paraId="2E6EEB11">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废石堆场是一个具有高势能的人造泥石流的危险源，各种天然的和人为的不利因素威胁着它的安全，一旦失事，将会造成巨大的灾难与损失。废石堆场可能存在的风险、有害因素有：拦挡坝坝体失稳、溃坝。</w:t>
      </w:r>
    </w:p>
    <w:p w14:paraId="04914F4B">
      <w:pPr>
        <w:spacing w:line="48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对溃坝事故用预先危险性分析法（PHA）分析如下：</w:t>
      </w:r>
    </w:p>
    <w:p w14:paraId="3350309E">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表5.3-</w:t>
      </w:r>
      <w:r>
        <w:rPr>
          <w:rFonts w:hint="eastAsia"/>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 xml:space="preserve">    溃坝事故预先危险性分析表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906"/>
        <w:gridCol w:w="1562"/>
        <w:gridCol w:w="1664"/>
        <w:gridCol w:w="783"/>
        <w:gridCol w:w="1957"/>
      </w:tblGrid>
      <w:tr w14:paraId="1CE69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5AB21BC8">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潜在事故</w:t>
            </w:r>
          </w:p>
        </w:tc>
        <w:tc>
          <w:tcPr>
            <w:tcW w:w="1118" w:type="pct"/>
            <w:noWrap w:val="0"/>
            <w:vAlign w:val="center"/>
          </w:tcPr>
          <w:p w14:paraId="7C6F0B9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产生原因</w:t>
            </w:r>
          </w:p>
        </w:tc>
        <w:tc>
          <w:tcPr>
            <w:tcW w:w="916" w:type="pct"/>
            <w:noWrap w:val="0"/>
            <w:vAlign w:val="center"/>
          </w:tcPr>
          <w:p w14:paraId="1A9B00B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触发条件</w:t>
            </w:r>
          </w:p>
        </w:tc>
        <w:tc>
          <w:tcPr>
            <w:tcW w:w="976" w:type="pct"/>
            <w:noWrap w:val="0"/>
            <w:vAlign w:val="center"/>
          </w:tcPr>
          <w:p w14:paraId="20801B49">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事故后果</w:t>
            </w:r>
          </w:p>
        </w:tc>
        <w:tc>
          <w:tcPr>
            <w:tcW w:w="459" w:type="pct"/>
            <w:noWrap w:val="0"/>
            <w:vAlign w:val="center"/>
          </w:tcPr>
          <w:p w14:paraId="3347BC03">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危险等级</w:t>
            </w:r>
          </w:p>
        </w:tc>
        <w:tc>
          <w:tcPr>
            <w:tcW w:w="1148" w:type="pct"/>
            <w:noWrap w:val="0"/>
            <w:vAlign w:val="center"/>
          </w:tcPr>
          <w:p w14:paraId="1CE5BB4B">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措施</w:t>
            </w:r>
          </w:p>
        </w:tc>
      </w:tr>
      <w:tr w14:paraId="4A71A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noWrap w:val="0"/>
            <w:vAlign w:val="center"/>
          </w:tcPr>
          <w:p w14:paraId="679D8735">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坝体整体失稳、溃坝</w:t>
            </w:r>
          </w:p>
        </w:tc>
        <w:tc>
          <w:tcPr>
            <w:tcW w:w="1118" w:type="pct"/>
            <w:noWrap w:val="0"/>
            <w:vAlign w:val="center"/>
          </w:tcPr>
          <w:p w14:paraId="272F1B3A">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（1）场内存水过多；</w:t>
            </w:r>
          </w:p>
          <w:p w14:paraId="4969212D">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（2）汛期雨量大；</w:t>
            </w:r>
          </w:p>
          <w:p w14:paraId="0D92C8AF">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（3）地震；</w:t>
            </w:r>
          </w:p>
          <w:p w14:paraId="57798075">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（4）排水构筑物堵塞、损毁；</w:t>
            </w:r>
          </w:p>
          <w:p w14:paraId="1EE4AC3A">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（5）坝体出现裂缝、滑坡、渗漏以及管涌流土；</w:t>
            </w:r>
          </w:p>
          <w:p w14:paraId="2E4C3C9F">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（6）坝体施工不当。</w:t>
            </w:r>
          </w:p>
        </w:tc>
        <w:tc>
          <w:tcPr>
            <w:tcW w:w="916" w:type="pct"/>
            <w:noWrap w:val="0"/>
            <w:vAlign w:val="center"/>
          </w:tcPr>
          <w:p w14:paraId="0F016841">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（1）设计不合理；</w:t>
            </w:r>
          </w:p>
          <w:p w14:paraId="737227CD">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（2）截洪沟排水达不到设计要求、洪水大量涌入库内。</w:t>
            </w:r>
          </w:p>
          <w:p w14:paraId="36945CDD">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（3）未在堆场周围山坡修建截、排水沟</w:t>
            </w:r>
          </w:p>
        </w:tc>
        <w:tc>
          <w:tcPr>
            <w:tcW w:w="976" w:type="pct"/>
            <w:noWrap w:val="0"/>
            <w:vAlign w:val="center"/>
          </w:tcPr>
          <w:p w14:paraId="7BA8F824">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（1）坝体垮塌，导致人员伤亡，财产损失和严重的环境污染；</w:t>
            </w:r>
          </w:p>
          <w:p w14:paraId="6D10D942">
            <w:pPr>
              <w:keepNext w:val="0"/>
              <w:keepLines w:val="0"/>
              <w:suppressLineNumbers w:val="0"/>
              <w:spacing w:before="0" w:beforeAutospacing="0" w:after="0" w:afterAutospacing="0" w:line="360" w:lineRule="exact"/>
              <w:ind w:left="0" w:right="0"/>
              <w:jc w:val="left"/>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（2）废石堆场坝体局部滑坡、沉陷、威胁整体的安全</w:t>
            </w:r>
            <w:r>
              <w:rPr>
                <w:rFonts w:hint="eastAsia" w:ascii="Times New Roman" w:hAnsi="Times New Roman" w:cs="Times New Roman"/>
                <w:color w:val="000000" w:themeColor="text1"/>
                <w14:textFill>
                  <w14:solidFill>
                    <w14:schemeClr w14:val="tx1"/>
                  </w14:solidFill>
                </w14:textFill>
              </w:rPr>
              <w:t>。</w:t>
            </w:r>
          </w:p>
        </w:tc>
        <w:tc>
          <w:tcPr>
            <w:tcW w:w="459" w:type="pct"/>
            <w:noWrap w:val="0"/>
            <w:vAlign w:val="center"/>
          </w:tcPr>
          <w:p w14:paraId="791BA762">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IV</w:t>
            </w:r>
          </w:p>
        </w:tc>
        <w:tc>
          <w:tcPr>
            <w:tcW w:w="1148" w:type="pct"/>
            <w:noWrap w:val="0"/>
            <w:vAlign w:val="center"/>
          </w:tcPr>
          <w:p w14:paraId="5585CFC2">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（1）认真选址，并做好工程地质勘察工作；</w:t>
            </w:r>
          </w:p>
          <w:p w14:paraId="7D8C1D9B">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（2）请具有资质和经验的设计人员精心设计渣场坝体，严格审查设计方案；</w:t>
            </w:r>
          </w:p>
          <w:p w14:paraId="2F3000BF">
            <w:pPr>
              <w:keepNext w:val="0"/>
              <w:keepLines w:val="0"/>
              <w:suppressLineNumbers w:val="0"/>
              <w:spacing w:before="0" w:beforeAutospacing="0" w:after="0" w:afterAutospacing="0" w:line="360" w:lineRule="exact"/>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（3）严格实行工程监理制，确保渣场坝体施工质量。</w:t>
            </w:r>
          </w:p>
        </w:tc>
      </w:tr>
    </w:tbl>
    <w:p w14:paraId="3AE355B3">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由以上分析看出，</w:t>
      </w:r>
      <w:r>
        <w:rPr>
          <w:rFonts w:hint="eastAsia"/>
          <w:color w:val="000000" w:themeColor="text1"/>
          <w14:textFill>
            <w14:solidFill>
              <w14:schemeClr w14:val="tx1"/>
            </w14:solidFill>
          </w14:textFill>
        </w:rPr>
        <w:t>废石堆场</w:t>
      </w:r>
      <w:r>
        <w:rPr>
          <w:color w:val="000000" w:themeColor="text1"/>
          <w14:textFill>
            <w14:solidFill>
              <w14:schemeClr w14:val="tx1"/>
            </w14:solidFill>
          </w14:textFill>
        </w:rPr>
        <w:t>坝体整体失稳须重点进行预防与控制。</w:t>
      </w:r>
    </w:p>
    <w:p w14:paraId="5561E55B">
      <w:pPr>
        <w:pStyle w:val="4"/>
        <w:keepNext w:val="0"/>
        <w:keepLines w:val="0"/>
        <w:spacing w:before="60" w:after="60" w:line="480" w:lineRule="exact"/>
        <w:rPr>
          <w:color w:val="000000" w:themeColor="text1"/>
          <w:spacing w:val="-1"/>
          <w:sz w:val="32"/>
          <w:szCs w:val="30"/>
          <w14:textFill>
            <w14:solidFill>
              <w14:schemeClr w14:val="tx1"/>
            </w14:solidFill>
          </w14:textFill>
        </w:rPr>
      </w:pPr>
      <w:bookmarkStart w:id="475" w:name="_Toc31860"/>
      <w:bookmarkStart w:id="476" w:name="_Toc387680763"/>
      <w:bookmarkStart w:id="477" w:name="_Toc3537"/>
      <w:bookmarkStart w:id="478" w:name="_Toc19379"/>
      <w:bookmarkStart w:id="479" w:name="_Toc375217615"/>
      <w:bookmarkStart w:id="480" w:name="_Toc8744"/>
      <w:bookmarkStart w:id="481" w:name="_Toc1925"/>
      <w:bookmarkStart w:id="482" w:name="_Toc417856553"/>
      <w:r>
        <w:rPr>
          <w:color w:val="000000" w:themeColor="text1"/>
          <w:spacing w:val="-1"/>
          <w:sz w:val="32"/>
          <w:szCs w:val="30"/>
          <w14:textFill>
            <w14:solidFill>
              <w14:schemeClr w14:val="tx1"/>
            </w14:solidFill>
          </w14:textFill>
        </w:rPr>
        <w:t>5.3.9风险事故防范措施</w:t>
      </w:r>
      <w:bookmarkEnd w:id="475"/>
      <w:bookmarkEnd w:id="476"/>
      <w:bookmarkEnd w:id="477"/>
      <w:bookmarkEnd w:id="478"/>
      <w:bookmarkEnd w:id="479"/>
      <w:bookmarkEnd w:id="480"/>
      <w:bookmarkEnd w:id="481"/>
      <w:bookmarkEnd w:id="482"/>
    </w:p>
    <w:p w14:paraId="7C49C45A">
      <w:pPr>
        <w:keepNext/>
        <w:keepLines/>
        <w:spacing w:line="480" w:lineRule="exact"/>
        <w:ind w:firstLine="482" w:firstLineChars="200"/>
        <w:outlineLvl w:val="3"/>
        <w:rPr>
          <w:b/>
          <w:bCs/>
          <w:color w:val="000000" w:themeColor="text1"/>
          <w:sz w:val="24"/>
          <w:szCs w:val="28"/>
          <w14:textFill>
            <w14:solidFill>
              <w14:schemeClr w14:val="tx1"/>
            </w14:solidFill>
          </w14:textFill>
        </w:rPr>
      </w:pPr>
      <w:bookmarkStart w:id="483" w:name="_Toc10438"/>
      <w:r>
        <w:rPr>
          <w:b/>
          <w:bCs/>
          <w:color w:val="000000" w:themeColor="text1"/>
          <w:sz w:val="24"/>
          <w:szCs w:val="28"/>
          <w14:textFill>
            <w14:solidFill>
              <w14:schemeClr w14:val="tx1"/>
            </w14:solidFill>
          </w14:textFill>
        </w:rPr>
        <w:t>5.3.9.1工业场地及建、构筑物布置</w:t>
      </w:r>
      <w:bookmarkEnd w:id="483"/>
    </w:p>
    <w:p w14:paraId="60B0D9B6">
      <w:pPr>
        <w:pStyle w:val="494"/>
        <w:spacing w:line="480" w:lineRule="exact"/>
        <w:ind w:firstLine="480"/>
        <w:rPr>
          <w:color w:val="000000" w:themeColor="text1"/>
          <w14:textFill>
            <w14:solidFill>
              <w14:schemeClr w14:val="tx1"/>
            </w14:solidFill>
          </w14:textFill>
        </w:rPr>
      </w:pPr>
      <w:bookmarkStart w:id="484" w:name="_Toc11559"/>
      <w:r>
        <w:rPr>
          <w:color w:val="000000" w:themeColor="text1"/>
          <w14:textFill>
            <w14:solidFill>
              <w14:schemeClr w14:val="tx1"/>
            </w14:solidFill>
          </w14:textFill>
        </w:rPr>
        <w:t>（1）在该建设项目施工前要对工业场地的开挖边坡稳定性进行研究，并对场地工程地质进行勘察，验算地基的稳定性。确保所选的井工程布置及其构筑物，不受岩移、滑坡、滚石等危害；</w:t>
      </w:r>
    </w:p>
    <w:p w14:paraId="76EF2FAE">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（2）井巷应设在稳固的岩层中，避免开凿在含水层、断层或断层破碎带、岩溶发育带中；</w:t>
      </w:r>
    </w:p>
    <w:p w14:paraId="284D7045">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（3）在保证安全的前提下，主要井巷工程应布置在工程量和总运输功最小的矿体下盘。平硐口、井口位置应便于布置各种建筑物、调车场、堆放场地，尽量不占或少占草场；</w:t>
      </w:r>
    </w:p>
    <w:p w14:paraId="643A34F9">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（4）回风井应布置在主导风向的下侧方向。如因各方面的情况影响时，出风口必须采取降尘措施，使排出污风达到矿山安全规程的排放标准；</w:t>
      </w:r>
    </w:p>
    <w:p w14:paraId="56E89F17">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（5）全矿生产设备按生产工艺流程顺序配置，生产作业线不交叉，采用短捷的运输线路，合理的储运方式。各生产设备点为操作人员留有足够的操作场地；</w:t>
      </w:r>
    </w:p>
    <w:p w14:paraId="352FCB70">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（6）各建筑物均按当地地震烈度进行设防，重要建（构）筑物地震设防烈度应提高一度设防；</w:t>
      </w:r>
    </w:p>
    <w:p w14:paraId="12FFFCEA">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（7）矿山工业场地及建（构）筑物高度超过15m的设置避雷针或避雷带，以防雷击；</w:t>
      </w:r>
    </w:p>
    <w:p w14:paraId="2835519A">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（8）对于可能发生崩塌、滑坡、泥石流等地带，不设工业场地和居民住宅；</w:t>
      </w:r>
    </w:p>
    <w:p w14:paraId="24EC7BFC">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（9）在坑内设置安全警示标志；在井下车场设中段简图，标明进出方向。</w:t>
      </w:r>
    </w:p>
    <w:p w14:paraId="1F9FE53B">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5.3.9.2爆破事故预防及爆破器材管理措施</w:t>
      </w:r>
      <w:bookmarkEnd w:id="484"/>
    </w:p>
    <w:p w14:paraId="30FB6C64">
      <w:pPr>
        <w:pStyle w:val="494"/>
        <w:spacing w:line="480" w:lineRule="exact"/>
        <w:ind w:firstLine="480"/>
        <w:rPr>
          <w:color w:val="000000" w:themeColor="text1"/>
          <w14:textFill>
            <w14:solidFill>
              <w14:schemeClr w14:val="tx1"/>
            </w14:solidFill>
          </w14:textFill>
        </w:rPr>
      </w:pPr>
      <w:bookmarkStart w:id="485" w:name="_Toc3574"/>
      <w:r>
        <w:rPr>
          <w:rFonts w:hint="eastAsia"/>
          <w:color w:val="000000" w:themeColor="text1"/>
          <w:lang w:eastAsia="zh-CN"/>
          <w14:textFill>
            <w14:solidFill>
              <w14:schemeClr w14:val="tx1"/>
            </w14:solidFill>
          </w14:textFill>
        </w:rPr>
        <w:t>本项目</w:t>
      </w:r>
      <w:r>
        <w:rPr>
          <w:color w:val="000000" w:themeColor="text1"/>
          <w14:textFill>
            <w14:solidFill>
              <w14:schemeClr w14:val="tx1"/>
            </w14:solidFill>
          </w14:textFill>
        </w:rPr>
        <w:t>爆破工作全部委托民爆公司完成，主要提出以下措施：</w:t>
      </w:r>
    </w:p>
    <w:p w14:paraId="0CFE7926">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（1）在爆破作业现场临时存放民用爆炸物品的，应当具备临时存放民用爆炸物品的条件，并设专人管理、看护，不得在不具备安全存放条件的场所存放民用爆炸物品；</w:t>
      </w:r>
    </w:p>
    <w:p w14:paraId="2423D6E5">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（2）建设单位委托专业的危险品运输车辆承担矿区爆破器材的运输，运输车要远离火种、热源，防止阳光直射，保证运输的安全。运输时车辆上标注清楚醒目的危险警示标志；</w:t>
      </w:r>
    </w:p>
    <w:p w14:paraId="41371CB0">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（3）爆破作业、火药库管理、器材运输、存放、加工使用必须严格遵循《爆破安全规程》（GB6722-2</w:t>
      </w:r>
      <w:r>
        <w:rPr>
          <w:rFonts w:hint="eastAsia"/>
          <w:color w:val="000000" w:themeColor="text1"/>
          <w14:textFill>
            <w14:solidFill>
              <w14:schemeClr w14:val="tx1"/>
            </w14:solidFill>
          </w14:textFill>
        </w:rPr>
        <w:t>014</w:t>
      </w:r>
      <w:r>
        <w:rPr>
          <w:color w:val="000000" w:themeColor="text1"/>
          <w14:textFill>
            <w14:solidFill>
              <w14:schemeClr w14:val="tx1"/>
            </w14:solidFill>
          </w14:textFill>
        </w:rPr>
        <w:t>）；</w:t>
      </w:r>
    </w:p>
    <w:p w14:paraId="14DD7075">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（4）从事爆破作业人员必须受过爆破技术训练，熟悉爆破器材性能、操作方法和安全规程；</w:t>
      </w:r>
    </w:p>
    <w:p w14:paraId="08764D51">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（5）爆破施工的安全技术措施要点：</w:t>
      </w:r>
    </w:p>
    <w:p w14:paraId="7DEDD572">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①炮眼应严格按规定的药量装药堵塞。堵塞时应注意保持导火索、导爆索及电雷管脚线的完整。</w:t>
      </w:r>
    </w:p>
    <w:p w14:paraId="1B84AED6">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②装药必须用木棒把炸药轻轻压入炮孔，严禁冲捣和使用金属棒。堵塞炮泥时切不可击动雷管。</w:t>
      </w:r>
    </w:p>
    <w:p w14:paraId="30833432">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③炮孔深度超过4m时，须用两个雷管起爆；如深度超过10m，则不得用火花起爆。</w:t>
      </w:r>
    </w:p>
    <w:p w14:paraId="2E1F6ECC">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④在闪电鸣雷时，禁止装药、安装电雷管和联接电线等操作，应迅速将雷管的脚线和电线的主线两端短路。所有工作人员应立即离开装药地点，隐藏于安全区。</w:t>
      </w:r>
    </w:p>
    <w:p w14:paraId="393439FD">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⑤放炮前必须划出警戒范围，立好标志，并有专人警戒。</w:t>
      </w:r>
    </w:p>
    <w:p w14:paraId="09E086C0">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⑥扩大药壶时，不得将起爆药卷的导火索点燃后丢进炮眼去。扩大眼深超过4m的药壶，宜采用电雷管或导爆索起爆。在两次扩大爆破之间要留有炮眼冷却需要的时间：当眼深在5m之内时，使用硝铵炸药时，其间隔时间不少于15分钟。</w:t>
      </w:r>
    </w:p>
    <w:p w14:paraId="01967F60">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（6）预防盲炮的措施：</w:t>
      </w:r>
    </w:p>
    <w:p w14:paraId="1680E4D0">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①改善爆破器材的保管条件。防止导爆管受潮变质，发放前应严格检验，对质量不合格的应予报废。</w:t>
      </w:r>
    </w:p>
    <w:p w14:paraId="04D38415">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②改善操作技术。对起爆器应保证导爆管</w:t>
      </w:r>
      <w:r>
        <w:rPr>
          <w:rFonts w:hint="eastAsia"/>
          <w:color w:val="000000" w:themeColor="text1"/>
          <w:lang w:eastAsia="zh-CN"/>
          <w14:textFill>
            <w14:solidFill>
              <w14:schemeClr w14:val="tx1"/>
            </w14:solidFill>
          </w14:textFill>
        </w:rPr>
        <w:t>紧密连接</w:t>
      </w:r>
      <w:r>
        <w:rPr>
          <w:color w:val="000000" w:themeColor="text1"/>
          <w14:textFill>
            <w14:solidFill>
              <w14:schemeClr w14:val="tx1"/>
            </w14:solidFill>
          </w14:textFill>
        </w:rPr>
        <w:t>，避免导爆管与药包脱离。</w:t>
      </w:r>
    </w:p>
    <w:p w14:paraId="39A2A38C">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③在有水工作面装药，应采取可靠的防水措施，以避免爆炸材料受潮吸水。</w:t>
      </w:r>
    </w:p>
    <w:p w14:paraId="570C8E5F">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④发现盲炮要及时处理，暂不能及时处理的盲炮，应在其附近设明显标志，并采取相应措施。处理盲炮时，禁止无关人员在附近做其他工作。</w:t>
      </w:r>
    </w:p>
    <w:p w14:paraId="06C55C6D">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（7）各主要进口设爆破安全信号，爆破时设安全警戒线，并有专门人员警戒；</w:t>
      </w:r>
    </w:p>
    <w:p w14:paraId="532D9CED">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5.3.9.3井巷工程事故风险防范措施</w:t>
      </w:r>
      <w:bookmarkEnd w:id="485"/>
    </w:p>
    <w:p w14:paraId="1285C29C">
      <w:pPr>
        <w:pStyle w:val="494"/>
        <w:spacing w:line="480" w:lineRule="exact"/>
        <w:ind w:firstLine="480"/>
        <w:rPr>
          <w:color w:val="000000" w:themeColor="text1"/>
          <w14:textFill>
            <w14:solidFill>
              <w14:schemeClr w14:val="tx1"/>
            </w14:solidFill>
          </w14:textFill>
        </w:rPr>
      </w:pPr>
      <w:bookmarkStart w:id="486" w:name="_Toc6308"/>
      <w:r>
        <w:rPr>
          <w:color w:val="000000" w:themeColor="text1"/>
          <w14:textFill>
            <w14:solidFill>
              <w14:schemeClr w14:val="tx1"/>
            </w14:solidFill>
          </w14:textFill>
        </w:rPr>
        <w:t>（1）在矿山基建期间或基建结束后，应安排采矿方法试验。通过试验可以达到：找到合适的采场结构参数，可以初步掌握地压活动规律，掌握该采矿方法的主要技术经济指标；</w:t>
      </w:r>
    </w:p>
    <w:p w14:paraId="24072C40">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（2）采场作业应首先进行安全检查，然后方可作业；</w:t>
      </w:r>
    </w:p>
    <w:p w14:paraId="7E0436E0">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（3）在每个采场均设有两个可到达地表的安全出口；</w:t>
      </w:r>
    </w:p>
    <w:p w14:paraId="088C22DF">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（4）对于不稳固的采场顶板及掘进作业面采用喷锚、喷锚网及砌筑混凝土支护；</w:t>
      </w:r>
    </w:p>
    <w:p w14:paraId="708FE7D5">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（5）井下主要生产硐室均采用喷射或砌筑混凝土支护，确保安全；</w:t>
      </w:r>
    </w:p>
    <w:p w14:paraId="02AD3DE4">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（6）对于采矿出现的陷坑、裂缝及可能出现的地表塌陷范围，要及时圈定，并设置标志和采取安全措施；</w:t>
      </w:r>
    </w:p>
    <w:p w14:paraId="776AC8E4">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（7）上山等处设明显标志、照明、</w:t>
      </w:r>
      <w:r>
        <w:rPr>
          <w:rFonts w:hint="eastAsia"/>
          <w:color w:val="000000" w:themeColor="text1"/>
          <w14:textFill>
            <w14:solidFill>
              <w14:schemeClr w14:val="tx1"/>
            </w14:solidFill>
          </w14:textFill>
        </w:rPr>
        <w:t>护栏</w:t>
      </w:r>
      <w:r>
        <w:rPr>
          <w:color w:val="000000" w:themeColor="text1"/>
          <w14:textFill>
            <w14:solidFill>
              <w14:schemeClr w14:val="tx1"/>
            </w14:solidFill>
          </w14:textFill>
        </w:rPr>
        <w:t>和盖板；及时封闭已结束回采的采场及溜井；</w:t>
      </w:r>
    </w:p>
    <w:p w14:paraId="112887F6">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（8）制定科学合理的采掘计划以指导生产，采矿作业应严格按设计顺序进行。</w:t>
      </w:r>
    </w:p>
    <w:p w14:paraId="07F8282B">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5.3.9.4</w:t>
      </w:r>
      <w:r>
        <w:rPr>
          <w:rFonts w:hint="eastAsia"/>
          <w:b/>
          <w:bCs/>
          <w:color w:val="000000" w:themeColor="text1"/>
          <w:sz w:val="24"/>
          <w:szCs w:val="24"/>
          <w14:textFill>
            <w14:solidFill>
              <w14:schemeClr w14:val="tx1"/>
            </w14:solidFill>
          </w14:textFill>
        </w:rPr>
        <w:t>废矿物油</w:t>
      </w:r>
      <w:r>
        <w:rPr>
          <w:b/>
          <w:bCs/>
          <w:color w:val="000000" w:themeColor="text1"/>
          <w:sz w:val="24"/>
          <w:szCs w:val="28"/>
          <w14:textFill>
            <w14:solidFill>
              <w14:schemeClr w14:val="tx1"/>
            </w14:solidFill>
          </w14:textFill>
        </w:rPr>
        <w:t>储存风险预防措施</w:t>
      </w:r>
      <w:bookmarkEnd w:id="486"/>
    </w:p>
    <w:p w14:paraId="7731DAF2">
      <w:pPr>
        <w:pStyle w:val="494"/>
        <w:spacing w:line="480" w:lineRule="exact"/>
        <w:ind w:firstLine="480"/>
        <w:rPr>
          <w:color w:val="000000" w:themeColor="text1"/>
          <w14:textFill>
            <w14:solidFill>
              <w14:schemeClr w14:val="tx1"/>
            </w14:solidFill>
          </w14:textFill>
        </w:rPr>
      </w:pPr>
      <w:bookmarkStart w:id="487" w:name="_Toc19571"/>
      <w:r>
        <w:rPr>
          <w:color w:val="000000" w:themeColor="text1"/>
          <w14:textFill>
            <w14:solidFill>
              <w14:schemeClr w14:val="tx1"/>
            </w14:solidFill>
          </w14:textFill>
        </w:rPr>
        <w:t>（1）危险废物存储间地面已采取防渗措施，并进行水泥硬化，并设置导流槽及防溢流围堰；</w:t>
      </w:r>
      <w:r>
        <w:rPr>
          <w:rFonts w:hint="eastAsia"/>
          <w:color w:val="000000" w:themeColor="text1"/>
          <w14:textFill>
            <w14:solidFill>
              <w14:schemeClr w14:val="tx1"/>
            </w14:solidFill>
          </w14:textFill>
        </w:rPr>
        <w:t>本次评价要求</w:t>
      </w:r>
      <w:r>
        <w:rPr>
          <w:rFonts w:hint="eastAsia"/>
          <w:color w:val="000000" w:themeColor="text1"/>
          <w:lang w:eastAsia="zh-CN"/>
          <w14:textFill>
            <w14:solidFill>
              <w14:schemeClr w14:val="tx1"/>
            </w14:solidFill>
          </w14:textFill>
        </w:rPr>
        <w:t>危废贮存点</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采取防盗措施，并由专职人员进行管理，满足《危险废物贮存污染控制标准》（GB18597-20</w:t>
      </w:r>
      <w:r>
        <w:rPr>
          <w:rFonts w:hint="eastAsia"/>
          <w:color w:val="000000" w:themeColor="text1"/>
          <w:lang w:val="en-US" w:eastAsia="zh-CN"/>
          <w14:textFill>
            <w14:solidFill>
              <w14:schemeClr w14:val="tx1"/>
            </w14:solidFill>
          </w14:textFill>
        </w:rPr>
        <w:t>23</w:t>
      </w:r>
      <w:r>
        <w:rPr>
          <w:color w:val="000000" w:themeColor="text1"/>
          <w14:textFill>
            <w14:solidFill>
              <w14:schemeClr w14:val="tx1"/>
            </w14:solidFill>
          </w14:textFill>
        </w:rPr>
        <w:t>）。</w:t>
      </w:r>
    </w:p>
    <w:p w14:paraId="1577AB13">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）建立事故管理和应急计划，设立厂内急救指挥小组，并和当地有关化学事故急救部门建立正常的定期联系。</w:t>
      </w:r>
    </w:p>
    <w:p w14:paraId="598843D0">
      <w:pPr>
        <w:pStyle w:val="494"/>
        <w:spacing w:line="48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备有一定数量灭火器材并保持有效状态以及防毒面具等气防设备。</w:t>
      </w:r>
    </w:p>
    <w:p w14:paraId="7FD69411">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）加强设备（包括各种安全仪表）的维修、保养，杜绝由于设备劳损、折旧带来的事故隐患。</w:t>
      </w:r>
    </w:p>
    <w:p w14:paraId="34CA146F">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）加强对职工的教育培训，实行上岗证制度，增强职工风险意识，提高事故自救能力，制定和强化各种安全管理、安全生产的规程，减少人为风险事故（如误操作）的发生。</w:t>
      </w:r>
    </w:p>
    <w:p w14:paraId="74AA5609">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5.3.9.</w:t>
      </w:r>
      <w:r>
        <w:rPr>
          <w:rFonts w:hint="eastAsia"/>
          <w:b/>
          <w:bCs/>
          <w:color w:val="000000" w:themeColor="text1"/>
          <w:sz w:val="24"/>
          <w:szCs w:val="28"/>
          <w14:textFill>
            <w14:solidFill>
              <w14:schemeClr w14:val="tx1"/>
            </w14:solidFill>
          </w14:textFill>
        </w:rPr>
        <w:t>5</w:t>
      </w:r>
      <w:r>
        <w:rPr>
          <w:rFonts w:hint="eastAsia"/>
          <w:b/>
          <w:bCs/>
          <w:color w:val="000000" w:themeColor="text1"/>
          <w:sz w:val="24"/>
          <w:szCs w:val="24"/>
          <w14:textFill>
            <w14:solidFill>
              <w14:schemeClr w14:val="tx1"/>
            </w14:solidFill>
          </w14:textFill>
        </w:rPr>
        <w:t>废矿物油</w:t>
      </w:r>
      <w:r>
        <w:rPr>
          <w:rFonts w:hint="eastAsia"/>
          <w:b/>
          <w:bCs/>
          <w:color w:val="000000" w:themeColor="text1"/>
          <w:sz w:val="24"/>
          <w:szCs w:val="28"/>
          <w14:textFill>
            <w14:solidFill>
              <w14:schemeClr w14:val="tx1"/>
            </w14:solidFill>
          </w14:textFill>
        </w:rPr>
        <w:t>暂存</w:t>
      </w:r>
      <w:r>
        <w:rPr>
          <w:b/>
          <w:bCs/>
          <w:color w:val="000000" w:themeColor="text1"/>
          <w:sz w:val="24"/>
          <w:szCs w:val="28"/>
          <w14:textFill>
            <w14:solidFill>
              <w14:schemeClr w14:val="tx1"/>
            </w14:solidFill>
          </w14:textFill>
        </w:rPr>
        <w:t>污染防控和管理措施</w:t>
      </w:r>
    </w:p>
    <w:p w14:paraId="0E79DC22">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（1）危险废物的产生与收集</w:t>
      </w:r>
    </w:p>
    <w:p w14:paraId="5A2BC903">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危险废物在收集时，按《危险废物收集贮存运输技术规范》（HJ2025-2012）要求，根据危险废物的性质和形态，采用相应材质、容器进行安全包装，并在包装的明显位置附上危险废物标签。通过严格检查，严防在装载、搬迁或运输中出现渗漏、溢出、抛洒或挥发等不利情况。危险废物的收集过程应该以无害化的方式运行，收集过程采取以下防治措施，避免可能引起人身和环境危害事故的发生：</w:t>
      </w:r>
    </w:p>
    <w:p w14:paraId="651F022B">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①危险废物收集和运输人员应配备必要的个人防护装备，如手套、防护镜、防护服、防毒面具或口罩等，防止收集和运输过程对人体健康可能存在的潜在影响；</w:t>
      </w:r>
    </w:p>
    <w:p w14:paraId="7DCA374A">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②危险废物运输前，应进行合理包装，防止运输过程出现泄漏；</w:t>
      </w:r>
    </w:p>
    <w:p w14:paraId="68646115">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③</w:t>
      </w:r>
      <w:r>
        <w:rPr>
          <w:rFonts w:hint="eastAsia"/>
          <w:color w:val="000000" w:themeColor="text1"/>
          <w:sz w:val="24"/>
          <w:szCs w:val="24"/>
          <w14:textFill>
            <w14:solidFill>
              <w14:schemeClr w14:val="tx1"/>
            </w14:solidFill>
          </w14:textFill>
        </w:rPr>
        <w:t>废矿物油</w:t>
      </w:r>
      <w:r>
        <w:rPr>
          <w:color w:val="000000" w:themeColor="text1"/>
          <w:sz w:val="24"/>
          <w:szCs w:val="32"/>
          <w14:textFill>
            <w14:solidFill>
              <w14:schemeClr w14:val="tx1"/>
            </w14:solidFill>
          </w14:textFill>
        </w:rPr>
        <w:t>有渗漏或泄漏的，其渗漏或泄漏液应储存在密闭的、与危废相容的容器中。</w:t>
      </w:r>
    </w:p>
    <w:p w14:paraId="6619D2D8">
      <w:pPr>
        <w:pStyle w:val="494"/>
        <w:spacing w:line="480" w:lineRule="exact"/>
        <w:ind w:firstLine="480"/>
        <w:rPr>
          <w:color w:val="000000" w:themeColor="text1"/>
          <w14:textFill>
            <w14:solidFill>
              <w14:schemeClr w14:val="tx1"/>
            </w14:solidFill>
          </w14:textFill>
        </w:rPr>
      </w:pPr>
      <w:r>
        <w:rPr>
          <w:color w:val="000000" w:themeColor="text1"/>
          <w:szCs w:val="32"/>
          <w14:textFill>
            <w14:solidFill>
              <w14:schemeClr w14:val="tx1"/>
            </w14:solidFill>
          </w14:textFill>
        </w:rPr>
        <w:t>危废在堆存期间必须严格按照《危险废物贮存污染控制标准》（GB18597-20</w:t>
      </w:r>
      <w:r>
        <w:rPr>
          <w:rFonts w:hint="eastAsia"/>
          <w:color w:val="000000" w:themeColor="text1"/>
          <w:szCs w:val="32"/>
          <w:lang w:val="en-US" w:eastAsia="zh-CN"/>
          <w14:textFill>
            <w14:solidFill>
              <w14:schemeClr w14:val="tx1"/>
            </w14:solidFill>
          </w14:textFill>
        </w:rPr>
        <w:t>23</w:t>
      </w:r>
      <w:r>
        <w:rPr>
          <w:color w:val="000000" w:themeColor="text1"/>
          <w:szCs w:val="32"/>
          <w14:textFill>
            <w14:solidFill>
              <w14:schemeClr w14:val="tx1"/>
            </w14:solidFill>
          </w14:textFill>
        </w:rPr>
        <w:t>）有关规定执行，将危险废物通过专用容器分类收集，贴上危险废物的标签，于项目所设置的</w:t>
      </w:r>
      <w:r>
        <w:rPr>
          <w:rFonts w:hint="eastAsia"/>
          <w:color w:val="000000" w:themeColor="text1"/>
          <w:szCs w:val="32"/>
          <w:lang w:val="en-US" w:eastAsia="zh-CN"/>
          <w14:textFill>
            <w14:solidFill>
              <w14:schemeClr w14:val="tx1"/>
            </w14:solidFill>
          </w14:textFill>
        </w:rPr>
        <w:t>危废贮存点</w:t>
      </w:r>
      <w:r>
        <w:rPr>
          <w:color w:val="000000" w:themeColor="text1"/>
          <w:szCs w:val="32"/>
          <w14:textFill>
            <w14:solidFill>
              <w14:schemeClr w14:val="tx1"/>
            </w14:solidFill>
          </w14:textFill>
        </w:rPr>
        <w:t>内独立存放。危险废物收集容器材质和衬里必须与危险废物相容，危废应填写《危险废弃物贮存环节记录表》，严格按照《危险废物贮存污染控制标准》（GB18597-20</w:t>
      </w:r>
      <w:r>
        <w:rPr>
          <w:rFonts w:hint="eastAsia"/>
          <w:color w:val="000000" w:themeColor="text1"/>
          <w:szCs w:val="32"/>
          <w:lang w:val="en-US" w:eastAsia="zh-CN"/>
          <w14:textFill>
            <w14:solidFill>
              <w14:schemeClr w14:val="tx1"/>
            </w14:solidFill>
          </w14:textFill>
        </w:rPr>
        <w:t>23</w:t>
      </w:r>
      <w:r>
        <w:rPr>
          <w:color w:val="000000" w:themeColor="text1"/>
          <w:szCs w:val="32"/>
          <w14:textFill>
            <w14:solidFill>
              <w14:schemeClr w14:val="tx1"/>
            </w14:solidFill>
          </w14:textFill>
        </w:rPr>
        <w:t>）中要求执行。按照危险废物特性分类进行收集，按种类分别存放。</w:t>
      </w:r>
    </w:p>
    <w:p w14:paraId="3480E7C3">
      <w:pPr>
        <w:pStyle w:val="494"/>
        <w:spacing w:line="48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（2）危险废物的贮存</w:t>
      </w:r>
    </w:p>
    <w:p w14:paraId="2042746E">
      <w:pPr>
        <w:tabs>
          <w:tab w:val="left" w:pos="195"/>
        </w:tabs>
        <w:spacing w:line="360" w:lineRule="auto"/>
        <w:ind w:firstLine="480" w:firstLineChars="200"/>
        <w:rPr>
          <w:rFonts w:hint="eastAsia"/>
          <w:color w:val="000000" w:themeColor="text1"/>
          <w:sz w:val="24"/>
          <w:szCs w:val="32"/>
          <w14:textFill>
            <w14:solidFill>
              <w14:schemeClr w14:val="tx1"/>
            </w14:solidFill>
          </w14:textFill>
        </w:rPr>
      </w:pPr>
      <w:r>
        <w:rPr>
          <w:rFonts w:hint="eastAsia" w:ascii="宋体" w:hAnsi="宋体" w:cs="宋体"/>
          <w:color w:val="000000" w:themeColor="text1"/>
          <w:sz w:val="24"/>
          <w:szCs w:val="32"/>
          <w14:textFill>
            <w14:solidFill>
              <w14:schemeClr w14:val="tx1"/>
            </w14:solidFill>
          </w14:textFill>
        </w:rPr>
        <w:t>①</w:t>
      </w:r>
      <w:r>
        <w:rPr>
          <w:color w:val="000000" w:themeColor="text1"/>
          <w:sz w:val="24"/>
          <w:szCs w:val="32"/>
          <w14:textFill>
            <w14:solidFill>
              <w14:schemeClr w14:val="tx1"/>
            </w14:solidFill>
          </w14:textFill>
        </w:rPr>
        <w:t>危险废物单独分类收集、存放管理。</w:t>
      </w:r>
      <w:r>
        <w:rPr>
          <w:rFonts w:hint="eastAsia"/>
          <w:color w:val="000000" w:themeColor="text1"/>
          <w:sz w:val="24"/>
          <w:szCs w:val="24"/>
          <w14:textFill>
            <w14:solidFill>
              <w14:schemeClr w14:val="tx1"/>
            </w14:solidFill>
          </w14:textFill>
        </w:rPr>
        <w:t>废矿物油</w:t>
      </w:r>
      <w:r>
        <w:rPr>
          <w:color w:val="000000" w:themeColor="text1"/>
          <w:sz w:val="24"/>
          <w:szCs w:val="32"/>
          <w14:textFill>
            <w14:solidFill>
              <w14:schemeClr w14:val="tx1"/>
            </w14:solidFill>
          </w14:textFill>
        </w:rPr>
        <w:t>用专用标准铁桶贮存；对危险废物的容器或包装物以及收集、贮存、运输危险废物的设施、场所，必须设置危险废物醒目的警示标志。危险废物盛装容器上粘贴清晰易辨的标签，储罐上应粘贴危险废物标识标签，并注明危险废物的来源、数量等</w:t>
      </w:r>
      <w:r>
        <w:rPr>
          <w:rFonts w:hint="eastAsia"/>
          <w:color w:val="000000" w:themeColor="text1"/>
          <w:sz w:val="24"/>
          <w:szCs w:val="32"/>
          <w14:textFill>
            <w14:solidFill>
              <w14:schemeClr w14:val="tx1"/>
            </w14:solidFill>
          </w14:textFill>
        </w:rPr>
        <w:t>。</w:t>
      </w:r>
    </w:p>
    <w:p w14:paraId="01F192A8">
      <w:pPr>
        <w:tabs>
          <w:tab w:val="left" w:pos="195"/>
        </w:tabs>
        <w:spacing w:line="360" w:lineRule="auto"/>
        <w:ind w:firstLine="480" w:firstLineChars="200"/>
        <w:rPr>
          <w:color w:val="000000" w:themeColor="text1"/>
          <w:sz w:val="24"/>
          <w:szCs w:val="32"/>
          <w14:textFill>
            <w14:solidFill>
              <w14:schemeClr w14:val="tx1"/>
            </w14:solidFill>
          </w14:textFill>
        </w:rPr>
      </w:pPr>
      <w:r>
        <w:rPr>
          <w:rFonts w:hint="eastAsia" w:ascii="宋体" w:hAnsi="宋体" w:cs="宋体"/>
          <w:color w:val="000000" w:themeColor="text1"/>
          <w:sz w:val="24"/>
          <w:szCs w:val="32"/>
          <w14:textFill>
            <w14:solidFill>
              <w14:schemeClr w14:val="tx1"/>
            </w14:solidFill>
          </w14:textFill>
        </w:rPr>
        <w:t>②</w:t>
      </w:r>
      <w:r>
        <w:rPr>
          <w:color w:val="000000" w:themeColor="text1"/>
          <w:sz w:val="24"/>
          <w:szCs w:val="32"/>
          <w14:textFill>
            <w14:solidFill>
              <w14:schemeClr w14:val="tx1"/>
            </w14:solidFill>
          </w14:textFill>
        </w:rPr>
        <w:t>对危险废物的出入流动做好记录；</w:t>
      </w:r>
    </w:p>
    <w:p w14:paraId="56A2F9C4">
      <w:pPr>
        <w:tabs>
          <w:tab w:val="left" w:pos="195"/>
        </w:tabs>
        <w:spacing w:line="360" w:lineRule="auto"/>
        <w:ind w:firstLine="480" w:firstLineChars="200"/>
        <w:rPr>
          <w:color w:val="000000" w:themeColor="text1"/>
          <w:sz w:val="24"/>
          <w:szCs w:val="32"/>
          <w14:textFill>
            <w14:solidFill>
              <w14:schemeClr w14:val="tx1"/>
            </w14:solidFill>
          </w14:textFill>
        </w:rPr>
      </w:pPr>
      <w:r>
        <w:rPr>
          <w:rFonts w:hint="eastAsia" w:ascii="宋体" w:hAnsi="宋体" w:cs="宋体"/>
          <w:color w:val="000000" w:themeColor="text1"/>
          <w:sz w:val="24"/>
          <w:szCs w:val="32"/>
          <w14:textFill>
            <w14:solidFill>
              <w14:schemeClr w14:val="tx1"/>
            </w14:solidFill>
          </w14:textFill>
        </w:rPr>
        <w:t>③</w:t>
      </w:r>
      <w:r>
        <w:rPr>
          <w:color w:val="000000" w:themeColor="text1"/>
          <w:sz w:val="24"/>
          <w:szCs w:val="32"/>
          <w14:textFill>
            <w14:solidFill>
              <w14:schemeClr w14:val="tx1"/>
            </w14:solidFill>
          </w14:textFill>
        </w:rPr>
        <w:t>危险废物容器之间留有间隔和搬运通道；</w:t>
      </w:r>
    </w:p>
    <w:p w14:paraId="603C292F">
      <w:pPr>
        <w:tabs>
          <w:tab w:val="left" w:pos="195"/>
        </w:tabs>
        <w:spacing w:line="360" w:lineRule="auto"/>
        <w:ind w:firstLine="480" w:firstLineChars="200"/>
        <w:rPr>
          <w:color w:val="000000" w:themeColor="text1"/>
          <w:sz w:val="24"/>
          <w:szCs w:val="32"/>
          <w14:textFill>
            <w14:solidFill>
              <w14:schemeClr w14:val="tx1"/>
            </w14:solidFill>
          </w14:textFill>
        </w:rPr>
      </w:pPr>
      <w:r>
        <w:rPr>
          <w:rFonts w:hint="eastAsia" w:ascii="宋体" w:hAnsi="宋体" w:cs="宋体"/>
          <w:color w:val="000000" w:themeColor="text1"/>
          <w:sz w:val="24"/>
          <w:szCs w:val="32"/>
          <w14:textFill>
            <w14:solidFill>
              <w14:schemeClr w14:val="tx1"/>
            </w14:solidFill>
          </w14:textFill>
        </w:rPr>
        <w:t>④</w:t>
      </w:r>
      <w:r>
        <w:rPr>
          <w:color w:val="000000" w:themeColor="text1"/>
          <w:sz w:val="24"/>
          <w:szCs w:val="32"/>
          <w14:textFill>
            <w14:solidFill>
              <w14:schemeClr w14:val="tx1"/>
            </w14:solidFill>
          </w14:textFill>
        </w:rPr>
        <w:t>配备消防设备和报警装置。</w:t>
      </w:r>
    </w:p>
    <w:p w14:paraId="6BC70725">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（3）危险废物的转移及运输</w:t>
      </w:r>
    </w:p>
    <w:p w14:paraId="4429BADA">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厂内转移均在</w:t>
      </w:r>
      <w:r>
        <w:rPr>
          <w:rFonts w:hint="eastAsia"/>
          <w:color w:val="000000" w:themeColor="text1"/>
          <w:sz w:val="24"/>
          <w:szCs w:val="32"/>
          <w:lang w:eastAsia="zh-CN"/>
          <w14:textFill>
            <w14:solidFill>
              <w14:schemeClr w14:val="tx1"/>
            </w14:solidFill>
          </w14:textFill>
        </w:rPr>
        <w:t>危废贮存点</w:t>
      </w:r>
      <w:r>
        <w:rPr>
          <w:color w:val="000000" w:themeColor="text1"/>
          <w:sz w:val="24"/>
          <w:szCs w:val="32"/>
          <w14:textFill>
            <w14:solidFill>
              <w14:schemeClr w14:val="tx1"/>
            </w14:solidFill>
          </w14:textFill>
        </w:rPr>
        <w:t>内部进行，设有围堰、</w:t>
      </w:r>
      <w:r>
        <w:rPr>
          <w:rFonts w:hint="eastAsia"/>
          <w:color w:val="000000" w:themeColor="text1"/>
          <w:sz w:val="24"/>
          <w:szCs w:val="32"/>
          <w:lang w:val="en-US" w:eastAsia="zh-CN"/>
          <w14:textFill>
            <w14:solidFill>
              <w14:schemeClr w14:val="tx1"/>
            </w14:solidFill>
          </w14:textFill>
        </w:rPr>
        <w:t>收集池</w:t>
      </w:r>
      <w:r>
        <w:rPr>
          <w:color w:val="000000" w:themeColor="text1"/>
          <w:sz w:val="24"/>
          <w:szCs w:val="32"/>
          <w14:textFill>
            <w14:solidFill>
              <w14:schemeClr w14:val="tx1"/>
            </w14:solidFill>
          </w14:textFill>
        </w:rPr>
        <w:t>等可收集</w:t>
      </w:r>
      <w:r>
        <w:rPr>
          <w:rFonts w:hint="eastAsia"/>
          <w:color w:val="000000" w:themeColor="text1"/>
          <w:sz w:val="24"/>
          <w:szCs w:val="32"/>
          <w:lang w:eastAsia="zh-CN"/>
          <w14:textFill>
            <w14:solidFill>
              <w14:schemeClr w14:val="tx1"/>
            </w14:solidFill>
          </w14:textFill>
        </w:rPr>
        <w:t>泄漏</w:t>
      </w:r>
      <w:r>
        <w:rPr>
          <w:color w:val="000000" w:themeColor="text1"/>
          <w:sz w:val="24"/>
          <w:szCs w:val="32"/>
          <w14:textFill>
            <w14:solidFill>
              <w14:schemeClr w14:val="tx1"/>
            </w14:solidFill>
          </w14:textFill>
        </w:rPr>
        <w:t>的液态危险废物，</w:t>
      </w:r>
      <w:r>
        <w:rPr>
          <w:rFonts w:hint="eastAsia"/>
          <w:color w:val="000000" w:themeColor="text1"/>
          <w:sz w:val="24"/>
          <w:szCs w:val="32"/>
          <w:lang w:eastAsia="zh-CN"/>
          <w14:textFill>
            <w14:solidFill>
              <w14:schemeClr w14:val="tx1"/>
            </w14:solidFill>
          </w14:textFill>
        </w:rPr>
        <w:t>厂</w:t>
      </w:r>
      <w:r>
        <w:rPr>
          <w:color w:val="000000" w:themeColor="text1"/>
          <w:sz w:val="24"/>
          <w:szCs w:val="32"/>
          <w14:textFill>
            <w14:solidFill>
              <w14:schemeClr w14:val="tx1"/>
            </w14:solidFill>
          </w14:textFill>
        </w:rPr>
        <w:t>内转移运输过程对环境影响不大。危险废物自暂存间外运至有危废处置资质的单位进行处置，整个运输过程由具备危险废物运输资质的运输单位承担，危废转运过程对环境影响不大。</w:t>
      </w:r>
    </w:p>
    <w:p w14:paraId="4E90812B">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危险废物转移严格按照《危险废物收集贮存运输技术规范》（HJ2025-2012）及《危险废物转移管理办法》（部令第23号）执行。危险废物厂区内部转运应综合考虑厂区情况避开办公区，采用专用的工具，内部转运结束后应对转运路线进行检查和清理确保无危险废物遗失在转运路线并进行记录。危险废物公路运输应按照《道路危险货物运输管理规定》（</w:t>
      </w:r>
      <w:r>
        <w:rPr>
          <w:rFonts w:hint="eastAsia"/>
          <w:color w:val="000000" w:themeColor="text1"/>
          <w:sz w:val="24"/>
          <w:szCs w:val="32"/>
          <w:lang w:val="en-US" w:eastAsia="zh-CN"/>
          <w14:textFill>
            <w14:solidFill>
              <w14:schemeClr w14:val="tx1"/>
            </w14:solidFill>
          </w14:textFill>
        </w:rPr>
        <w:t>交通运输部</w:t>
      </w:r>
      <w:r>
        <w:rPr>
          <w:color w:val="000000" w:themeColor="text1"/>
          <w:sz w:val="24"/>
          <w:szCs w:val="32"/>
          <w14:textFill>
            <w14:solidFill>
              <w14:schemeClr w14:val="tx1"/>
            </w14:solidFill>
          </w14:textFill>
        </w:rPr>
        <w:t>令〔2016年〕第36号）执行。</w:t>
      </w:r>
    </w:p>
    <w:p w14:paraId="348B9517">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对于危险废物的运输要求如下：</w:t>
      </w:r>
    </w:p>
    <w:p w14:paraId="17E8E7AD">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①运输危险废物的运输车辆应按《道路运输危险货物车辆标志》（GB13392-2005）的规定悬挂相应标志。</w:t>
      </w:r>
    </w:p>
    <w:p w14:paraId="5AB17CBB">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②专用车辆应当配备符合有关国家标准以及与所载运的危险货物相适应的应急处理器材和安全防护设备。</w:t>
      </w:r>
    </w:p>
    <w:p w14:paraId="308AAF84">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③运输车辆在公路上行驶应持有通行证。其上应</w:t>
      </w:r>
      <w:r>
        <w:rPr>
          <w:rFonts w:hint="eastAsia"/>
          <w:color w:val="000000" w:themeColor="text1"/>
          <w:sz w:val="24"/>
          <w:szCs w:val="32"/>
          <w:lang w:eastAsia="zh-CN"/>
          <w14:textFill>
            <w14:solidFill>
              <w14:schemeClr w14:val="tx1"/>
            </w14:solidFill>
          </w14:textFill>
        </w:rPr>
        <w:t>注明</w:t>
      </w:r>
      <w:r>
        <w:rPr>
          <w:color w:val="000000" w:themeColor="text1"/>
          <w:sz w:val="24"/>
          <w:szCs w:val="32"/>
          <w14:textFill>
            <w14:solidFill>
              <w14:schemeClr w14:val="tx1"/>
            </w14:solidFill>
          </w14:textFill>
        </w:rPr>
        <w:t>废物的来源、性质、运往地点，必要时须有单位人员负责押运工作。</w:t>
      </w:r>
    </w:p>
    <w:p w14:paraId="2FD1F8FD">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④运输公司应制定详细的运输方案及路线，并制定事故应急预案，配备事故应急及个人防护设备，以保证在收集、运输过程中发生事故时能有效地减少对环境的污染。</w:t>
      </w:r>
    </w:p>
    <w:p w14:paraId="435056A3">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⑤运输时应采取有效的包装措施，以防止有害成分的泄漏污染。</w:t>
      </w:r>
    </w:p>
    <w:p w14:paraId="7CDAE5F5">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⑥运输车辆驾驶员和押运人员需持有“道路危险货物运输资格证”，必须经过危险废物和应急救援方面的培训，包括防火、防泄漏以及应急联络等。</w:t>
      </w:r>
    </w:p>
    <w:p w14:paraId="030289A7">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⑦危险废物禁止混入非危险废物中贮存，禁止与乘客在同一运输工具上载运。</w:t>
      </w:r>
    </w:p>
    <w:p w14:paraId="2D0A36E2">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⑧运输路线尽量避开特殊敏感区。</w:t>
      </w:r>
    </w:p>
    <w:p w14:paraId="658B575E">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（4）联单制度</w:t>
      </w:r>
    </w:p>
    <w:p w14:paraId="7CD25DEA">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建设单位必须建立危险废物转移联单制度，收集贮存的危险废物应严格按照《危险废物转移管理办法》的有关要求管理，危险废物转移程序如下：</w:t>
      </w:r>
    </w:p>
    <w:p w14:paraId="319AD390">
      <w:pPr>
        <w:tabs>
          <w:tab w:val="left" w:pos="195"/>
        </w:tabs>
        <w:spacing w:line="360" w:lineRule="auto"/>
        <w:ind w:firstLine="480" w:firstLineChars="200"/>
        <w:rPr>
          <w:rFonts w:hint="eastAsia"/>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①危险废物转移联单应当根据危险废物管理计划中填报的危险废物转移等备案信息填写、运行</w:t>
      </w:r>
      <w:r>
        <w:rPr>
          <w:rFonts w:hint="eastAsia"/>
          <w:color w:val="000000" w:themeColor="text1"/>
          <w:sz w:val="24"/>
          <w:szCs w:val="32"/>
          <w14:textFill>
            <w14:solidFill>
              <w14:schemeClr w14:val="tx1"/>
            </w14:solidFill>
          </w14:textFill>
        </w:rPr>
        <w:t>。</w:t>
      </w:r>
    </w:p>
    <w:p w14:paraId="778A36CF">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②采用联运方式转移危险废物的，前一承运人和后一承运人应当明确运输交接的时间和地点。后一承运人应当核实危险废物转移联单确定的移出人信息、前一承运人信息及危险废物相关信息。</w:t>
      </w:r>
    </w:p>
    <w:p w14:paraId="6F4602D0">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③移出人每转移一车次同类危险废物，应当填写、运行一份危险废物转移联单；每车次转移多类危险废物的，可以填写、运行一份危险废物转移联单，也可以每一类危险废物填写、运行一份危险废物转移联单。</w:t>
      </w:r>
    </w:p>
    <w:p w14:paraId="242E55EC">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④采用联运方式转移危险废物的，前一承运人和后一承运人应当明确运输交接的时间和地点。后一承运人应当核实危险废物转移联单确定的移出人信息、前一承运人信息及危险废物相关信息。</w:t>
      </w:r>
    </w:p>
    <w:p w14:paraId="0E3B9BCA">
      <w:pPr>
        <w:tabs>
          <w:tab w:val="left" w:pos="195"/>
        </w:tabs>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转移危险废物的，须按照国家有关规定通过国家危险废物信息管理填写危险废物电子转移联单，并向危险废物移出地设区的市级以上地方人民政府</w:t>
      </w:r>
      <w:r>
        <w:rPr>
          <w:rFonts w:hint="eastAsia"/>
          <w:color w:val="000000" w:themeColor="text1"/>
          <w:sz w:val="24"/>
          <w:szCs w:val="32"/>
          <w14:textFill>
            <w14:solidFill>
              <w14:schemeClr w14:val="tx1"/>
            </w14:solidFill>
          </w14:textFill>
        </w:rPr>
        <w:t>生态环境</w:t>
      </w:r>
      <w:r>
        <w:rPr>
          <w:color w:val="000000" w:themeColor="text1"/>
          <w:sz w:val="24"/>
          <w:szCs w:val="32"/>
          <w14:textFill>
            <w14:solidFill>
              <w14:schemeClr w14:val="tx1"/>
            </w14:solidFill>
          </w14:textFill>
        </w:rPr>
        <w:t>行政主管部门提出申请。移出地设区的市级以上地方人民政府</w:t>
      </w:r>
      <w:r>
        <w:rPr>
          <w:rFonts w:hint="eastAsia"/>
          <w:color w:val="000000" w:themeColor="text1"/>
          <w:sz w:val="24"/>
          <w:szCs w:val="32"/>
          <w14:textFill>
            <w14:solidFill>
              <w14:schemeClr w14:val="tx1"/>
            </w14:solidFill>
          </w14:textFill>
        </w:rPr>
        <w:t>生态环境</w:t>
      </w:r>
      <w:r>
        <w:rPr>
          <w:color w:val="000000" w:themeColor="text1"/>
          <w:sz w:val="24"/>
          <w:szCs w:val="32"/>
          <w14:textFill>
            <w14:solidFill>
              <w14:schemeClr w14:val="tx1"/>
            </w14:solidFill>
          </w14:textFill>
        </w:rPr>
        <w:t>行政主管部门应当经</w:t>
      </w:r>
      <w:r>
        <w:rPr>
          <w:rFonts w:hint="eastAsia"/>
          <w:color w:val="000000" w:themeColor="text1"/>
          <w:sz w:val="24"/>
          <w:szCs w:val="32"/>
          <w:lang w:eastAsia="zh-CN"/>
          <w14:textFill>
            <w14:solidFill>
              <w14:schemeClr w14:val="tx1"/>
            </w14:solidFill>
          </w14:textFill>
        </w:rPr>
        <w:t>接收</w:t>
      </w:r>
      <w:r>
        <w:rPr>
          <w:color w:val="000000" w:themeColor="text1"/>
          <w:sz w:val="24"/>
          <w:szCs w:val="32"/>
          <w14:textFill>
            <w14:solidFill>
              <w14:schemeClr w14:val="tx1"/>
            </w14:solidFill>
          </w14:textFill>
        </w:rPr>
        <w:t>地设区的市级以上地方人民政府</w:t>
      </w:r>
      <w:r>
        <w:rPr>
          <w:rFonts w:hint="eastAsia"/>
          <w:color w:val="000000" w:themeColor="text1"/>
          <w:sz w:val="24"/>
          <w:szCs w:val="32"/>
          <w14:textFill>
            <w14:solidFill>
              <w14:schemeClr w14:val="tx1"/>
            </w14:solidFill>
          </w14:textFill>
        </w:rPr>
        <w:t>生态环境</w:t>
      </w:r>
      <w:r>
        <w:rPr>
          <w:color w:val="000000" w:themeColor="text1"/>
          <w:sz w:val="24"/>
          <w:szCs w:val="32"/>
          <w14:textFill>
            <w14:solidFill>
              <w14:schemeClr w14:val="tx1"/>
            </w14:solidFill>
          </w14:textFill>
        </w:rPr>
        <w:t>行政主管部门同意后，方可批准转移该危险废物。未经批准，不得转移。转移危险废物</w:t>
      </w:r>
      <w:r>
        <w:rPr>
          <w:rFonts w:hint="eastAsia"/>
          <w:color w:val="000000" w:themeColor="text1"/>
          <w:sz w:val="24"/>
          <w:szCs w:val="32"/>
          <w:lang w:eastAsia="zh-CN"/>
          <w14:textFill>
            <w14:solidFill>
              <w14:schemeClr w14:val="tx1"/>
            </w14:solidFill>
          </w14:textFill>
        </w:rPr>
        <w:t>途经</w:t>
      </w:r>
      <w:r>
        <w:rPr>
          <w:color w:val="000000" w:themeColor="text1"/>
          <w:sz w:val="24"/>
          <w:szCs w:val="32"/>
          <w14:textFill>
            <w14:solidFill>
              <w14:schemeClr w14:val="tx1"/>
            </w14:solidFill>
          </w14:textFill>
        </w:rPr>
        <w:t>移出地、</w:t>
      </w:r>
      <w:r>
        <w:rPr>
          <w:rFonts w:hint="eastAsia"/>
          <w:color w:val="000000" w:themeColor="text1"/>
          <w:sz w:val="24"/>
          <w:szCs w:val="32"/>
          <w:lang w:eastAsia="zh-CN"/>
          <w14:textFill>
            <w14:solidFill>
              <w14:schemeClr w14:val="tx1"/>
            </w14:solidFill>
          </w14:textFill>
        </w:rPr>
        <w:t>接收</w:t>
      </w:r>
      <w:r>
        <w:rPr>
          <w:color w:val="000000" w:themeColor="text1"/>
          <w:sz w:val="24"/>
          <w:szCs w:val="32"/>
          <w14:textFill>
            <w14:solidFill>
              <w14:schemeClr w14:val="tx1"/>
            </w14:solidFill>
          </w14:textFill>
        </w:rPr>
        <w:t>地以外行政区域的，危险废物移出地设区的市级以上地方人民政府</w:t>
      </w:r>
      <w:r>
        <w:rPr>
          <w:rFonts w:hint="eastAsia"/>
          <w:color w:val="000000" w:themeColor="text1"/>
          <w:sz w:val="24"/>
          <w:szCs w:val="32"/>
          <w14:textFill>
            <w14:solidFill>
              <w14:schemeClr w14:val="tx1"/>
            </w14:solidFill>
          </w14:textFill>
        </w:rPr>
        <w:t>生态环境</w:t>
      </w:r>
      <w:r>
        <w:rPr>
          <w:color w:val="000000" w:themeColor="text1"/>
          <w:sz w:val="24"/>
          <w:szCs w:val="32"/>
          <w14:textFill>
            <w14:solidFill>
              <w14:schemeClr w14:val="tx1"/>
            </w14:solidFill>
          </w14:textFill>
        </w:rPr>
        <w:t>行政主管部门应当及时通知沿途经过的设区的市级以上地方人民政府</w:t>
      </w:r>
      <w:r>
        <w:rPr>
          <w:rFonts w:hint="eastAsia"/>
          <w:color w:val="000000" w:themeColor="text1"/>
          <w:sz w:val="24"/>
          <w:szCs w:val="32"/>
          <w14:textFill>
            <w14:solidFill>
              <w14:schemeClr w14:val="tx1"/>
            </w14:solidFill>
          </w14:textFill>
        </w:rPr>
        <w:t>生态环境</w:t>
      </w:r>
      <w:r>
        <w:rPr>
          <w:color w:val="000000" w:themeColor="text1"/>
          <w:sz w:val="24"/>
          <w:szCs w:val="32"/>
          <w14:textFill>
            <w14:solidFill>
              <w14:schemeClr w14:val="tx1"/>
            </w14:solidFill>
          </w14:textFill>
        </w:rPr>
        <w:t>行政主管部门。</w:t>
      </w:r>
    </w:p>
    <w:p w14:paraId="0A52BE5E">
      <w:pPr>
        <w:widowControl/>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（5）委托处置</w:t>
      </w:r>
    </w:p>
    <w:p w14:paraId="6ACFEC49">
      <w:pPr>
        <w:widowControl/>
        <w:spacing w:line="360" w:lineRule="auto"/>
        <w:ind w:firstLine="480" w:firstLineChars="200"/>
        <w:rPr>
          <w:color w:val="000000" w:themeColor="text1"/>
          <w:sz w:val="24"/>
          <w:szCs w:val="32"/>
          <w14:textFill>
            <w14:solidFill>
              <w14:schemeClr w14:val="tx1"/>
            </w14:solidFill>
          </w14:textFill>
        </w:rPr>
      </w:pPr>
      <w:r>
        <w:rPr>
          <w:rFonts w:hint="eastAsia"/>
          <w:color w:val="000000" w:themeColor="text1"/>
          <w:sz w:val="24"/>
          <w:szCs w:val="32"/>
          <w:lang w:eastAsia="zh-CN"/>
          <w14:textFill>
            <w14:solidFill>
              <w14:schemeClr w14:val="tx1"/>
            </w14:solidFill>
          </w14:textFill>
        </w:rPr>
        <w:t>危废贮存点</w:t>
      </w:r>
      <w:r>
        <w:rPr>
          <w:color w:val="000000" w:themeColor="text1"/>
          <w:sz w:val="24"/>
          <w:szCs w:val="32"/>
          <w14:textFill>
            <w14:solidFill>
              <w14:schemeClr w14:val="tx1"/>
            </w14:solidFill>
          </w14:textFill>
        </w:rPr>
        <w:t>贮存的危险废物由有危废处置资质的单位进行处置，危废处置单位使用专用车辆至厂内收集、转移危险废物，建设单位不自行外运、转移。危险废物委托处置后，对环境影响不大。</w:t>
      </w:r>
    </w:p>
    <w:p w14:paraId="1390B98D">
      <w:pPr>
        <w:widowControl/>
        <w:spacing w:line="480" w:lineRule="exact"/>
        <w:ind w:firstLine="480" w:firstLineChars="200"/>
        <w:jc w:val="left"/>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（6）管理措施</w:t>
      </w:r>
    </w:p>
    <w:p w14:paraId="07D94562">
      <w:pPr>
        <w:widowControl/>
        <w:spacing w:line="480" w:lineRule="exact"/>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企业应结合自身实际，建立危险废物管理台账，规范危险废物情况的记录，记录上须注明危险废物的种类、来源、数量、性质、产生环节、利用处置和包装容器的类别、入库日期、存放库位、废物出库日期及接收单位名称，确保厂内所有危险废物流向清楚规范。</w:t>
      </w:r>
    </w:p>
    <w:p w14:paraId="47A48023">
      <w:pPr>
        <w:pStyle w:val="494"/>
        <w:spacing w:line="480" w:lineRule="exact"/>
        <w:ind w:firstLine="480"/>
        <w:rPr>
          <w:color w:val="000000" w:themeColor="text1"/>
          <w14:textFill>
            <w14:solidFill>
              <w14:schemeClr w14:val="tx1"/>
            </w14:solidFill>
          </w14:textFill>
        </w:rPr>
      </w:pPr>
      <w:r>
        <w:rPr>
          <w:color w:val="000000" w:themeColor="text1"/>
          <w:szCs w:val="32"/>
          <w14:textFill>
            <w14:solidFill>
              <w14:schemeClr w14:val="tx1"/>
            </w14:solidFill>
          </w14:textFill>
        </w:rPr>
        <w:t>按规定申报危险废物产生、贮存、转移、利用处置等信息，制定和落实危险废物年度管理计划，执行危险废物申报登记制度，并在“固废管理系统”中备案。及时向当地</w:t>
      </w:r>
      <w:r>
        <w:rPr>
          <w:rFonts w:hint="eastAsia"/>
          <w:color w:val="000000" w:themeColor="text1"/>
          <w:szCs w:val="32"/>
          <w14:textFill>
            <w14:solidFill>
              <w14:schemeClr w14:val="tx1"/>
            </w14:solidFill>
          </w14:textFill>
        </w:rPr>
        <w:t>生态环境</w:t>
      </w:r>
      <w:r>
        <w:rPr>
          <w:color w:val="000000" w:themeColor="text1"/>
          <w:szCs w:val="32"/>
          <w14:textFill>
            <w14:solidFill>
              <w14:schemeClr w14:val="tx1"/>
            </w14:solidFill>
          </w14:textFill>
        </w:rPr>
        <w:t>部门申报危险废物种类、产生量、流向、处置等资料，办理临时申报登记手续。严格执行危险废物交换转移审批制度。所有危险废物交换转移向</w:t>
      </w:r>
      <w:r>
        <w:rPr>
          <w:rFonts w:hint="eastAsia"/>
          <w:color w:val="000000" w:themeColor="text1"/>
          <w:szCs w:val="32"/>
          <w14:textFill>
            <w14:solidFill>
              <w14:schemeClr w14:val="tx1"/>
            </w14:solidFill>
          </w14:textFill>
        </w:rPr>
        <w:t>生态环境</w:t>
      </w:r>
      <w:r>
        <w:rPr>
          <w:color w:val="000000" w:themeColor="text1"/>
          <w:szCs w:val="32"/>
          <w14:textFill>
            <w14:solidFill>
              <w14:schemeClr w14:val="tx1"/>
            </w14:solidFill>
          </w14:textFill>
        </w:rPr>
        <w:t>部门提出申请，经</w:t>
      </w:r>
      <w:r>
        <w:rPr>
          <w:rFonts w:hint="eastAsia"/>
          <w:color w:val="000000" w:themeColor="text1"/>
          <w:szCs w:val="32"/>
          <w14:textFill>
            <w14:solidFill>
              <w14:schemeClr w14:val="tx1"/>
            </w14:solidFill>
          </w14:textFill>
        </w:rPr>
        <w:t>生态环境</w:t>
      </w:r>
      <w:r>
        <w:rPr>
          <w:color w:val="000000" w:themeColor="text1"/>
          <w:szCs w:val="32"/>
          <w14:textFill>
            <w14:solidFill>
              <w14:schemeClr w14:val="tx1"/>
            </w14:solidFill>
          </w14:textFill>
        </w:rPr>
        <w:t>部门预审后报上级</w:t>
      </w:r>
      <w:r>
        <w:rPr>
          <w:rFonts w:hint="eastAsia"/>
          <w:color w:val="000000" w:themeColor="text1"/>
          <w:szCs w:val="32"/>
          <w14:textFill>
            <w14:solidFill>
              <w14:schemeClr w14:val="tx1"/>
            </w14:solidFill>
          </w14:textFill>
        </w:rPr>
        <w:t>生态环境</w:t>
      </w:r>
      <w:r>
        <w:rPr>
          <w:color w:val="000000" w:themeColor="text1"/>
          <w:szCs w:val="32"/>
          <w14:textFill>
            <w14:solidFill>
              <w14:schemeClr w14:val="tx1"/>
            </w14:solidFill>
          </w14:textFill>
        </w:rPr>
        <w:t>部门批准。危险废物交换转移前到当地</w:t>
      </w:r>
      <w:r>
        <w:rPr>
          <w:rFonts w:hint="eastAsia"/>
          <w:color w:val="000000" w:themeColor="text1"/>
          <w:szCs w:val="32"/>
          <w14:textFill>
            <w14:solidFill>
              <w14:schemeClr w14:val="tx1"/>
            </w14:solidFill>
          </w14:textFill>
        </w:rPr>
        <w:t>生态环境</w:t>
      </w:r>
      <w:r>
        <w:rPr>
          <w:color w:val="000000" w:themeColor="text1"/>
          <w:szCs w:val="32"/>
          <w14:textFill>
            <w14:solidFill>
              <w14:schemeClr w14:val="tx1"/>
            </w14:solidFill>
          </w14:textFill>
        </w:rPr>
        <w:t>部门网上申请联单。绝不擅自交换、向无危险废物经营许可证单位转移。必须定期对所暂存的危险废物包装容器及暂存设施进行检查，发现破损，应及时采取措施清理更换。</w:t>
      </w:r>
    </w:p>
    <w:p w14:paraId="3528CBAD">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5.3.9.6洪水风险预防措施</w:t>
      </w:r>
      <w:bookmarkEnd w:id="487"/>
    </w:p>
    <w:p w14:paraId="54ED0BF5">
      <w:pPr>
        <w:pStyle w:val="494"/>
        <w:spacing w:line="480" w:lineRule="exact"/>
        <w:ind w:firstLine="480"/>
        <w:rPr>
          <w:color w:val="000000" w:themeColor="text1"/>
          <w14:textFill>
            <w14:solidFill>
              <w14:schemeClr w14:val="tx1"/>
            </w14:solidFill>
          </w14:textFill>
        </w:rPr>
      </w:pPr>
      <w:bookmarkStart w:id="488" w:name="_Toc25580"/>
      <w:bookmarkStart w:id="489" w:name="_Toc417856554"/>
      <w:bookmarkStart w:id="490" w:name="_Toc21936"/>
      <w:bookmarkStart w:id="491" w:name="_Toc387680764"/>
      <w:r>
        <w:rPr>
          <w:color w:val="000000" w:themeColor="text1"/>
          <w14:textFill>
            <w14:solidFill>
              <w14:schemeClr w14:val="tx1"/>
            </w14:solidFill>
          </w14:textFill>
        </w:rPr>
        <w:t>（1）工业场地、废石堆场等所有固定建、构筑物及设施均布置在开采错动范围之外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并且均高出当地最高洪水位1m以上。</w:t>
      </w:r>
    </w:p>
    <w:p w14:paraId="5EC48A2E">
      <w:pPr>
        <w:pStyle w:val="494"/>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工业场地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废石堆场</w:t>
      </w:r>
      <w:r>
        <w:rPr>
          <w:rFonts w:hint="eastAsia"/>
          <w:color w:val="000000" w:themeColor="text1"/>
          <w14:textFill>
            <w14:solidFill>
              <w14:schemeClr w14:val="tx1"/>
            </w14:solidFill>
          </w14:textFill>
        </w:rPr>
        <w:t>上游坡面设截洪沟，将上游汇水面积内的未污染的洪水疏导至</w:t>
      </w:r>
      <w:r>
        <w:rPr>
          <w:rFonts w:hint="eastAsia"/>
          <w:color w:val="000000" w:themeColor="text1"/>
          <w:lang w:val="en-US" w:eastAsia="zh-CN"/>
          <w14:textFill>
            <w14:solidFill>
              <w14:schemeClr w14:val="tx1"/>
            </w14:solidFill>
          </w14:textFill>
        </w:rPr>
        <w:t>周边冲沟</w:t>
      </w:r>
      <w:r>
        <w:rPr>
          <w:rFonts w:hint="eastAsia"/>
          <w:color w:val="000000" w:themeColor="text1"/>
          <w14:textFill>
            <w14:solidFill>
              <w14:schemeClr w14:val="tx1"/>
            </w14:solidFill>
          </w14:textFill>
        </w:rPr>
        <w:t>。</w:t>
      </w:r>
    </w:p>
    <w:p w14:paraId="60BE84C2">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）确保场内排水系统的畅通，在雨季特别是暴雨期应加强对工业场地、废石堆场、</w:t>
      </w:r>
      <w:r>
        <w:rPr>
          <w:rFonts w:hint="eastAsia"/>
          <w:color w:val="000000" w:themeColor="text1"/>
          <w14:textFill>
            <w14:solidFill>
              <w14:schemeClr w14:val="tx1"/>
            </w14:solidFill>
          </w14:textFill>
        </w:rPr>
        <w:t>挡水</w:t>
      </w:r>
      <w:r>
        <w:rPr>
          <w:color w:val="000000" w:themeColor="text1"/>
          <w14:textFill>
            <w14:solidFill>
              <w14:schemeClr w14:val="tx1"/>
            </w14:solidFill>
          </w14:textFill>
        </w:rPr>
        <w:t>坝的巡逻检查，如发现坝体出现裂缝应采取补救措施。</w:t>
      </w:r>
      <w:r>
        <w:rPr>
          <w:rFonts w:hint="eastAsia"/>
          <w:color w:val="000000" w:themeColor="text1"/>
          <w14:textFill>
            <w14:solidFill>
              <w14:schemeClr w14:val="tx1"/>
            </w14:solidFill>
          </w14:textFill>
        </w:rPr>
        <w:t>挡水</w:t>
      </w:r>
      <w:r>
        <w:rPr>
          <w:color w:val="000000" w:themeColor="text1"/>
          <w14:textFill>
            <w14:solidFill>
              <w14:schemeClr w14:val="tx1"/>
            </w14:solidFill>
          </w14:textFill>
        </w:rPr>
        <w:t>坝溃决后应立即采取抢救措施，防止固废冲刷</w:t>
      </w:r>
      <w:r>
        <w:rPr>
          <w:rFonts w:hint="eastAsia"/>
          <w:color w:val="000000" w:themeColor="text1"/>
          <w:lang w:val="en-US" w:eastAsia="zh-CN"/>
          <w14:textFill>
            <w14:solidFill>
              <w14:schemeClr w14:val="tx1"/>
            </w14:solidFill>
          </w14:textFill>
        </w:rPr>
        <w:t>周边区域</w:t>
      </w:r>
      <w:r>
        <w:rPr>
          <w:color w:val="000000" w:themeColor="text1"/>
          <w14:textFill>
            <w14:solidFill>
              <w14:schemeClr w14:val="tx1"/>
            </w14:solidFill>
          </w14:textFill>
        </w:rPr>
        <w:t>，同时配备必需的通信设施，保持与地方政府的联系，如发现坝体开裂等垮坝征兆，应立即组织力量进行抢修和安全加固。</w:t>
      </w:r>
    </w:p>
    <w:p w14:paraId="046AB206">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）组织防洪检查，并编制防洪计划，其工程必须在雨季前竣工。</w:t>
      </w:r>
    </w:p>
    <w:p w14:paraId="2401661B">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）雨季应有专人检查矿区防洪情况，</w:t>
      </w:r>
      <w:r>
        <w:rPr>
          <w:rFonts w:hint="eastAsia"/>
          <w:color w:val="000000" w:themeColor="text1"/>
          <w:lang w:eastAsia="zh-CN"/>
          <w14:textFill>
            <w14:solidFill>
              <w14:schemeClr w14:val="tx1"/>
            </w14:solidFill>
          </w14:textFill>
        </w:rPr>
        <w:t>情况危急</w:t>
      </w:r>
      <w:r>
        <w:rPr>
          <w:color w:val="000000" w:themeColor="text1"/>
          <w14:textFill>
            <w14:solidFill>
              <w14:schemeClr w14:val="tx1"/>
            </w14:solidFill>
          </w14:textFill>
        </w:rPr>
        <w:t>时，必须停产，所有人员必须撤出井下，确保人员安全。</w:t>
      </w:r>
    </w:p>
    <w:p w14:paraId="3A93074F">
      <w:pPr>
        <w:keepNext/>
        <w:keepLines/>
        <w:spacing w:line="480" w:lineRule="exact"/>
        <w:ind w:firstLine="482" w:firstLineChars="200"/>
        <w:outlineLvl w:val="3"/>
        <w:rPr>
          <w:rFonts w:ascii="Times New Roman" w:hAnsi="Times New Roman" w:cs="Times New Roman"/>
          <w:b/>
          <w:bCs/>
          <w:color w:val="000000" w:themeColor="text1"/>
          <w:sz w:val="24"/>
          <w:szCs w:val="28"/>
          <w14:textFill>
            <w14:solidFill>
              <w14:schemeClr w14:val="tx1"/>
            </w14:solidFill>
          </w14:textFill>
        </w:rPr>
      </w:pPr>
      <w:r>
        <w:rPr>
          <w:rFonts w:hint="eastAsia" w:ascii="Times New Roman" w:hAnsi="Times New Roman" w:cs="Times New Roman"/>
          <w:b/>
          <w:bCs/>
          <w:color w:val="000000" w:themeColor="text1"/>
          <w:sz w:val="24"/>
          <w:szCs w:val="28"/>
          <w:lang w:val="en-US" w:eastAsia="zh-CN"/>
          <w14:textFill>
            <w14:solidFill>
              <w14:schemeClr w14:val="tx1"/>
            </w14:solidFill>
          </w14:textFill>
        </w:rPr>
        <w:t>5.3.9.7</w:t>
      </w:r>
      <w:r>
        <w:rPr>
          <w:rFonts w:hint="default" w:ascii="Times New Roman" w:hAnsi="Times New Roman" w:cs="Times New Roman"/>
          <w:b/>
          <w:bCs/>
          <w:color w:val="000000" w:themeColor="text1"/>
          <w:sz w:val="24"/>
          <w:szCs w:val="28"/>
          <w:lang w:val="en-US" w:eastAsia="zh-CN"/>
          <w14:textFill>
            <w14:solidFill>
              <w14:schemeClr w14:val="tx1"/>
            </w14:solidFill>
          </w14:textFill>
        </w:rPr>
        <w:t>废石场滑坡、溃坝防治方案</w:t>
      </w:r>
    </w:p>
    <w:p w14:paraId="1AFC61CB">
      <w:pPr>
        <w:pStyle w:val="494"/>
        <w:spacing w:line="480" w:lineRule="exact"/>
        <w:ind w:firstLine="48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矿山开采期间采取措施增强废石场坡脚稳定性，设计在其下方修建拦渣坝；在其上方修建截水沟。拦渣坝、截水沟的具体设置方案，建议矿方请专业队伍进行</w:t>
      </w:r>
      <w:r>
        <w:rPr>
          <w:rFonts w:hint="eastAsia" w:cs="Times New Roman"/>
          <w:color w:val="000000" w:themeColor="text1"/>
          <w:lang w:eastAsia="zh-CN"/>
          <w14:textFill>
            <w14:solidFill>
              <w14:schemeClr w14:val="tx1"/>
            </w14:solidFill>
          </w14:textFill>
        </w:rPr>
        <w:t>勘察</w:t>
      </w:r>
      <w:r>
        <w:rPr>
          <w:rFonts w:hint="default" w:ascii="Times New Roman" w:hAnsi="Times New Roman" w:cs="Times New Roman"/>
          <w:color w:val="000000" w:themeColor="text1"/>
          <w14:textFill>
            <w14:solidFill>
              <w14:schemeClr w14:val="tx1"/>
            </w14:solidFill>
          </w14:textFill>
        </w:rPr>
        <w:t>、设计、施工，以确保拦石坝、截水沟设计的科学合理、施工质量安全可靠。并且严格控制其堆放坡度在30°之内。闭矿期废石场的废石进行分层（形成台阶状）、压实、平整、覆土、恢复</w:t>
      </w:r>
      <w:r>
        <w:rPr>
          <w:rFonts w:hint="default" w:ascii="Times New Roman" w:hAnsi="Times New Roman" w:cs="Times New Roman"/>
          <w:color w:val="000000" w:themeColor="text1"/>
          <w:lang w:val="en-US" w:eastAsia="zh-CN"/>
          <w14:textFill>
            <w14:solidFill>
              <w14:schemeClr w14:val="tx1"/>
            </w14:solidFill>
          </w14:textFill>
        </w:rPr>
        <w:t>砾幕</w:t>
      </w:r>
      <w:r>
        <w:rPr>
          <w:rFonts w:hint="default" w:ascii="Times New Roman" w:hAnsi="Times New Roman" w:cs="Times New Roman"/>
          <w:color w:val="000000" w:themeColor="text1"/>
          <w14:textFill>
            <w14:solidFill>
              <w14:schemeClr w14:val="tx1"/>
            </w14:solidFill>
          </w14:textFill>
        </w:rPr>
        <w:t>，使其与周围地貌相协调</w:t>
      </w:r>
      <w:r>
        <w:rPr>
          <w:rFonts w:hint="default" w:ascii="Times New Roman" w:hAnsi="Times New Roman" w:cs="Times New Roman"/>
          <w:color w:val="000000" w:themeColor="text1"/>
          <w:lang w:eastAsia="zh-CN"/>
          <w14:textFill>
            <w14:solidFill>
              <w14:schemeClr w14:val="tx1"/>
            </w14:solidFill>
          </w14:textFill>
        </w:rPr>
        <w:t>。</w:t>
      </w:r>
    </w:p>
    <w:p w14:paraId="3734C9C1">
      <w:pPr>
        <w:pStyle w:val="494"/>
        <w:spacing w:line="480" w:lineRule="exact"/>
        <w:ind w:firstLine="480"/>
        <w:rPr>
          <w:rFonts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废石场应修建在边坡稳定境界250m以外，边坡台阶顶面应保持2%的方向坡度，在废石滚落范围内不允许修建道路和建筑物，竖警示牌。</w:t>
      </w:r>
    </w:p>
    <w:p w14:paraId="7747159B">
      <w:pPr>
        <w:pStyle w:val="4"/>
        <w:keepNext w:val="0"/>
        <w:keepLines w:val="0"/>
        <w:spacing w:before="60" w:after="60" w:line="480" w:lineRule="exact"/>
        <w:rPr>
          <w:color w:val="000000" w:themeColor="text1"/>
          <w:spacing w:val="-1"/>
          <w:sz w:val="32"/>
          <w:szCs w:val="30"/>
          <w14:textFill>
            <w14:solidFill>
              <w14:schemeClr w14:val="tx1"/>
            </w14:solidFill>
          </w14:textFill>
        </w:rPr>
      </w:pPr>
      <w:bookmarkStart w:id="492" w:name="_Toc10485"/>
      <w:bookmarkStart w:id="493" w:name="_Toc13598"/>
      <w:bookmarkStart w:id="494" w:name="_Toc20740"/>
      <w:r>
        <w:rPr>
          <w:color w:val="000000" w:themeColor="text1"/>
          <w:spacing w:val="-1"/>
          <w:sz w:val="32"/>
          <w:szCs w:val="30"/>
          <w14:textFill>
            <w14:solidFill>
              <w14:schemeClr w14:val="tx1"/>
            </w14:solidFill>
          </w14:textFill>
        </w:rPr>
        <w:t>5.3.10风险应急预案</w:t>
      </w:r>
      <w:bookmarkEnd w:id="488"/>
      <w:bookmarkEnd w:id="489"/>
      <w:bookmarkEnd w:id="490"/>
      <w:bookmarkEnd w:id="491"/>
      <w:bookmarkEnd w:id="492"/>
      <w:bookmarkEnd w:id="493"/>
      <w:bookmarkEnd w:id="494"/>
    </w:p>
    <w:p w14:paraId="1E335EF1">
      <w:pPr>
        <w:pStyle w:val="494"/>
        <w:spacing w:line="480" w:lineRule="exact"/>
        <w:ind w:firstLine="480"/>
        <w:rPr>
          <w:color w:val="000000" w:themeColor="text1"/>
          <w14:textFill>
            <w14:solidFill>
              <w14:schemeClr w14:val="tx1"/>
            </w14:solidFill>
          </w14:textFill>
        </w:rPr>
      </w:pPr>
      <w:bookmarkStart w:id="495" w:name="_Toc25057"/>
      <w:bookmarkStart w:id="496" w:name="_Toc14721"/>
      <w:r>
        <w:rPr>
          <w:color w:val="000000" w:themeColor="text1"/>
          <w14:textFill>
            <w14:solidFill>
              <w14:schemeClr w14:val="tx1"/>
            </w14:solidFill>
          </w14:textFill>
        </w:rPr>
        <w:t>预防是防止事故发生的根本措施，但一旦发生事故，处置是否得当，关系到事故蔓延的范围，损失大小，因此，也应有应急措施。根据</w:t>
      </w:r>
      <w:r>
        <w:rPr>
          <w:rFonts w:hint="eastAsia"/>
          <w:color w:val="000000" w:themeColor="text1"/>
          <w:sz w:val="24"/>
          <w14:textFill>
            <w14:solidFill>
              <w14:schemeClr w14:val="tx1"/>
            </w14:solidFill>
          </w14:textFill>
        </w:rPr>
        <w:t>本项目</w:t>
      </w:r>
      <w:r>
        <w:rPr>
          <w:color w:val="000000" w:themeColor="text1"/>
          <w14:textFill>
            <w14:solidFill>
              <w14:schemeClr w14:val="tx1"/>
            </w14:solidFill>
          </w14:textFill>
        </w:rPr>
        <w:t>环境风险分析的结果，对于</w:t>
      </w:r>
      <w:r>
        <w:rPr>
          <w:rFonts w:hint="eastAsia"/>
          <w:color w:val="000000" w:themeColor="text1"/>
          <w:sz w:val="24"/>
          <w14:textFill>
            <w14:solidFill>
              <w14:schemeClr w14:val="tx1"/>
            </w14:solidFill>
          </w14:textFill>
        </w:rPr>
        <w:t>本项目</w:t>
      </w:r>
      <w:r>
        <w:rPr>
          <w:color w:val="000000" w:themeColor="text1"/>
          <w14:textFill>
            <w14:solidFill>
              <w14:schemeClr w14:val="tx1"/>
            </w14:solidFill>
          </w14:textFill>
        </w:rPr>
        <w:t>可能造成环境风险的突发性事故制定应急预案纲要，供项目决策人参考。</w:t>
      </w:r>
    </w:p>
    <w:p w14:paraId="38625997">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企业须按照风险应急预案的要求进行企业环境风险的管理。根据《企业事业单位突发环境事件应急预案备案管理办法（试行）》，企业结合环境应急预案实施情况，至少每三年对环境应急预案进行一次回顾性评估</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在工程运行前，完成对突发环境事件应急预案的编制、备案</w:t>
      </w:r>
      <w:r>
        <w:rPr>
          <w:rFonts w:hint="eastAsia"/>
          <w:color w:val="000000" w:themeColor="text1"/>
          <w14:textFill>
            <w14:solidFill>
              <w14:schemeClr w14:val="tx1"/>
            </w14:solidFill>
          </w14:textFill>
        </w:rPr>
        <w:t>。</w:t>
      </w:r>
    </w:p>
    <w:p w14:paraId="79C6B38B">
      <w:pPr>
        <w:keepNext/>
        <w:keepLines/>
        <w:spacing w:line="480" w:lineRule="exact"/>
        <w:ind w:firstLine="482" w:firstLineChars="200"/>
        <w:outlineLvl w:val="3"/>
        <w:rPr>
          <w:rFonts w:hint="default" w:ascii="Times New Roman" w:hAnsi="Times New Roman" w:eastAsia="宋体" w:cs="Times New Roman"/>
          <w:b/>
          <w:bCs/>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color w:val="000000" w:themeColor="text1"/>
          <w:sz w:val="24"/>
          <w:szCs w:val="28"/>
          <w:highlight w:val="none"/>
          <w14:textFill>
            <w14:solidFill>
              <w14:schemeClr w14:val="tx1"/>
            </w14:solidFill>
          </w14:textFill>
        </w:rPr>
        <w:t>5.</w:t>
      </w:r>
      <w:r>
        <w:rPr>
          <w:rFonts w:hint="eastAsia" w:cs="Times New Roman"/>
          <w:b/>
          <w:bCs/>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1组织机构及职责</w:t>
      </w:r>
    </w:p>
    <w:p w14:paraId="425B734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建设单位应</w:t>
      </w:r>
      <w:r>
        <w:rPr>
          <w:rFonts w:hint="eastAsia" w:cs="Times New Roman"/>
          <w:color w:val="000000" w:themeColor="text1"/>
          <w:sz w:val="24"/>
          <w:szCs w:val="24"/>
          <w:lang w:eastAsia="zh-CN"/>
          <w14:textFill>
            <w14:solidFill>
              <w14:schemeClr w14:val="tx1"/>
            </w14:solidFill>
          </w14:textFill>
        </w:rPr>
        <w:t>设置</w:t>
      </w:r>
      <w:r>
        <w:rPr>
          <w:rFonts w:hint="default" w:ascii="Times New Roman" w:hAnsi="Times New Roman" w:eastAsia="宋体" w:cs="Times New Roman"/>
          <w:color w:val="000000" w:themeColor="text1"/>
          <w:sz w:val="24"/>
          <w:szCs w:val="24"/>
          <w:lang w:eastAsia="zh-CN"/>
          <w14:textFill>
            <w14:solidFill>
              <w14:schemeClr w14:val="tx1"/>
            </w14:solidFill>
          </w14:textFill>
        </w:rPr>
        <w:t>专门机构负责项目施工及运营期的环境安全。其职责包括：</w:t>
      </w:r>
    </w:p>
    <w:p w14:paraId="5BD32CD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负责统一协调突发环境事件的应对工作，负责应急统一指挥，同时还负责与项目区外界环境保持紧密联系，将事态的发展向外部的支持保障机构发出信号，并及时将反馈信息应用于事故应急的领导和指挥当中。</w:t>
      </w:r>
    </w:p>
    <w:p w14:paraId="32FC4BC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保证应急事故的各项资源，包括建立企业救援队，并与社会可利用资源建立长期合作关系；当建设单位内部资源不足、不能应对环境事故，需要区域内其他部门增援时，由建设单位的环境安全管理部门提出增援请求。</w:t>
      </w:r>
    </w:p>
    <w:p w14:paraId="025D41B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在事故处理终止或者处理过程中，要向公众及时、准确地发布反映环境安全事故的信息，引导正确的舆论导向，对社会和公众负责。</w:t>
      </w:r>
    </w:p>
    <w:p w14:paraId="0BFE4FED">
      <w:pPr>
        <w:keepNext/>
        <w:keepLines/>
        <w:spacing w:line="480" w:lineRule="exact"/>
        <w:ind w:firstLine="482" w:firstLineChars="200"/>
        <w:outlineLvl w:val="3"/>
        <w:rPr>
          <w:rFonts w:hint="default" w:ascii="Times New Roman" w:hAnsi="Times New Roman" w:eastAsia="宋体" w:cs="Times New Roman"/>
          <w:b/>
          <w:bCs/>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color w:val="000000" w:themeColor="text1"/>
          <w:sz w:val="24"/>
          <w:szCs w:val="28"/>
          <w:highlight w:val="none"/>
          <w14:textFill>
            <w14:solidFill>
              <w14:schemeClr w14:val="tx1"/>
            </w14:solidFill>
          </w14:textFill>
        </w:rPr>
        <w:t>5.</w:t>
      </w:r>
      <w:r>
        <w:rPr>
          <w:rFonts w:hint="eastAsia" w:cs="Times New Roman"/>
          <w:b/>
          <w:bCs/>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2应急预案内容</w:t>
      </w:r>
    </w:p>
    <w:p w14:paraId="28FB99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应对本次环评提出的可能的环境事故，分别编制应急预案。从应急工作程序上，可以分为预防预警、应急响应、应急处理、应急终止、信息发布五个步骤。建设单位编制的环境事故应急预案应对以下内容进行细化，并明确各项工作的负责人。</w:t>
      </w:r>
    </w:p>
    <w:p w14:paraId="68A5F6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预防预警</w:t>
      </w:r>
    </w:p>
    <w:p w14:paraId="3BEEC4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预防与预警是处理环境安全突发性事件的必要前提。</w:t>
      </w:r>
    </w:p>
    <w:p w14:paraId="7202E40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根据突发事故的严重性、紧急程度和可能波及的范围，划分预警级别，并根据事态的发展情况和采取措施的效果，提高或者降低应急预警级别。</w:t>
      </w:r>
    </w:p>
    <w:p w14:paraId="3400309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应急响应</w:t>
      </w:r>
    </w:p>
    <w:p w14:paraId="6B4DA28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环境安全突发事件发生后，应立即启动并实施相应应急预案，及时向</w:t>
      </w:r>
      <w:r>
        <w:rPr>
          <w:rFonts w:hint="eastAsia" w:cs="Times New Roman"/>
          <w:color w:val="000000" w:themeColor="text1"/>
          <w:sz w:val="24"/>
          <w:szCs w:val="24"/>
          <w:lang w:val="en-US" w:eastAsia="zh-CN"/>
          <w14:textFill>
            <w14:solidFill>
              <w14:schemeClr w14:val="tx1"/>
            </w14:solidFill>
          </w14:textFill>
        </w:rPr>
        <w:t>哈密市生态环境局伊州分局</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哈密市</w:t>
      </w:r>
      <w:r>
        <w:rPr>
          <w:rFonts w:hint="default" w:ascii="Times New Roman" w:hAnsi="Times New Roman" w:eastAsia="宋体" w:cs="Times New Roman"/>
          <w:color w:val="000000" w:themeColor="text1"/>
          <w:sz w:val="24"/>
          <w:szCs w:val="24"/>
          <w:lang w:eastAsia="zh-CN"/>
          <w14:textFill>
            <w14:solidFill>
              <w14:schemeClr w14:val="tx1"/>
            </w14:solidFill>
          </w14:textFill>
        </w:rPr>
        <w:t>政府以及自治区相关部门上报；同时，启动建设单位应急专业指挥机构；应急救援力量应立即开展应急救援工作；需要其他应急救援力量支援时，应及时向</w:t>
      </w:r>
      <w:r>
        <w:rPr>
          <w:rFonts w:hint="eastAsia" w:cs="Times New Roman"/>
          <w:color w:val="000000" w:themeColor="text1"/>
          <w:sz w:val="24"/>
          <w:szCs w:val="24"/>
          <w:lang w:val="en-US" w:eastAsia="zh-CN"/>
          <w14:textFill>
            <w14:solidFill>
              <w14:schemeClr w14:val="tx1"/>
            </w14:solidFill>
          </w14:textFill>
        </w:rPr>
        <w:t>伊州区</w:t>
      </w:r>
      <w:r>
        <w:rPr>
          <w:rFonts w:hint="default" w:ascii="Times New Roman" w:hAnsi="Times New Roman" w:eastAsia="宋体" w:cs="Times New Roman"/>
          <w:color w:val="000000" w:themeColor="text1"/>
          <w:sz w:val="24"/>
          <w:szCs w:val="24"/>
          <w:lang w:eastAsia="zh-CN"/>
          <w14:textFill>
            <w14:solidFill>
              <w14:schemeClr w14:val="tx1"/>
            </w14:solidFill>
          </w14:textFill>
        </w:rPr>
        <w:t>政府提出申请。</w:t>
      </w:r>
    </w:p>
    <w:p w14:paraId="53BD4D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应急处理</w:t>
      </w:r>
    </w:p>
    <w:p w14:paraId="1C0E58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对各类环境事故，根据</w:t>
      </w:r>
      <w:r>
        <w:rPr>
          <w:rFonts w:hint="eastAsia" w:cs="Times New Roman"/>
          <w:color w:val="000000" w:themeColor="text1"/>
          <w:sz w:val="24"/>
          <w:szCs w:val="24"/>
          <w:lang w:eastAsia="zh-CN"/>
          <w14:textFill>
            <w14:solidFill>
              <w14:schemeClr w14:val="tx1"/>
            </w14:solidFill>
          </w14:textFill>
        </w:rPr>
        <w:t>相应</w:t>
      </w:r>
      <w:r>
        <w:rPr>
          <w:rFonts w:hint="default" w:ascii="Times New Roman" w:hAnsi="Times New Roman" w:eastAsia="宋体" w:cs="Times New Roman"/>
          <w:color w:val="000000" w:themeColor="text1"/>
          <w:sz w:val="24"/>
          <w:szCs w:val="24"/>
          <w:lang w:eastAsia="zh-CN"/>
          <w14:textFill>
            <w14:solidFill>
              <w14:schemeClr w14:val="tx1"/>
            </w14:solidFill>
          </w14:textFill>
        </w:rPr>
        <w:t>的救援方案进行</w:t>
      </w:r>
      <w:r>
        <w:rPr>
          <w:rFonts w:hint="eastAsia" w:cs="Times New Roman"/>
          <w:color w:val="000000" w:themeColor="text1"/>
          <w:sz w:val="24"/>
          <w:szCs w:val="24"/>
          <w:lang w:eastAsia="zh-CN"/>
          <w14:textFill>
            <w14:solidFill>
              <w14:schemeClr w14:val="tx1"/>
            </w14:solidFill>
          </w14:textFill>
        </w:rPr>
        <w:t>救援</w:t>
      </w:r>
      <w:r>
        <w:rPr>
          <w:rFonts w:hint="default" w:ascii="Times New Roman" w:hAnsi="Times New Roman" w:eastAsia="宋体" w:cs="Times New Roman"/>
          <w:color w:val="000000" w:themeColor="text1"/>
          <w:sz w:val="24"/>
          <w:szCs w:val="24"/>
          <w:lang w:eastAsia="zh-CN"/>
          <w14:textFill>
            <w14:solidFill>
              <w14:schemeClr w14:val="tx1"/>
            </w14:solidFill>
          </w14:textFill>
        </w:rPr>
        <w:t>处理，</w:t>
      </w:r>
      <w:r>
        <w:rPr>
          <w:rFonts w:hint="eastAsia" w:cs="Times New Roman"/>
          <w:color w:val="000000" w:themeColor="text1"/>
          <w:sz w:val="24"/>
          <w:szCs w:val="24"/>
          <w:lang w:eastAsia="zh-CN"/>
          <w14:textFill>
            <w14:solidFill>
              <w14:schemeClr w14:val="tx1"/>
            </w14:solidFill>
          </w14:textFill>
        </w:rPr>
        <w:t>同时</w:t>
      </w:r>
      <w:r>
        <w:rPr>
          <w:rFonts w:hint="default" w:ascii="Times New Roman" w:hAnsi="Times New Roman" w:eastAsia="宋体" w:cs="Times New Roman"/>
          <w:color w:val="000000" w:themeColor="text1"/>
          <w:sz w:val="24"/>
          <w:szCs w:val="24"/>
          <w:lang w:eastAsia="zh-CN"/>
          <w14:textFill>
            <w14:solidFill>
              <w14:schemeClr w14:val="tx1"/>
            </w14:solidFill>
          </w14:textFill>
        </w:rPr>
        <w:t>进行应急环境监测。根据监测结果，综合分析突发环境事件污染变化趋势，并通过专家咨询和讨论的方式，预测并报告突发环境事件的发展情况和污染物的变化情况，作为突发环境事件应急决策的依据。</w:t>
      </w:r>
    </w:p>
    <w:p w14:paraId="13C43B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应急终止</w:t>
      </w:r>
    </w:p>
    <w:p w14:paraId="6C1A7F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应急终止须经现场救援指挥部确认，由现场救援指挥部向所属各专业应急救援队伍下达应急终止命令。应急状态终止后，建设单位应根据上级有关指示和实际情况，继续进行环境监测和评价工作，直至其他补救措施无需继续进行为止。</w:t>
      </w:r>
    </w:p>
    <w:p w14:paraId="649F95A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信息发布</w:t>
      </w:r>
    </w:p>
    <w:p w14:paraId="3488DF0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突发环境安全事件终止后，要通过报纸、广播、电视和网络等多种媒体方式，及时发布准确、权威的信息，正确引导社会舆论，增强对于环境安全应急措施的透明度。</w:t>
      </w:r>
    </w:p>
    <w:p w14:paraId="16A2DD32">
      <w:pPr>
        <w:keepNext/>
        <w:keepLines/>
        <w:spacing w:line="480" w:lineRule="exact"/>
        <w:ind w:firstLine="482" w:firstLineChars="200"/>
        <w:outlineLvl w:val="3"/>
        <w:rPr>
          <w:rFonts w:hint="default" w:ascii="Times New Roman" w:hAnsi="Times New Roman" w:eastAsia="宋体" w:cs="Times New Roman"/>
          <w:b/>
          <w:bCs/>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color w:val="000000" w:themeColor="text1"/>
          <w:sz w:val="24"/>
          <w:szCs w:val="28"/>
          <w:highlight w:val="none"/>
          <w14:textFill>
            <w14:solidFill>
              <w14:schemeClr w14:val="tx1"/>
            </w14:solidFill>
          </w14:textFill>
        </w:rPr>
        <w:t>5.</w:t>
      </w:r>
      <w:r>
        <w:rPr>
          <w:rFonts w:hint="eastAsia" w:cs="Times New Roman"/>
          <w:b/>
          <w:bCs/>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3监督管理</w:t>
      </w:r>
    </w:p>
    <w:p w14:paraId="0F3DD80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对危险源进行定期检查和巡回检查，随时掌握动态变化情况，一旦出现危及安全生产的问题，立即采取措施进行处理；</w:t>
      </w:r>
    </w:p>
    <w:p w14:paraId="45C6CE3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立即组织撤离</w:t>
      </w:r>
      <w:r>
        <w:rPr>
          <w:rFonts w:hint="eastAsia" w:ascii="Times New Roman" w:hAnsi="Times New Roman" w:eastAsia="宋体"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eastAsia="zh-CN"/>
          <w14:textFill>
            <w14:solidFill>
              <w14:schemeClr w14:val="tx1"/>
            </w14:solidFill>
          </w14:textFill>
        </w:rPr>
        <w:t>下游人员，避免人员伤亡。</w:t>
      </w:r>
    </w:p>
    <w:p w14:paraId="52880D4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掌握危险源的基本情况，了解发生事故的可能性及严重程度，搞好现场安全管理；</w:t>
      </w:r>
    </w:p>
    <w:p w14:paraId="78E797B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安排保卫人员负责维护事故现场秩序，保证抢救物资的运输畅通和矿区治安。</w:t>
      </w:r>
    </w:p>
    <w:p w14:paraId="7547FAB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领导要安排医务人员到达事故现场附近，对抢救出的受伤人员进行紧急医疗救治。</w:t>
      </w:r>
    </w:p>
    <w:p w14:paraId="279B9CC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对事故现场进行清理，如造成</w:t>
      </w:r>
      <w:r>
        <w:rPr>
          <w:rFonts w:hint="eastAsia" w:ascii="Times New Roman" w:hAnsi="Times New Roman" w:eastAsia="宋体" w:cs="Times New Roman"/>
          <w:color w:val="000000" w:themeColor="text1"/>
          <w:sz w:val="24"/>
          <w:szCs w:val="24"/>
          <w:lang w:eastAsia="zh-CN"/>
          <w14:textFill>
            <w14:solidFill>
              <w14:schemeClr w14:val="tx1"/>
            </w14:solidFill>
          </w14:textFill>
        </w:rPr>
        <w:t>植被</w:t>
      </w:r>
      <w:r>
        <w:rPr>
          <w:rFonts w:hint="default" w:ascii="Times New Roman" w:hAnsi="Times New Roman" w:eastAsia="宋体" w:cs="Times New Roman"/>
          <w:color w:val="000000" w:themeColor="text1"/>
          <w:sz w:val="24"/>
          <w:szCs w:val="24"/>
          <w:lang w:eastAsia="zh-CN"/>
          <w14:textFill>
            <w14:solidFill>
              <w14:schemeClr w14:val="tx1"/>
            </w14:solidFill>
          </w14:textFill>
        </w:rPr>
        <w:t>损害，尽量进行恢复，不能恢复的要进行补偿，补偿标准应按照当地政府确定的征地标准进行。造成人员伤亡的，应根据国家和当地有关补偿标准进行补偿。</w:t>
      </w:r>
    </w:p>
    <w:p w14:paraId="6D2EB7C9">
      <w:pPr>
        <w:keepNext/>
        <w:keepLines/>
        <w:spacing w:line="480" w:lineRule="exact"/>
        <w:ind w:firstLine="482" w:firstLineChars="200"/>
        <w:outlineLvl w:val="3"/>
        <w:rPr>
          <w:rFonts w:hint="default" w:ascii="Times New Roman" w:hAnsi="Times New Roman" w:eastAsia="宋体" w:cs="Times New Roman"/>
          <w:b/>
          <w:bCs/>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color w:val="000000" w:themeColor="text1"/>
          <w:sz w:val="24"/>
          <w:szCs w:val="28"/>
          <w:highlight w:val="none"/>
          <w14:textFill>
            <w14:solidFill>
              <w14:schemeClr w14:val="tx1"/>
            </w14:solidFill>
          </w14:textFill>
        </w:rPr>
        <w:t>5.</w:t>
      </w:r>
      <w:r>
        <w:rPr>
          <w:rFonts w:hint="eastAsia" w:cs="Times New Roman"/>
          <w:b/>
          <w:bCs/>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4日常预防措施</w:t>
      </w:r>
    </w:p>
    <w:p w14:paraId="185C5B9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w:t>
      </w:r>
      <w:r>
        <w:rPr>
          <w:rFonts w:hint="eastAsia" w:ascii="Times New Roman" w:hAnsi="Times New Roman" w:eastAsia="宋体"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周围修好排水沟，疏导雨水，防止泥石流，下部修筑拦石坝。</w:t>
      </w:r>
    </w:p>
    <w:p w14:paraId="61C09FF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做好安全警示标志。</w:t>
      </w:r>
    </w:p>
    <w:p w14:paraId="31A99C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加强检矿人员的安全教育。</w:t>
      </w:r>
    </w:p>
    <w:p w14:paraId="1487982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对</w:t>
      </w:r>
      <w:r>
        <w:rPr>
          <w:rFonts w:hint="eastAsia" w:ascii="Times New Roman" w:hAnsi="Times New Roman" w:eastAsia="宋体"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坡度、挡墙加强管理。</w:t>
      </w:r>
    </w:p>
    <w:p w14:paraId="1ACE337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修筑防护平台，定期做好沉降观测；加强</w:t>
      </w:r>
      <w:r>
        <w:rPr>
          <w:rFonts w:hint="eastAsia" w:ascii="Times New Roman" w:hAnsi="Times New Roman" w:eastAsia="宋体" w:cs="Times New Roman"/>
          <w:color w:val="000000" w:themeColor="text1"/>
          <w:sz w:val="24"/>
          <w:szCs w:val="24"/>
          <w:lang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14:textFill>
            <w14:solidFill>
              <w14:schemeClr w14:val="tx1"/>
            </w14:solidFill>
          </w14:textFill>
        </w:rPr>
        <w:t>绿化。</w:t>
      </w:r>
    </w:p>
    <w:p w14:paraId="1B5ACBBC">
      <w:pPr>
        <w:keepNext/>
        <w:keepLines/>
        <w:spacing w:line="480" w:lineRule="exact"/>
        <w:ind w:firstLine="482" w:firstLineChars="200"/>
        <w:outlineLvl w:val="3"/>
        <w:rPr>
          <w:rFonts w:hint="default" w:ascii="Times New Roman" w:hAnsi="Times New Roman" w:eastAsia="宋体" w:cs="Times New Roman"/>
          <w:b/>
          <w:bCs/>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color w:val="000000" w:themeColor="text1"/>
          <w:sz w:val="24"/>
          <w:szCs w:val="28"/>
          <w:highlight w:val="none"/>
          <w14:textFill>
            <w14:solidFill>
              <w14:schemeClr w14:val="tx1"/>
            </w14:solidFill>
          </w14:textFill>
        </w:rPr>
        <w:t>5.</w:t>
      </w:r>
      <w:r>
        <w:rPr>
          <w:rFonts w:hint="eastAsia" w:cs="Times New Roman"/>
          <w:b/>
          <w:bCs/>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8"/>
          <w:highlight w:val="none"/>
          <w:lang w:val="en-US" w:eastAsia="zh-CN"/>
          <w14:textFill>
            <w14:solidFill>
              <w14:schemeClr w14:val="tx1"/>
            </w14:solidFill>
          </w14:textFill>
        </w:rPr>
        <w:t>5应急情况下应对措施</w:t>
      </w:r>
    </w:p>
    <w:p w14:paraId="3070404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若发生突发事件必须采取如下措施：</w:t>
      </w:r>
    </w:p>
    <w:p w14:paraId="08AD9E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（1）必须立即报告当地政府、公安部门和公司领导（或安全部门）；</w:t>
      </w:r>
    </w:p>
    <w:p w14:paraId="392A5C1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（2）及时疏散事故区附近人员；</w:t>
      </w:r>
    </w:p>
    <w:p w14:paraId="5FCF9B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（3）事先制定有效处理事故的行动方案，方案要经有关部门认同，并能与矿区、救护队、医务室、消防队充分配合，协调行动；</w:t>
      </w:r>
    </w:p>
    <w:p w14:paraId="278392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（4）应有制止事故蔓延，控制和减少影响范围的程序救护的具体行动计划，包括救护措施，保护矿工、国家财产及周围环境安全必须采取的措施和方法；</w:t>
      </w:r>
    </w:p>
    <w:p w14:paraId="034059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（5）矿区安全部门工作人员和富有事故处置经验的人员，要轮流值班，监视事故现场及其处置实施直至事故结果；</w:t>
      </w:r>
    </w:p>
    <w:p w14:paraId="11F857D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（6）训练事故处置人员（包括事故发生时的处置和补救）</w:t>
      </w:r>
      <w:r>
        <w:rPr>
          <w:color w:val="000000" w:themeColor="text1"/>
          <w:sz w:val="24"/>
          <w:szCs w:val="24"/>
          <w14:textFill>
            <w14:solidFill>
              <w14:schemeClr w14:val="tx1"/>
            </w14:solidFill>
          </w14:textFill>
        </w:rPr>
        <w:t>。</w:t>
      </w:r>
    </w:p>
    <w:p w14:paraId="42822886">
      <w:pPr>
        <w:pStyle w:val="4"/>
        <w:keepNext w:val="0"/>
        <w:keepLines w:val="0"/>
        <w:spacing w:before="60" w:after="60" w:line="480" w:lineRule="exact"/>
        <w:rPr>
          <w:color w:val="000000" w:themeColor="text1"/>
          <w:spacing w:val="-1"/>
          <w:sz w:val="32"/>
          <w:szCs w:val="30"/>
          <w14:textFill>
            <w14:solidFill>
              <w14:schemeClr w14:val="tx1"/>
            </w14:solidFill>
          </w14:textFill>
        </w:rPr>
      </w:pPr>
      <w:bookmarkStart w:id="497" w:name="_Toc25861"/>
      <w:bookmarkStart w:id="498" w:name="_Toc29006"/>
      <w:bookmarkStart w:id="499" w:name="_Toc18339"/>
      <w:r>
        <w:rPr>
          <w:color w:val="000000" w:themeColor="text1"/>
          <w:spacing w:val="-1"/>
          <w:sz w:val="32"/>
          <w:szCs w:val="30"/>
          <w14:textFill>
            <w14:solidFill>
              <w14:schemeClr w14:val="tx1"/>
            </w14:solidFill>
          </w14:textFill>
        </w:rPr>
        <w:t>5.3.11风险评价结论</w:t>
      </w:r>
      <w:bookmarkEnd w:id="495"/>
      <w:bookmarkEnd w:id="496"/>
      <w:bookmarkEnd w:id="497"/>
      <w:bookmarkEnd w:id="498"/>
      <w:bookmarkEnd w:id="499"/>
    </w:p>
    <w:p w14:paraId="2C7C2642">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综上所述，</w:t>
      </w:r>
      <w:r>
        <w:rPr>
          <w:rFonts w:hint="eastAsia"/>
          <w:color w:val="000000" w:themeColor="text1"/>
          <w:lang w:eastAsia="zh-CN"/>
          <w14:textFill>
            <w14:solidFill>
              <w14:schemeClr w14:val="tx1"/>
            </w14:solidFill>
          </w14:textFill>
        </w:rPr>
        <w:t>本项目危险化学品</w:t>
      </w:r>
      <w:r>
        <w:rPr>
          <w:color w:val="000000" w:themeColor="text1"/>
          <w14:textFill>
            <w14:solidFill>
              <w14:schemeClr w14:val="tx1"/>
            </w14:solidFill>
          </w14:textFill>
        </w:rPr>
        <w:t>的运输储存和使用过程中由于设备质量、人为操作等原因，</w:t>
      </w:r>
      <w:r>
        <w:rPr>
          <w:rFonts w:hint="eastAsia"/>
          <w:color w:val="000000" w:themeColor="text1"/>
          <w:lang w:eastAsia="zh-CN"/>
          <w14:textFill>
            <w14:solidFill>
              <w14:schemeClr w14:val="tx1"/>
            </w14:solidFill>
          </w14:textFill>
        </w:rPr>
        <w:t>存在</w:t>
      </w:r>
      <w:r>
        <w:rPr>
          <w:color w:val="000000" w:themeColor="text1"/>
          <w14:textFill>
            <w14:solidFill>
              <w14:schemeClr w14:val="tx1"/>
            </w14:solidFill>
          </w14:textFill>
        </w:rPr>
        <w:t>发生泄漏和突发性污染事故风险的可能性。对于这种风险，</w:t>
      </w:r>
      <w:r>
        <w:rPr>
          <w:rFonts w:hint="eastAsia"/>
          <w:color w:val="000000" w:themeColor="text1"/>
          <w:lang w:eastAsia="zh-CN"/>
          <w14:textFill>
            <w14:solidFill>
              <w14:schemeClr w14:val="tx1"/>
            </w14:solidFill>
          </w14:textFill>
        </w:rPr>
        <w:t>本项目</w:t>
      </w:r>
      <w:r>
        <w:rPr>
          <w:color w:val="000000" w:themeColor="text1"/>
          <w14:textFill>
            <w14:solidFill>
              <w14:schemeClr w14:val="tx1"/>
            </w14:solidFill>
          </w14:textFill>
        </w:rPr>
        <w:t>制定相应的防范措施及应急预案，明确责任人员，配备一定的防治设备和应急响应能力。</w:t>
      </w:r>
    </w:p>
    <w:p w14:paraId="666C1F5B">
      <w:pPr>
        <w:pStyle w:val="494"/>
        <w:spacing w:line="4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由于</w:t>
      </w:r>
      <w:r>
        <w:rPr>
          <w:rFonts w:hint="eastAsia"/>
          <w:color w:val="000000" w:themeColor="text1"/>
          <w:lang w:eastAsia="zh-CN"/>
          <w14:textFill>
            <w14:solidFill>
              <w14:schemeClr w14:val="tx1"/>
            </w14:solidFill>
          </w14:textFill>
        </w:rPr>
        <w:t>本项目</w:t>
      </w:r>
      <w:r>
        <w:rPr>
          <w:color w:val="000000" w:themeColor="text1"/>
          <w14:textFill>
            <w14:solidFill>
              <w14:schemeClr w14:val="tx1"/>
            </w14:solidFill>
          </w14:textFill>
        </w:rPr>
        <w:t>的环境风险主要是人为事件，完全可以通过政府各有关职能部门加强监督指导，企业内部制定严格的管理条例和岗位责任制，加强职工的安全生产教育，</w:t>
      </w:r>
      <w:r>
        <w:rPr>
          <w:rFonts w:hint="eastAsia"/>
          <w:color w:val="000000" w:themeColor="text1"/>
          <w:lang w:eastAsia="zh-CN"/>
          <w14:textFill>
            <w14:solidFill>
              <w14:schemeClr w14:val="tx1"/>
            </w14:solidFill>
          </w14:textFill>
        </w:rPr>
        <w:t>增强风险意识</w:t>
      </w:r>
      <w:r>
        <w:rPr>
          <w:color w:val="000000" w:themeColor="text1"/>
          <w14:textFill>
            <w14:solidFill>
              <w14:schemeClr w14:val="tx1"/>
            </w14:solidFill>
          </w14:textFill>
        </w:rPr>
        <w:t>。在项目采取相应的防范措施后，可以减少项目的环境风险，降低环境风险事故的危害程度，且在加强管理及提高职工操作水平的前提下，</w:t>
      </w:r>
      <w:r>
        <w:rPr>
          <w:rFonts w:hint="eastAsia"/>
          <w:color w:val="000000" w:themeColor="text1"/>
          <w:lang w:eastAsia="zh-CN"/>
          <w14:textFill>
            <w14:solidFill>
              <w14:schemeClr w14:val="tx1"/>
            </w14:solidFill>
          </w14:textFill>
        </w:rPr>
        <w:t>本项目</w:t>
      </w:r>
      <w:r>
        <w:rPr>
          <w:color w:val="000000" w:themeColor="text1"/>
          <w14:textFill>
            <w14:solidFill>
              <w14:schemeClr w14:val="tx1"/>
            </w14:solidFill>
          </w14:textFill>
        </w:rPr>
        <w:t>的环境风险是可以接受的。</w:t>
      </w:r>
    </w:p>
    <w:p w14:paraId="590647E9">
      <w:pPr>
        <w:pStyle w:val="494"/>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default" w:ascii="Times New Roman" w:hAnsi="Times New Roman" w:eastAsia="宋体" w:cs="Times New Roman"/>
          <w:color w:val="000000" w:themeColor="text1"/>
          <w:spacing w:val="0"/>
          <w:w w:val="100"/>
          <w:position w:val="0"/>
          <w:highlight w:val="none"/>
          <w14:textFill>
            <w14:solidFill>
              <w14:schemeClr w14:val="tx1"/>
            </w14:solidFill>
          </w14:textFill>
        </w:rPr>
        <w:t>环境风险简单分析内容详见表</w:t>
      </w:r>
      <w:r>
        <w:rPr>
          <w:color w:val="000000" w:themeColor="text1"/>
          <w14:textFill>
            <w14:solidFill>
              <w14:schemeClr w14:val="tx1"/>
            </w14:solidFill>
          </w14:textFill>
        </w:rPr>
        <w:t>5.3-</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p>
    <w:p w14:paraId="4F43A73F">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表5.3-</w:t>
      </w:r>
      <w:r>
        <w:rPr>
          <w:rFonts w:hint="eastAsia"/>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建设项目环境风险简单分析内容表</w:t>
      </w:r>
    </w:p>
    <w:tbl>
      <w:tblPr>
        <w:tblStyle w:val="79"/>
        <w:tblW w:w="85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2071"/>
        <w:gridCol w:w="1921"/>
        <w:gridCol w:w="1329"/>
        <w:gridCol w:w="989"/>
        <w:gridCol w:w="1063"/>
      </w:tblGrid>
      <w:tr w14:paraId="15601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140" w:type="dxa"/>
            <w:vAlign w:val="center"/>
          </w:tcPr>
          <w:p w14:paraId="7469A8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建设项目名称</w:t>
            </w:r>
          </w:p>
        </w:tc>
        <w:tc>
          <w:tcPr>
            <w:tcW w:w="7373" w:type="dxa"/>
            <w:gridSpan w:val="5"/>
            <w:vAlign w:val="center"/>
          </w:tcPr>
          <w:p w14:paraId="69587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color w:val="000000" w:themeColor="text1"/>
                <w:spacing w:val="0"/>
                <w:w w:val="100"/>
                <w:position w:val="0"/>
                <w:sz w:val="21"/>
                <w:szCs w:val="21"/>
                <w:highlight w:val="none"/>
                <w:lang w:eastAsia="zh-CN"/>
                <w14:textFill>
                  <w14:solidFill>
                    <w14:schemeClr w14:val="tx1"/>
                  </w14:solidFill>
                </w14:textFill>
              </w:rPr>
            </w:pPr>
            <w:r>
              <w:rPr>
                <w:rFonts w:hint="eastAsia" w:cs="Times New Roman"/>
                <w:b w:val="0"/>
                <w:bCs/>
                <w:color w:val="000000" w:themeColor="text1"/>
                <w:spacing w:val="0"/>
                <w:w w:val="100"/>
                <w:position w:val="0"/>
                <w:sz w:val="21"/>
                <w:szCs w:val="21"/>
                <w:highlight w:val="none"/>
                <w:lang w:eastAsia="zh-CN"/>
                <w14:textFill>
                  <w14:solidFill>
                    <w14:schemeClr w14:val="tx1"/>
                  </w14:solidFill>
                </w14:textFill>
              </w:rPr>
              <w:t>哈密市西成矿业有限责任公司M1033矿年产30万吨铁矿采矿建设项目（重大变动）</w:t>
            </w:r>
          </w:p>
        </w:tc>
      </w:tr>
      <w:tr w14:paraId="04BFC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140" w:type="dxa"/>
            <w:vAlign w:val="center"/>
          </w:tcPr>
          <w:p w14:paraId="1F534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建设地点</w:t>
            </w:r>
          </w:p>
        </w:tc>
        <w:tc>
          <w:tcPr>
            <w:tcW w:w="2071" w:type="dxa"/>
            <w:vAlign w:val="center"/>
          </w:tcPr>
          <w:p w14:paraId="34F80A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新疆</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维吾尔自治区</w:t>
            </w:r>
          </w:p>
        </w:tc>
        <w:tc>
          <w:tcPr>
            <w:tcW w:w="1921" w:type="dxa"/>
            <w:tcBorders>
              <w:right w:val="single" w:color="auto" w:sz="8" w:space="0"/>
            </w:tcBorders>
            <w:vAlign w:val="center"/>
          </w:tcPr>
          <w:p w14:paraId="55C72C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哈密市</w:t>
            </w:r>
          </w:p>
        </w:tc>
        <w:tc>
          <w:tcPr>
            <w:tcW w:w="1329" w:type="dxa"/>
            <w:tcBorders>
              <w:left w:val="single" w:color="auto" w:sz="8" w:space="0"/>
            </w:tcBorders>
            <w:vAlign w:val="center"/>
          </w:tcPr>
          <w:p w14:paraId="5F674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伊州</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）区</w:t>
            </w:r>
          </w:p>
        </w:tc>
        <w:tc>
          <w:tcPr>
            <w:tcW w:w="989" w:type="dxa"/>
            <w:tcBorders>
              <w:left w:val="single" w:color="auto" w:sz="8" w:space="0"/>
            </w:tcBorders>
            <w:vAlign w:val="center"/>
          </w:tcPr>
          <w:p w14:paraId="3462A3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p>
        </w:tc>
        <w:tc>
          <w:tcPr>
            <w:tcW w:w="1063" w:type="dxa"/>
            <w:tcBorders>
              <w:left w:val="single" w:color="auto" w:sz="8" w:space="0"/>
            </w:tcBorders>
            <w:vAlign w:val="center"/>
          </w:tcPr>
          <w:p w14:paraId="31F57C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）园区</w:t>
            </w:r>
          </w:p>
        </w:tc>
      </w:tr>
      <w:tr w14:paraId="285B4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140" w:type="dxa"/>
            <w:vAlign w:val="center"/>
          </w:tcPr>
          <w:p w14:paraId="3F18CC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地理坐标</w:t>
            </w:r>
          </w:p>
        </w:tc>
        <w:tc>
          <w:tcPr>
            <w:tcW w:w="2071" w:type="dxa"/>
            <w:tcBorders>
              <w:right w:val="single" w:color="auto" w:sz="8" w:space="0"/>
            </w:tcBorders>
            <w:vAlign w:val="center"/>
          </w:tcPr>
          <w:p w14:paraId="70DE12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经度</w:t>
            </w:r>
          </w:p>
        </w:tc>
        <w:tc>
          <w:tcPr>
            <w:tcW w:w="1921" w:type="dxa"/>
            <w:tcBorders>
              <w:left w:val="single" w:color="auto" w:sz="8" w:space="0"/>
              <w:right w:val="single" w:color="auto" w:sz="8" w:space="0"/>
            </w:tcBorders>
            <w:vAlign w:val="center"/>
          </w:tcPr>
          <w:p w14:paraId="49716A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c>
          <w:tcPr>
            <w:tcW w:w="1329" w:type="dxa"/>
            <w:tcBorders>
              <w:right w:val="single" w:color="auto" w:sz="8" w:space="0"/>
            </w:tcBorders>
            <w:vAlign w:val="center"/>
          </w:tcPr>
          <w:p w14:paraId="510930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纬度</w:t>
            </w:r>
          </w:p>
        </w:tc>
        <w:tc>
          <w:tcPr>
            <w:tcW w:w="2052" w:type="dxa"/>
            <w:gridSpan w:val="2"/>
            <w:tcBorders>
              <w:left w:val="single" w:color="auto" w:sz="8" w:space="0"/>
            </w:tcBorders>
            <w:vAlign w:val="center"/>
          </w:tcPr>
          <w:p w14:paraId="63D9A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r>
      <w:tr w14:paraId="1647A2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140" w:type="dxa"/>
            <w:vAlign w:val="center"/>
          </w:tcPr>
          <w:p w14:paraId="5874FB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主要危险物质及分布</w:t>
            </w:r>
          </w:p>
        </w:tc>
        <w:tc>
          <w:tcPr>
            <w:tcW w:w="7373" w:type="dxa"/>
            <w:gridSpan w:val="5"/>
            <w:vAlign w:val="center"/>
          </w:tcPr>
          <w:p w14:paraId="76B78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柴油：20m</w:t>
            </w:r>
            <w:r>
              <w:rPr>
                <w:rFonts w:hint="default" w:ascii="Times New Roman" w:hAnsi="Times New Roman" w:eastAsia="宋体" w:cs="Times New Roman"/>
                <w:color w:val="000000" w:themeColor="text1"/>
                <w:spacing w:val="0"/>
                <w:w w:val="100"/>
                <w:positio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卧式油罐1个</w:t>
            </w:r>
            <w:r>
              <w:rPr>
                <w:rFonts w:hint="eastAsia"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最大贮存量20t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w:t>
            </w:r>
          </w:p>
          <w:p w14:paraId="4997FD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废矿物油：临时贮存于</w:t>
            </w:r>
            <w:r>
              <w:rPr>
                <w:rFonts w:hint="eastAsia" w:cs="Times New Roman"/>
                <w:color w:val="000000" w:themeColor="text1"/>
                <w:spacing w:val="-1"/>
                <w:sz w:val="21"/>
                <w:szCs w:val="21"/>
                <w:lang w:eastAsia="zh-CN"/>
                <w14:textFill>
                  <w14:solidFill>
                    <w14:schemeClr w14:val="tx1"/>
                  </w14:solidFill>
                </w14:textFill>
              </w:rPr>
              <w:t>危废贮存点</w:t>
            </w:r>
            <w:r>
              <w:rPr>
                <w:rFonts w:hint="eastAsia"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最大储存量</w:t>
            </w:r>
            <w:r>
              <w:rPr>
                <w:rFonts w:hint="eastAsia"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t。</w:t>
            </w:r>
          </w:p>
          <w:p w14:paraId="5F13F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炸药：储存于炸药库，最大储存量</w:t>
            </w:r>
            <w:r>
              <w:rPr>
                <w:rFonts w:hint="eastAsia"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30</w:t>
            </w:r>
            <w:r>
              <w:rPr>
                <w:rFonts w:hint="default"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t。</w:t>
            </w:r>
          </w:p>
        </w:tc>
      </w:tr>
      <w:tr w14:paraId="3228C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140" w:type="dxa"/>
            <w:vAlign w:val="center"/>
          </w:tcPr>
          <w:p w14:paraId="016D2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环境影响途径及危害后果（大气、地表水、地下水等）</w:t>
            </w:r>
          </w:p>
        </w:tc>
        <w:tc>
          <w:tcPr>
            <w:tcW w:w="7373" w:type="dxa"/>
            <w:gridSpan w:val="5"/>
            <w:vAlign w:val="center"/>
          </w:tcPr>
          <w:p w14:paraId="360A01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）炸药在使用过程中由于爆破力学效应，产生地震波、冲击波和噪声；由于炸药爆炸时的化学反应，产生大量的有毒气体，</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对环境空气造成污染以及人员中毒</w:t>
            </w: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，造成生命财产重大损失。</w:t>
            </w:r>
          </w:p>
          <w:p w14:paraId="3741A3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）柴油储罐及罐底防渗破损，导致柴油发生泄漏，从而污染项目</w:t>
            </w: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矿区</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的土壤、包气带，最终下渗对地下水造成污染。</w:t>
            </w:r>
          </w:p>
          <w:p w14:paraId="548DBE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）柴油储罐发生火灾、爆炸事故，造成</w:t>
            </w: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矿区</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及其周边的人员伤亡；柴油储罐发生火灾、爆炸事故次生污染为不完全燃烧产生CO，对环境空气造成污染以及CO扩散造成人员中毒。</w:t>
            </w:r>
          </w:p>
          <w:p w14:paraId="3D6F0C4D">
            <w:pPr>
              <w:pStyle w:val="10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井巷工程事故风险主要为地质灾害风险。</w:t>
            </w:r>
          </w:p>
          <w:p w14:paraId="1ADFF7E2">
            <w:pPr>
              <w:pStyle w:val="10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）废石场滑坡</w:t>
            </w:r>
            <w:r>
              <w:rPr>
                <w:rFonts w:hint="eastAsia"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拦渣坝</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溃坝事故。</w:t>
            </w:r>
          </w:p>
        </w:tc>
      </w:tr>
      <w:tr w14:paraId="60DBE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blHeader/>
          <w:jc w:val="center"/>
        </w:trPr>
        <w:tc>
          <w:tcPr>
            <w:tcW w:w="1140" w:type="dxa"/>
            <w:vAlign w:val="center"/>
          </w:tcPr>
          <w:p w14:paraId="576E48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风险防范措施要求</w:t>
            </w:r>
          </w:p>
        </w:tc>
        <w:tc>
          <w:tcPr>
            <w:tcW w:w="7373" w:type="dxa"/>
            <w:gridSpan w:val="5"/>
            <w:vAlign w:val="center"/>
          </w:tcPr>
          <w:p w14:paraId="75ECAC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大气环境防范措施：在发生事故时，应及时组织附近人群转移，以减少对人群的伤害。</w:t>
            </w:r>
          </w:p>
          <w:p w14:paraId="32687B4F">
            <w:pPr>
              <w:pStyle w:val="10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防渗措施：项目区内一般区域采用水泥硬化地面，罐区采取严格防渗。</w:t>
            </w:r>
          </w:p>
          <w:p w14:paraId="114D3018">
            <w:pPr>
              <w:pStyle w:val="10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围堰设置：在罐区设置围堰，确保泄漏后化学品不会溢出到围堰外。</w:t>
            </w:r>
          </w:p>
          <w:p w14:paraId="28BFD738">
            <w:pPr>
              <w:pStyle w:val="10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防火防爆措施：从总平面布置、工艺、自动控制、建/构筑物防火、电气防火、消防系统、设备泄压等方面采取防火、防爆控制措施。</w:t>
            </w:r>
          </w:p>
          <w:p w14:paraId="60664842">
            <w:pPr>
              <w:pStyle w:val="10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防毒措施：尽量减少就地操作岗位，使作业人员不接触或少接触有毒物质，防止误操作造成中毒事故；安装有毒气体浓度检测报警装置，防止有毒气体在厂房内积聚，造成操作人员中毒窒息事故。</w:t>
            </w:r>
          </w:p>
          <w:p w14:paraId="72A1390F">
            <w:pPr>
              <w:pStyle w:val="10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运输防范措施：坚持</w:t>
            </w:r>
            <w:r>
              <w:rPr>
                <w:rFonts w:hint="eastAsia"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预防为主，防治结合</w:t>
            </w:r>
            <w:r>
              <w:rPr>
                <w:rFonts w:hint="eastAsia" w:ascii="Times New Roman" w:hAnsi="Times New Roman" w:eastAsia="宋体" w:cs="Times New Roman"/>
                <w:color w:val="000000" w:themeColor="text1"/>
                <w:spacing w:val="0"/>
                <w:w w:val="10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的原则，首先做好预防工作，然后完善控制污染事故危害的措施。</w:t>
            </w:r>
          </w:p>
          <w:p w14:paraId="06E6BB88">
            <w:pPr>
              <w:pStyle w:val="10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textAlignment w:val="auto"/>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安全管理措施：设置安全管理机构，建立安全管理制度，加强人员培训，预防安全事故发生。</w:t>
            </w:r>
          </w:p>
        </w:tc>
      </w:tr>
    </w:tbl>
    <w:p w14:paraId="305D5EAD">
      <w:pPr>
        <w:pStyle w:val="3"/>
        <w:numPr>
          <w:ilvl w:val="1"/>
          <w:numId w:val="0"/>
        </w:numPr>
        <w:rPr>
          <w:color w:val="000000" w:themeColor="text1"/>
          <w14:textFill>
            <w14:solidFill>
              <w14:schemeClr w14:val="tx1"/>
            </w14:solidFill>
          </w14:textFill>
        </w:rPr>
      </w:pPr>
      <w:bookmarkStart w:id="500" w:name="_Toc20615"/>
      <w:bookmarkStart w:id="501" w:name="_Toc111767562"/>
      <w:r>
        <w:rPr>
          <w:rFonts w:hint="eastAsia"/>
          <w:color w:val="000000" w:themeColor="text1"/>
          <w14:textFill>
            <w14:solidFill>
              <w14:schemeClr w14:val="tx1"/>
            </w14:solidFill>
          </w14:textFill>
        </w:rPr>
        <w:t>5.4闭矿期环境影响分析</w:t>
      </w:r>
      <w:bookmarkEnd w:id="500"/>
      <w:bookmarkEnd w:id="501"/>
    </w:p>
    <w:p w14:paraId="044BFD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本矿山闭矿期工程实施过程中产生污染物主要为建构筑物拆除产生的建筑垃圾、工程施工过程中施工扬尘和施工噪声。</w:t>
      </w:r>
    </w:p>
    <w:p w14:paraId="6A6B8A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建（构）筑物工程占地使原有地表植被被破坏、造成局部生态结构发生变化、水土流失增加。矿山到了闭矿期，由于经过多年的开发，各项工程已形成了固定的框架，土地使用类型及结构发生了变化，各项工程用地成为服务期满后主要土地使用类型。在矿区内，各项受损的草地面积不会再扩大，如果在整个运营期边开发边治理，即土地复垦规划能落实，水土保持工程和生物措施能逐步实施，矿区生态环境会得到改善。只是原来的景观格局发生变化，土地利用情况发生了变化。在采矿服务期满后，矿区在没有采取及时的生态恢复措施时容易发生风蚀沙化造成土壤侵蚀，对矿区的生态环境产生不利影响。因此，在矿山服务期满后应对生态破坏区实施土地复垦和植被恢复等生态治理措施；严格执行水土保持治理，防止水土流失；建构筑物拆除过程采取洒水降尘、拆除建筑垃圾及时清运、禁止有风天气开展施工作业等形式，有效降低服务期满后工程施工造成的扬尘、固体废物对环境的影响。</w:t>
      </w:r>
    </w:p>
    <w:p w14:paraId="5CE08EA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矿山开采结束后，闭矿前应对矿山塌陷区、采空区开展勘察工作，进一步圈定采空区范围，有针对性地开展塌陷区、采空区治理工作。闭矿前，应提交闭矿地质报告、办理审批手续，经批准后方能闭矿。</w:t>
      </w:r>
    </w:p>
    <w:p w14:paraId="38CD76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综上，本矿山闭矿期，经采取上述污染治理、生态治理措施后，可降低对区域生态环境的影响，尽可能使矿山恢复原有生态质量水平。</w:t>
      </w:r>
    </w:p>
    <w:p w14:paraId="19A64AAA">
      <w:pPr>
        <w:pStyle w:val="2"/>
        <w:keepNext/>
        <w:keepLines/>
        <w:spacing w:before="0" w:after="0" w:line="720" w:lineRule="exact"/>
        <w:jc w:val="both"/>
        <w:rPr>
          <w:rFonts w:hint="eastAsia"/>
          <w:color w:val="000000" w:themeColor="text1"/>
          <w:szCs w:val="36"/>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br w:type="page"/>
      </w:r>
      <w:bookmarkStart w:id="502" w:name="_Toc31890"/>
      <w:bookmarkStart w:id="503" w:name="_Toc11935"/>
      <w:bookmarkStart w:id="504" w:name="_Toc28658"/>
      <w:bookmarkStart w:id="505" w:name="_Toc111767563"/>
      <w:r>
        <w:rPr>
          <w:rFonts w:hint="eastAsia"/>
          <w:color w:val="000000" w:themeColor="text1"/>
          <w:szCs w:val="36"/>
          <w14:textFill>
            <w14:solidFill>
              <w14:schemeClr w14:val="tx1"/>
            </w14:solidFill>
          </w14:textFill>
        </w:rPr>
        <w:t>6环境保护措施及其可行性论证</w:t>
      </w:r>
      <w:bookmarkEnd w:id="502"/>
      <w:bookmarkEnd w:id="503"/>
      <w:bookmarkEnd w:id="504"/>
      <w:bookmarkEnd w:id="505"/>
    </w:p>
    <w:p w14:paraId="0F53F698">
      <w:pPr>
        <w:pStyle w:val="3"/>
        <w:jc w:val="left"/>
        <w:rPr>
          <w:bCs/>
          <w:color w:val="000000" w:themeColor="text1"/>
          <w:kern w:val="2"/>
          <w:szCs w:val="32"/>
          <w14:textFill>
            <w14:solidFill>
              <w14:schemeClr w14:val="tx1"/>
            </w14:solidFill>
          </w14:textFill>
        </w:rPr>
      </w:pPr>
      <w:bookmarkStart w:id="506" w:name="_Toc22786"/>
      <w:bookmarkStart w:id="507" w:name="_Toc25968"/>
      <w:bookmarkStart w:id="508" w:name="_Toc111767564"/>
      <w:bookmarkStart w:id="509" w:name="_Toc16808"/>
      <w:r>
        <w:rPr>
          <w:rFonts w:hint="eastAsia"/>
          <w:bCs/>
          <w:color w:val="000000" w:themeColor="text1"/>
          <w:kern w:val="2"/>
          <w:szCs w:val="32"/>
          <w14:textFill>
            <w14:solidFill>
              <w14:schemeClr w14:val="tx1"/>
            </w14:solidFill>
          </w14:textFill>
        </w:rPr>
        <w:t>6</w:t>
      </w:r>
      <w:r>
        <w:rPr>
          <w:bCs/>
          <w:color w:val="000000" w:themeColor="text1"/>
          <w:kern w:val="2"/>
          <w:szCs w:val="32"/>
          <w14:textFill>
            <w14:solidFill>
              <w14:schemeClr w14:val="tx1"/>
            </w14:solidFill>
          </w14:textFill>
        </w:rPr>
        <w:t>.1施工期污染防治措施分析</w:t>
      </w:r>
      <w:bookmarkEnd w:id="506"/>
      <w:bookmarkEnd w:id="507"/>
      <w:bookmarkEnd w:id="508"/>
      <w:bookmarkEnd w:id="509"/>
    </w:p>
    <w:p w14:paraId="6B8FD51A">
      <w:pPr>
        <w:widowControl/>
        <w:autoSpaceDE w:val="0"/>
        <w:autoSpaceDN w:val="0"/>
        <w:adjustRightInd w:val="0"/>
        <w:spacing w:line="480" w:lineRule="exact"/>
        <w:ind w:firstLine="480" w:firstLineChars="200"/>
        <w:textAlignment w:val="baseline"/>
        <w:rPr>
          <w:color w:val="000000" w:themeColor="text1"/>
          <w:kern w:val="0"/>
          <w:sz w:val="24"/>
          <w:szCs w:val="21"/>
          <w14:textFill>
            <w14:solidFill>
              <w14:schemeClr w14:val="tx1"/>
            </w14:solidFill>
          </w14:textFill>
        </w:rPr>
      </w:pPr>
      <w:r>
        <w:rPr>
          <w:rFonts w:hint="eastAsia"/>
          <w:color w:val="000000" w:themeColor="text1"/>
          <w:kern w:val="0"/>
          <w:sz w:val="24"/>
          <w:szCs w:val="21"/>
          <w:lang w:eastAsia="zh-CN"/>
          <w14:textFill>
            <w14:solidFill>
              <w14:schemeClr w14:val="tx1"/>
            </w14:solidFill>
          </w14:textFill>
        </w:rPr>
        <w:t>本项目</w:t>
      </w:r>
      <w:r>
        <w:rPr>
          <w:color w:val="000000" w:themeColor="text1"/>
          <w:kern w:val="0"/>
          <w:sz w:val="24"/>
          <w:szCs w:val="21"/>
          <w14:textFill>
            <w14:solidFill>
              <w14:schemeClr w14:val="tx1"/>
            </w14:solidFill>
          </w14:textFill>
        </w:rPr>
        <w:t>施工期主要进行构筑物基础工程</w:t>
      </w:r>
      <w:r>
        <w:rPr>
          <w:rFonts w:hint="eastAsia"/>
          <w:color w:val="000000" w:themeColor="text1"/>
          <w:kern w:val="0"/>
          <w:sz w:val="24"/>
          <w:szCs w:val="21"/>
          <w:lang w:val="en-US" w:eastAsia="zh-CN"/>
          <w14:textFill>
            <w14:solidFill>
              <w14:schemeClr w14:val="tx1"/>
            </w14:solidFill>
          </w14:textFill>
        </w:rPr>
        <w:tab/>
      </w:r>
      <w:r>
        <w:rPr>
          <w:rFonts w:hint="eastAsia"/>
          <w:color w:val="000000" w:themeColor="text1"/>
          <w:kern w:val="0"/>
          <w:sz w:val="24"/>
          <w:szCs w:val="21"/>
          <w:lang w:val="en-US" w:eastAsia="zh-CN"/>
          <w14:textFill>
            <w14:solidFill>
              <w14:schemeClr w14:val="tx1"/>
            </w14:solidFill>
          </w14:textFill>
        </w:rPr>
        <w:t>以及</w:t>
      </w:r>
      <w:r>
        <w:rPr>
          <w:color w:val="000000" w:themeColor="text1"/>
          <w:kern w:val="0"/>
          <w:sz w:val="24"/>
          <w:szCs w:val="21"/>
          <w14:textFill>
            <w14:solidFill>
              <w14:schemeClr w14:val="tx1"/>
            </w14:solidFill>
          </w14:textFill>
        </w:rPr>
        <w:t>道路工程等建设内容</w:t>
      </w:r>
      <w:r>
        <w:rPr>
          <w:rFonts w:hint="eastAsia" w:ascii="仿宋_GB2312" w:hAnsi="宋体" w:eastAsia="仿宋_GB2312"/>
          <w:color w:val="000000" w:themeColor="text1"/>
          <w:kern w:val="0"/>
          <w:sz w:val="24"/>
          <w:szCs w:val="21"/>
          <w14:textFill>
            <w14:solidFill>
              <w14:schemeClr w14:val="tx1"/>
            </w14:solidFill>
          </w14:textFill>
        </w:rPr>
        <w:t>，</w:t>
      </w:r>
      <w:r>
        <w:rPr>
          <w:color w:val="000000" w:themeColor="text1"/>
          <w:kern w:val="0"/>
          <w:sz w:val="24"/>
          <w:szCs w:val="21"/>
          <w14:textFill>
            <w14:solidFill>
              <w14:schemeClr w14:val="tx1"/>
            </w14:solidFill>
          </w14:textFill>
        </w:rPr>
        <w:t>在建设期间，各项施工活动不可避免</w:t>
      </w:r>
      <w:r>
        <w:rPr>
          <w:rFonts w:hint="eastAsia"/>
          <w:color w:val="000000" w:themeColor="text1"/>
          <w:kern w:val="0"/>
          <w:sz w:val="24"/>
          <w:szCs w:val="21"/>
          <w:lang w:eastAsia="zh-CN"/>
          <w14:textFill>
            <w14:solidFill>
              <w14:schemeClr w14:val="tx1"/>
            </w14:solidFill>
          </w14:textFill>
        </w:rPr>
        <w:t>地</w:t>
      </w:r>
      <w:r>
        <w:rPr>
          <w:color w:val="000000" w:themeColor="text1"/>
          <w:kern w:val="0"/>
          <w:sz w:val="24"/>
          <w:szCs w:val="21"/>
          <w14:textFill>
            <w14:solidFill>
              <w14:schemeClr w14:val="tx1"/>
            </w14:solidFill>
          </w14:textFill>
        </w:rPr>
        <w:t>将会对周围的环境及生态环境造成破坏和产生影响，主要包括粉尘、噪声、固体废物、废水等对周围环境的影响，以及对生态环境的影响。因此建设项目必须采取合理可行的污染防治控制措施，以尽量减轻其污染程度，缩小其影响范围。</w:t>
      </w:r>
    </w:p>
    <w:p w14:paraId="019F837B">
      <w:pPr>
        <w:pStyle w:val="4"/>
        <w:spacing w:before="60" w:after="60" w:line="480" w:lineRule="exact"/>
        <w:rPr>
          <w:color w:val="000000" w:themeColor="text1"/>
          <w:kern w:val="2"/>
          <w14:textFill>
            <w14:solidFill>
              <w14:schemeClr w14:val="tx1"/>
            </w14:solidFill>
          </w14:textFill>
        </w:rPr>
      </w:pPr>
      <w:bookmarkStart w:id="510" w:name="_Toc19341_WPSOffice_Level3"/>
      <w:bookmarkStart w:id="511" w:name="_Toc12620"/>
      <w:bookmarkStart w:id="512" w:name="_Toc11422_WPSOffice_Level2"/>
      <w:bookmarkStart w:id="513" w:name="_Toc25293"/>
      <w:bookmarkStart w:id="514" w:name="_Toc18788"/>
      <w:bookmarkStart w:id="515" w:name="_Toc22126280"/>
      <w:bookmarkStart w:id="516" w:name="_Toc29801"/>
      <w:bookmarkStart w:id="517" w:name="_Toc4533"/>
      <w:bookmarkStart w:id="518" w:name="_Toc5517_WPSOffice_Level3"/>
      <w:r>
        <w:rPr>
          <w:color w:val="000000" w:themeColor="text1"/>
          <w:kern w:val="2"/>
          <w14:textFill>
            <w14:solidFill>
              <w14:schemeClr w14:val="tx1"/>
            </w14:solidFill>
          </w14:textFill>
        </w:rPr>
        <w:t>6.1.1施工期大气污染防治措施分析</w:t>
      </w:r>
      <w:bookmarkEnd w:id="510"/>
      <w:bookmarkEnd w:id="511"/>
      <w:bookmarkEnd w:id="512"/>
      <w:bookmarkEnd w:id="513"/>
      <w:bookmarkEnd w:id="514"/>
      <w:bookmarkEnd w:id="515"/>
      <w:bookmarkEnd w:id="516"/>
      <w:bookmarkEnd w:id="517"/>
    </w:p>
    <w:p w14:paraId="36367628">
      <w:pPr>
        <w:widowControl/>
        <w:spacing w:line="480" w:lineRule="exact"/>
        <w:ind w:firstLine="480" w:firstLineChars="200"/>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（1）施工场地扬尘污染防治措施</w:t>
      </w:r>
      <w:bookmarkEnd w:id="518"/>
    </w:p>
    <w:p w14:paraId="3BA4CAD1">
      <w:pPr>
        <w:widowControl/>
        <w:autoSpaceDE w:val="0"/>
        <w:autoSpaceDN w:val="0"/>
        <w:adjustRightInd w:val="0"/>
        <w:spacing w:line="480" w:lineRule="exact"/>
        <w:ind w:firstLine="480" w:firstLineChars="200"/>
        <w:textAlignment w:val="baseline"/>
        <w:rPr>
          <w:color w:val="000000" w:themeColor="text1"/>
          <w:kern w:val="0"/>
          <w:sz w:val="24"/>
          <w:szCs w:val="21"/>
          <w14:textFill>
            <w14:solidFill>
              <w14:schemeClr w14:val="tx1"/>
            </w14:solidFill>
          </w14:textFill>
        </w:rPr>
      </w:pPr>
      <w:r>
        <w:rPr>
          <w:rFonts w:hint="eastAsia"/>
          <w:color w:val="000000" w:themeColor="text1"/>
          <w:kern w:val="0"/>
          <w:sz w:val="24"/>
          <w:szCs w:val="21"/>
          <w:lang w:eastAsia="zh-CN"/>
          <w14:textFill>
            <w14:solidFill>
              <w14:schemeClr w14:val="tx1"/>
            </w14:solidFill>
          </w14:textFill>
        </w:rPr>
        <w:t>本项目</w:t>
      </w:r>
      <w:r>
        <w:rPr>
          <w:color w:val="000000" w:themeColor="text1"/>
          <w:kern w:val="0"/>
          <w:sz w:val="24"/>
          <w:szCs w:val="21"/>
          <w14:textFill>
            <w14:solidFill>
              <w14:schemeClr w14:val="tx1"/>
            </w14:solidFill>
          </w14:textFill>
        </w:rPr>
        <w:t>建设施工过程中产生的扬尘将会造成周围大气环境的污染。经类比调查，同类施工工地粉尘的危害较扬尘更为严重。施工期间产生的粉尘污染主要决定于施工作业方式、材料的储运以及风力等因素，其中风力因素的影响最大。为使施工过程中产生的扬尘对周围环境空气的影响降低到最小程度，</w:t>
      </w:r>
      <w:r>
        <w:rPr>
          <w:rFonts w:hint="eastAsia"/>
          <w:color w:val="000000" w:themeColor="text1"/>
          <w:kern w:val="0"/>
          <w:sz w:val="24"/>
          <w:szCs w:val="21"/>
          <w14:textFill>
            <w14:solidFill>
              <w14:schemeClr w14:val="tx1"/>
            </w14:solidFill>
          </w14:textFill>
        </w:rPr>
        <w:t>应</w:t>
      </w:r>
      <w:r>
        <w:rPr>
          <w:color w:val="000000" w:themeColor="text1"/>
          <w:kern w:val="0"/>
          <w:sz w:val="24"/>
          <w:szCs w:val="21"/>
          <w14:textFill>
            <w14:solidFill>
              <w14:schemeClr w14:val="tx1"/>
            </w14:solidFill>
          </w14:textFill>
        </w:rPr>
        <w:t>采取以下防护措施：</w:t>
      </w:r>
    </w:p>
    <w:p w14:paraId="42805A66">
      <w:pPr>
        <w:widowControl/>
        <w:spacing w:line="480" w:lineRule="exact"/>
        <w:ind w:firstLine="480" w:firstLineChars="200"/>
        <w:rPr>
          <w:color w:val="000000" w:themeColor="text1"/>
          <w:kern w:val="0"/>
          <w:sz w:val="24"/>
          <w:szCs w:val="21"/>
          <w14:textFill>
            <w14:solidFill>
              <w14:schemeClr w14:val="tx1"/>
            </w14:solidFill>
          </w14:textFill>
        </w:rPr>
      </w:pPr>
      <w:r>
        <w:rPr>
          <w:rFonts w:eastAsia="微软雅黑"/>
          <w:color w:val="000000" w:themeColor="text1"/>
          <w:kern w:val="0"/>
          <w:sz w:val="24"/>
          <w:szCs w:val="21"/>
          <w14:textFill>
            <w14:solidFill>
              <w14:schemeClr w14:val="tx1"/>
            </w14:solidFill>
          </w14:textFill>
        </w:rPr>
        <w:t>①</w:t>
      </w:r>
      <w:r>
        <w:rPr>
          <w:color w:val="000000" w:themeColor="text1"/>
          <w:kern w:val="0"/>
          <w:sz w:val="24"/>
          <w:szCs w:val="21"/>
          <w14:textFill>
            <w14:solidFill>
              <w14:schemeClr w14:val="tx1"/>
            </w14:solidFill>
          </w14:textFill>
        </w:rPr>
        <w:t>在施工机械运行时洒水防止扬尘。对操作人员实行卫生防护，如</w:t>
      </w:r>
      <w:r>
        <w:rPr>
          <w:rFonts w:hint="eastAsia"/>
          <w:color w:val="000000" w:themeColor="text1"/>
          <w:kern w:val="0"/>
          <w:sz w:val="24"/>
          <w:szCs w:val="21"/>
          <w14:textFill>
            <w14:solidFill>
              <w14:schemeClr w14:val="tx1"/>
            </w14:solidFill>
          </w14:textFill>
        </w:rPr>
        <w:t>佩戴</w:t>
      </w:r>
      <w:r>
        <w:rPr>
          <w:color w:val="000000" w:themeColor="text1"/>
          <w:kern w:val="0"/>
          <w:sz w:val="24"/>
          <w:szCs w:val="21"/>
          <w14:textFill>
            <w14:solidFill>
              <w14:schemeClr w14:val="tx1"/>
            </w14:solidFill>
          </w14:textFill>
        </w:rPr>
        <w:t>口罩风镜等。</w:t>
      </w:r>
    </w:p>
    <w:p w14:paraId="1411BF64">
      <w:pPr>
        <w:widowControl/>
        <w:spacing w:line="480" w:lineRule="exact"/>
        <w:ind w:firstLine="480" w:firstLineChars="200"/>
        <w:rPr>
          <w:color w:val="000000" w:themeColor="text1"/>
          <w:kern w:val="0"/>
          <w:sz w:val="24"/>
          <w:szCs w:val="21"/>
          <w14:textFill>
            <w14:solidFill>
              <w14:schemeClr w14:val="tx1"/>
            </w14:solidFill>
          </w14:textFill>
        </w:rPr>
      </w:pPr>
      <w:r>
        <w:rPr>
          <w:rFonts w:eastAsia="微软雅黑"/>
          <w:color w:val="000000" w:themeColor="text1"/>
          <w:kern w:val="0"/>
          <w:sz w:val="24"/>
          <w:szCs w:val="21"/>
          <w14:textFill>
            <w14:solidFill>
              <w14:schemeClr w14:val="tx1"/>
            </w14:solidFill>
          </w14:textFill>
        </w:rPr>
        <w:t>②</w:t>
      </w:r>
      <w:r>
        <w:rPr>
          <w:color w:val="000000" w:themeColor="text1"/>
          <w:kern w:val="0"/>
          <w:sz w:val="24"/>
          <w:szCs w:val="21"/>
          <w14:textFill>
            <w14:solidFill>
              <w14:schemeClr w14:val="tx1"/>
            </w14:solidFill>
          </w14:textFill>
        </w:rPr>
        <w:t>对于运输沙土及其它施工材料、倒运土方的车辆应加盖篷布，以避免运输过程中产生的粉尘影响运输道路沿途的空气质量，保证施工车辆工况良好，以降低尾气CO、NO</w:t>
      </w:r>
      <w:r>
        <w:rPr>
          <w:color w:val="000000" w:themeColor="text1"/>
          <w:kern w:val="0"/>
          <w:sz w:val="24"/>
          <w:szCs w:val="21"/>
          <w:vertAlign w:val="subscript"/>
          <w14:textFill>
            <w14:solidFill>
              <w14:schemeClr w14:val="tx1"/>
            </w14:solidFill>
          </w14:textFill>
        </w:rPr>
        <w:t>X</w:t>
      </w:r>
      <w:r>
        <w:rPr>
          <w:color w:val="000000" w:themeColor="text1"/>
          <w:kern w:val="0"/>
          <w:sz w:val="24"/>
          <w:szCs w:val="21"/>
          <w14:textFill>
            <w14:solidFill>
              <w14:schemeClr w14:val="tx1"/>
            </w14:solidFill>
          </w14:textFill>
        </w:rPr>
        <w:t>、SO</w:t>
      </w:r>
      <w:r>
        <w:rPr>
          <w:color w:val="000000" w:themeColor="text1"/>
          <w:kern w:val="0"/>
          <w:sz w:val="24"/>
          <w:szCs w:val="21"/>
          <w:vertAlign w:val="subscript"/>
          <w14:textFill>
            <w14:solidFill>
              <w14:schemeClr w14:val="tx1"/>
            </w14:solidFill>
          </w14:textFill>
        </w:rPr>
        <w:t>2</w:t>
      </w:r>
      <w:r>
        <w:rPr>
          <w:color w:val="000000" w:themeColor="text1"/>
          <w:kern w:val="0"/>
          <w:sz w:val="24"/>
          <w:szCs w:val="21"/>
          <w14:textFill>
            <w14:solidFill>
              <w14:schemeClr w14:val="tx1"/>
            </w14:solidFill>
          </w14:textFill>
        </w:rPr>
        <w:t>等的排放。</w:t>
      </w:r>
    </w:p>
    <w:p w14:paraId="67C83747">
      <w:pPr>
        <w:widowControl/>
        <w:spacing w:line="480" w:lineRule="exact"/>
        <w:ind w:firstLine="480" w:firstLineChars="200"/>
        <w:rPr>
          <w:color w:val="000000" w:themeColor="text1"/>
          <w:kern w:val="0"/>
          <w:sz w:val="24"/>
          <w:szCs w:val="21"/>
          <w14:textFill>
            <w14:solidFill>
              <w14:schemeClr w14:val="tx1"/>
            </w14:solidFill>
          </w14:textFill>
        </w:rPr>
      </w:pPr>
      <w:r>
        <w:rPr>
          <w:rFonts w:eastAsia="微软雅黑"/>
          <w:color w:val="000000" w:themeColor="text1"/>
          <w:kern w:val="0"/>
          <w:sz w:val="24"/>
          <w:szCs w:val="21"/>
          <w14:textFill>
            <w14:solidFill>
              <w14:schemeClr w14:val="tx1"/>
            </w14:solidFill>
          </w14:textFill>
        </w:rPr>
        <w:t>③</w:t>
      </w:r>
      <w:r>
        <w:rPr>
          <w:color w:val="000000" w:themeColor="text1"/>
          <w:kern w:val="0"/>
          <w:sz w:val="24"/>
          <w:szCs w:val="21"/>
          <w14:textFill>
            <w14:solidFill>
              <w14:schemeClr w14:val="tx1"/>
            </w14:solidFill>
          </w14:textFill>
        </w:rPr>
        <w:t>运输道路应经常洒水，以减少扬尘污染，限制车辆行驶速度（不大于5km/h）。</w:t>
      </w:r>
    </w:p>
    <w:p w14:paraId="30E5B377">
      <w:pPr>
        <w:widowControl/>
        <w:spacing w:line="480" w:lineRule="exact"/>
        <w:ind w:firstLine="480" w:firstLineChars="200"/>
        <w:rPr>
          <w:color w:val="000000" w:themeColor="text1"/>
          <w:kern w:val="0"/>
          <w:sz w:val="24"/>
          <w:szCs w:val="21"/>
          <w14:textFill>
            <w14:solidFill>
              <w14:schemeClr w14:val="tx1"/>
            </w14:solidFill>
          </w14:textFill>
        </w:rPr>
      </w:pPr>
      <w:r>
        <w:rPr>
          <w:rFonts w:eastAsia="微软雅黑"/>
          <w:color w:val="000000" w:themeColor="text1"/>
          <w:kern w:val="0"/>
          <w:sz w:val="24"/>
          <w:szCs w:val="21"/>
          <w14:textFill>
            <w14:solidFill>
              <w14:schemeClr w14:val="tx1"/>
            </w14:solidFill>
          </w14:textFill>
        </w:rPr>
        <w:t>④</w:t>
      </w:r>
      <w:r>
        <w:rPr>
          <w:color w:val="000000" w:themeColor="text1"/>
          <w:kern w:val="0"/>
          <w:sz w:val="24"/>
          <w:szCs w:val="21"/>
          <w14:textFill>
            <w14:solidFill>
              <w14:schemeClr w14:val="tx1"/>
            </w14:solidFill>
          </w14:textFill>
        </w:rPr>
        <w:t>文明施工，对施工机械进行适当的保养、维修和操作，以减少施工作业中大气污染物的排放。</w:t>
      </w:r>
    </w:p>
    <w:p w14:paraId="0AF99DF6">
      <w:pPr>
        <w:widowControl/>
        <w:spacing w:line="480" w:lineRule="exact"/>
        <w:ind w:firstLine="480" w:firstLineChars="200"/>
        <w:rPr>
          <w:color w:val="000000" w:themeColor="text1"/>
          <w:kern w:val="0"/>
          <w:sz w:val="24"/>
          <w:szCs w:val="21"/>
          <w14:textFill>
            <w14:solidFill>
              <w14:schemeClr w14:val="tx1"/>
            </w14:solidFill>
          </w14:textFill>
        </w:rPr>
      </w:pPr>
      <w:r>
        <w:rPr>
          <w:rFonts w:eastAsia="微软雅黑"/>
          <w:color w:val="000000" w:themeColor="text1"/>
          <w:kern w:val="0"/>
          <w:sz w:val="24"/>
          <w:szCs w:val="21"/>
          <w14:textFill>
            <w14:solidFill>
              <w14:schemeClr w14:val="tx1"/>
            </w14:solidFill>
          </w14:textFill>
        </w:rPr>
        <w:t>⑤</w:t>
      </w:r>
      <w:r>
        <w:rPr>
          <w:color w:val="000000" w:themeColor="text1"/>
          <w:kern w:val="0"/>
          <w:sz w:val="24"/>
          <w:szCs w:val="21"/>
          <w14:textFill>
            <w14:solidFill>
              <w14:schemeClr w14:val="tx1"/>
            </w14:solidFill>
          </w14:textFill>
        </w:rPr>
        <w:t>禁止大风天气施工，避免在大风天气进行大量挖土、堆土及运输土方的工作。</w:t>
      </w:r>
    </w:p>
    <w:p w14:paraId="11860345">
      <w:pPr>
        <w:widowControl/>
        <w:spacing w:line="480" w:lineRule="exact"/>
        <w:ind w:firstLine="480" w:firstLineChars="200"/>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⑥施工过程中如遇重污染天气预警，必须立即停止施工。</w:t>
      </w:r>
    </w:p>
    <w:p w14:paraId="27B83543">
      <w:pPr>
        <w:widowControl/>
        <w:spacing w:line="480" w:lineRule="exact"/>
        <w:ind w:firstLine="480" w:firstLineChars="200"/>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⑦做好施工现场周边土地平整工作，对挖方产生的临时堆土实行定期喷洒、覆盖等防护措施。</w:t>
      </w:r>
    </w:p>
    <w:p w14:paraId="22E7717C">
      <w:pPr>
        <w:widowControl/>
        <w:spacing w:line="480" w:lineRule="exact"/>
        <w:ind w:firstLine="480" w:firstLineChars="200"/>
        <w:rPr>
          <w:rFonts w:hint="eastAsia"/>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⑧施工场地四周设防尘彩钢板减少扬尘</w:t>
      </w:r>
      <w:r>
        <w:rPr>
          <w:rFonts w:hint="eastAsia"/>
          <w:color w:val="000000" w:themeColor="text1"/>
          <w:kern w:val="0"/>
          <w:sz w:val="24"/>
          <w:szCs w:val="21"/>
          <w14:textFill>
            <w14:solidFill>
              <w14:schemeClr w14:val="tx1"/>
            </w14:solidFill>
          </w14:textFill>
        </w:rPr>
        <w:t>对周边环境的</w:t>
      </w:r>
      <w:r>
        <w:rPr>
          <w:color w:val="000000" w:themeColor="text1"/>
          <w:kern w:val="0"/>
          <w:sz w:val="24"/>
          <w:szCs w:val="21"/>
          <w14:textFill>
            <w14:solidFill>
              <w14:schemeClr w14:val="tx1"/>
            </w14:solidFill>
          </w14:textFill>
        </w:rPr>
        <w:t>影响。</w:t>
      </w:r>
    </w:p>
    <w:p w14:paraId="120AC825">
      <w:pPr>
        <w:widowControl/>
        <w:spacing w:line="480" w:lineRule="exact"/>
        <w:ind w:firstLine="480" w:firstLineChars="200"/>
        <w:rPr>
          <w:color w:val="000000" w:themeColor="text1"/>
          <w:kern w:val="0"/>
          <w:sz w:val="24"/>
          <w:szCs w:val="21"/>
          <w14:textFill>
            <w14:solidFill>
              <w14:schemeClr w14:val="tx1"/>
            </w14:solidFill>
          </w14:textFill>
        </w:rPr>
      </w:pPr>
      <w:bookmarkStart w:id="519" w:name="_Toc24602_WPSOffice_Level3"/>
      <w:r>
        <w:rPr>
          <w:color w:val="000000" w:themeColor="text1"/>
          <w:kern w:val="0"/>
          <w:sz w:val="24"/>
          <w:szCs w:val="21"/>
          <w14:textFill>
            <w14:solidFill>
              <w14:schemeClr w14:val="tx1"/>
            </w14:solidFill>
          </w14:textFill>
        </w:rPr>
        <w:t>（2）运输扬尘及施工机具废气污染防治措施</w:t>
      </w:r>
      <w:bookmarkEnd w:id="519"/>
    </w:p>
    <w:p w14:paraId="15544A93">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施工场地内限速行驶并保持路面的清洁。</w:t>
      </w:r>
    </w:p>
    <w:p w14:paraId="5F3EA856">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加强对施工车辆的检修和维护，严禁使用超期服役和尾气超标的车辆。</w:t>
      </w:r>
    </w:p>
    <w:p w14:paraId="797638A6">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对施工期进出现场车流量进行合理安排，防止施工现场车流量过大。</w:t>
      </w:r>
    </w:p>
    <w:p w14:paraId="2266A40A">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尽可能使用耗油低，排气小的施工车辆，选用优质燃油，减少机械和车辆有害废气排放。</w:t>
      </w:r>
    </w:p>
    <w:p w14:paraId="5E938567">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w:t>
      </w:r>
      <w:r>
        <w:rPr>
          <w:color w:val="000000" w:themeColor="text1"/>
          <w:sz w:val="24"/>
          <w14:textFill>
            <w14:solidFill>
              <w14:schemeClr w14:val="tx1"/>
            </w14:solidFill>
          </w14:textFill>
        </w:rPr>
        <w:t>施工过程中禁止将废弃的建筑材料作为燃料燃烧，工地食堂应尽量使用清洁燃料。</w:t>
      </w:r>
      <w:bookmarkStart w:id="520" w:name="_Toc253485800"/>
      <w:bookmarkStart w:id="521" w:name="_Toc302479467"/>
      <w:bookmarkStart w:id="522" w:name="_Toc285449480"/>
      <w:bookmarkStart w:id="523" w:name="_Toc285448907"/>
      <w:bookmarkStart w:id="524" w:name="_Toc130114681"/>
      <w:bookmarkStart w:id="525" w:name="_Toc129838770"/>
      <w:bookmarkStart w:id="526" w:name="_Toc268028135"/>
      <w:bookmarkStart w:id="527" w:name="_Toc309999882"/>
      <w:bookmarkStart w:id="528" w:name="_Toc302775905"/>
      <w:bookmarkStart w:id="529" w:name="_Toc302776115"/>
      <w:bookmarkStart w:id="530" w:name="_Toc197828761"/>
    </w:p>
    <w:p w14:paraId="027F0788">
      <w:pPr>
        <w:pStyle w:val="4"/>
        <w:spacing w:before="60" w:after="60" w:line="480" w:lineRule="exact"/>
        <w:rPr>
          <w:color w:val="000000" w:themeColor="text1"/>
          <w:kern w:val="2"/>
          <w14:textFill>
            <w14:solidFill>
              <w14:schemeClr w14:val="tx1"/>
            </w14:solidFill>
          </w14:textFill>
        </w:rPr>
      </w:pPr>
      <w:bookmarkStart w:id="531" w:name="_Toc32615"/>
      <w:bookmarkStart w:id="532" w:name="_Toc20495"/>
      <w:bookmarkStart w:id="533" w:name="_Toc20454"/>
      <w:bookmarkStart w:id="534" w:name="_Toc22126281"/>
      <w:bookmarkStart w:id="535" w:name="_Toc24888"/>
      <w:bookmarkStart w:id="536" w:name="_Toc31583"/>
      <w:r>
        <w:rPr>
          <w:color w:val="000000" w:themeColor="text1"/>
          <w:kern w:val="2"/>
          <w14:textFill>
            <w14:solidFill>
              <w14:schemeClr w14:val="tx1"/>
            </w14:solidFill>
          </w14:textFill>
        </w:rPr>
        <w:t>6.1.2</w:t>
      </w:r>
      <w:bookmarkEnd w:id="520"/>
      <w:bookmarkEnd w:id="521"/>
      <w:bookmarkEnd w:id="522"/>
      <w:bookmarkEnd w:id="523"/>
      <w:bookmarkEnd w:id="524"/>
      <w:bookmarkEnd w:id="525"/>
      <w:bookmarkEnd w:id="526"/>
      <w:bookmarkEnd w:id="527"/>
      <w:bookmarkEnd w:id="528"/>
      <w:bookmarkEnd w:id="529"/>
      <w:bookmarkEnd w:id="530"/>
      <w:r>
        <w:rPr>
          <w:color w:val="000000" w:themeColor="text1"/>
          <w:kern w:val="2"/>
          <w14:textFill>
            <w14:solidFill>
              <w14:schemeClr w14:val="tx1"/>
            </w14:solidFill>
          </w14:textFill>
        </w:rPr>
        <w:t>施工期废水防治措施</w:t>
      </w:r>
      <w:bookmarkEnd w:id="531"/>
      <w:bookmarkEnd w:id="532"/>
      <w:bookmarkEnd w:id="533"/>
      <w:bookmarkEnd w:id="534"/>
      <w:bookmarkEnd w:id="535"/>
      <w:bookmarkEnd w:id="536"/>
    </w:p>
    <w:p w14:paraId="34AAC24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施工过程中产生废水主要为生活</w:t>
      </w:r>
      <w:r>
        <w:rPr>
          <w:rFonts w:hint="eastAsia"/>
          <w:color w:val="000000" w:themeColor="text1"/>
          <w:sz w:val="24"/>
          <w:lang w:val="en-US" w:eastAsia="zh-CN"/>
          <w14:textFill>
            <w14:solidFill>
              <w14:schemeClr w14:val="tx1"/>
            </w14:solidFill>
          </w14:textFill>
        </w:rPr>
        <w:t>污水</w:t>
      </w:r>
      <w:r>
        <w:rPr>
          <w:color w:val="000000" w:themeColor="text1"/>
          <w:sz w:val="24"/>
          <w14:textFill>
            <w14:solidFill>
              <w14:schemeClr w14:val="tx1"/>
            </w14:solidFill>
          </w14:textFill>
        </w:rPr>
        <w:t>和施工废水，本环评提出的处理措施如下：</w:t>
      </w:r>
    </w:p>
    <w:p w14:paraId="5A3C4D8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color w:val="000000" w:themeColor="text1"/>
          <w:sz w:val="24"/>
          <w:lang w:val="zh-CN"/>
          <w14:textFill>
            <w14:solidFill>
              <w14:schemeClr w14:val="tx1"/>
            </w14:solidFill>
          </w14:textFill>
        </w:rPr>
        <w:t>施工期生活污水产生量不大，</w:t>
      </w:r>
      <w:r>
        <w:rPr>
          <w:rFonts w:hint="eastAsia"/>
          <w:color w:val="000000" w:themeColor="text1"/>
          <w:sz w:val="24"/>
          <w14:textFill>
            <w14:solidFill>
              <w14:schemeClr w14:val="tx1"/>
            </w14:solidFill>
          </w14:textFill>
        </w:rPr>
        <w:t>可依托原有工程生活污水处理设施处理后，综合利用</w:t>
      </w:r>
      <w:r>
        <w:rPr>
          <w:color w:val="000000" w:themeColor="text1"/>
          <w:sz w:val="24"/>
          <w14:textFill>
            <w14:solidFill>
              <w14:schemeClr w14:val="tx1"/>
            </w14:solidFill>
          </w14:textFill>
        </w:rPr>
        <w:t>。</w:t>
      </w:r>
    </w:p>
    <w:p w14:paraId="0ED811F1">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（2）施工场地设置临时沉砂池，将施工废水沉淀后回用于施工工序，如洒水降尘等</w:t>
      </w:r>
      <w:r>
        <w:rPr>
          <w:rFonts w:hint="eastAsia"/>
          <w:color w:val="000000" w:themeColor="text1"/>
          <w:sz w:val="24"/>
          <w14:textFill>
            <w14:solidFill>
              <w14:schemeClr w14:val="tx1"/>
            </w14:solidFill>
          </w14:textFill>
        </w:rPr>
        <w:t>，禁止排入附近地表水体</w:t>
      </w:r>
      <w:r>
        <w:rPr>
          <w:color w:val="000000" w:themeColor="text1"/>
          <w:sz w:val="24"/>
          <w14:textFill>
            <w14:solidFill>
              <w14:schemeClr w14:val="tx1"/>
            </w14:solidFill>
          </w14:textFill>
        </w:rPr>
        <w:t>。</w:t>
      </w:r>
    </w:p>
    <w:p w14:paraId="42C7B224">
      <w:pPr>
        <w:pStyle w:val="4"/>
        <w:spacing w:before="60" w:after="60" w:line="480" w:lineRule="exact"/>
        <w:rPr>
          <w:color w:val="000000" w:themeColor="text1"/>
          <w:kern w:val="2"/>
          <w14:textFill>
            <w14:solidFill>
              <w14:schemeClr w14:val="tx1"/>
            </w14:solidFill>
          </w14:textFill>
        </w:rPr>
      </w:pPr>
      <w:bookmarkStart w:id="537" w:name="_Toc5770_WPSOffice_Level3"/>
      <w:bookmarkStart w:id="538" w:name="_Toc3843_WPSOffice_Level2"/>
      <w:bookmarkStart w:id="539" w:name="_Toc2417"/>
      <w:bookmarkStart w:id="540" w:name="_Toc17598"/>
      <w:bookmarkStart w:id="541" w:name="_Toc32742"/>
      <w:bookmarkStart w:id="542" w:name="_Toc30046"/>
      <w:bookmarkStart w:id="543" w:name="_Toc20125"/>
      <w:bookmarkStart w:id="544" w:name="_Toc22126282"/>
      <w:r>
        <w:rPr>
          <w:color w:val="000000" w:themeColor="text1"/>
          <w:kern w:val="2"/>
          <w14:textFill>
            <w14:solidFill>
              <w14:schemeClr w14:val="tx1"/>
            </w14:solidFill>
          </w14:textFill>
        </w:rPr>
        <w:t>6.1.3</w:t>
      </w:r>
      <w:bookmarkEnd w:id="537"/>
      <w:bookmarkEnd w:id="538"/>
      <w:r>
        <w:rPr>
          <w:color w:val="000000" w:themeColor="text1"/>
          <w:kern w:val="2"/>
          <w14:textFill>
            <w14:solidFill>
              <w14:schemeClr w14:val="tx1"/>
            </w14:solidFill>
          </w14:textFill>
        </w:rPr>
        <w:t>施工期噪声防治措施</w:t>
      </w:r>
      <w:bookmarkEnd w:id="539"/>
      <w:bookmarkEnd w:id="540"/>
      <w:bookmarkEnd w:id="541"/>
      <w:bookmarkEnd w:id="542"/>
      <w:bookmarkEnd w:id="543"/>
      <w:bookmarkEnd w:id="544"/>
    </w:p>
    <w:p w14:paraId="1ED5BE26">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为了减轻施工噪声</w:t>
      </w:r>
      <w:r>
        <w:rPr>
          <w:rFonts w:hint="eastAsia"/>
          <w:color w:val="000000" w:themeColor="text1"/>
          <w:sz w:val="24"/>
          <w14:textFill>
            <w14:solidFill>
              <w14:schemeClr w14:val="tx1"/>
            </w14:solidFill>
          </w14:textFill>
        </w:rPr>
        <w:t>对周围环境的影响</w:t>
      </w:r>
      <w:r>
        <w:rPr>
          <w:color w:val="000000" w:themeColor="text1"/>
          <w:sz w:val="24"/>
          <w14:textFill>
            <w14:solidFill>
              <w14:schemeClr w14:val="tx1"/>
            </w14:solidFill>
          </w14:textFill>
        </w:rPr>
        <w:t>，建设方应采取有效措施控制施工期噪声。施工期噪声污染控制对策：</w:t>
      </w:r>
    </w:p>
    <w:p w14:paraId="0F439CDE">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bookmarkStart w:id="545" w:name="_Toc12893_WPSOffice_Level3"/>
      <w:r>
        <w:rPr>
          <w:color w:val="000000" w:themeColor="text1"/>
          <w:kern w:val="0"/>
          <w:sz w:val="24"/>
          <w:szCs w:val="21"/>
          <w14:textFill>
            <w14:solidFill>
              <w14:schemeClr w14:val="tx1"/>
            </w14:solidFill>
          </w14:textFill>
        </w:rPr>
        <w:t>（1）施工机械噪声控制措施</w:t>
      </w:r>
      <w:bookmarkEnd w:id="545"/>
    </w:p>
    <w:p w14:paraId="0DB0FC13">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①施工现场周围采用符合规定强度的硬质材料（夹芯彩钢板、砌体）设置不低于2.5m的密闭</w:t>
      </w:r>
      <w:r>
        <w:rPr>
          <w:rFonts w:hint="eastAsia"/>
          <w:color w:val="000000" w:themeColor="text1"/>
          <w:kern w:val="0"/>
          <w:sz w:val="24"/>
          <w:szCs w:val="21"/>
          <w:lang w:eastAsia="zh-CN"/>
          <w14:textFill>
            <w14:solidFill>
              <w14:schemeClr w14:val="tx1"/>
            </w14:solidFill>
          </w14:textFill>
        </w:rPr>
        <w:t>围挡</w:t>
      </w:r>
      <w:r>
        <w:rPr>
          <w:color w:val="000000" w:themeColor="text1"/>
          <w:kern w:val="0"/>
          <w:sz w:val="24"/>
          <w:szCs w:val="21"/>
          <w14:textFill>
            <w14:solidFill>
              <w14:schemeClr w14:val="tx1"/>
            </w14:solidFill>
          </w14:textFill>
        </w:rPr>
        <w:t>，确保基础牢固，表面平整和清洁。</w:t>
      </w:r>
    </w:p>
    <w:p w14:paraId="053D85AA">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②将易产生噪声的作业设备，尽可能设置在设有隔音功能的临房、临棚内操作，从空间布置上减少噪声污染。</w:t>
      </w:r>
    </w:p>
    <w:p w14:paraId="4220DA48">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③夜间施工按规定办理夜间施工许可与备案手续并向社会公示。夜间施工不准进行</w:t>
      </w:r>
      <w:r>
        <w:rPr>
          <w:rFonts w:hint="eastAsia"/>
          <w:color w:val="000000" w:themeColor="text1"/>
          <w:kern w:val="0"/>
          <w:sz w:val="24"/>
          <w:szCs w:val="21"/>
          <w:lang w:eastAsia="zh-CN"/>
          <w14:textFill>
            <w14:solidFill>
              <w14:schemeClr w14:val="tx1"/>
            </w14:solidFill>
          </w14:textFill>
        </w:rPr>
        <w:t>锤打</w:t>
      </w:r>
      <w:r>
        <w:rPr>
          <w:color w:val="000000" w:themeColor="text1"/>
          <w:kern w:val="0"/>
          <w:sz w:val="24"/>
          <w:szCs w:val="21"/>
          <w14:textFill>
            <w14:solidFill>
              <w14:schemeClr w14:val="tx1"/>
            </w14:solidFill>
          </w14:textFill>
        </w:rPr>
        <w:t>、敲击和锯割等作业。</w:t>
      </w:r>
    </w:p>
    <w:p w14:paraId="166FDAD6">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④禁止使用国家明令禁止的环境噪声污染严重的设备。</w:t>
      </w:r>
    </w:p>
    <w:p w14:paraId="529A0D0D">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bookmarkStart w:id="546" w:name="_Toc18134_WPSOffice_Level3"/>
      <w:r>
        <w:rPr>
          <w:color w:val="000000" w:themeColor="text1"/>
          <w:kern w:val="0"/>
          <w:sz w:val="24"/>
          <w:szCs w:val="21"/>
          <w14:textFill>
            <w14:solidFill>
              <w14:schemeClr w14:val="tx1"/>
            </w14:solidFill>
          </w14:textFill>
        </w:rPr>
        <w:t>（2）施工运输车辆交通噪声控制措施</w:t>
      </w:r>
      <w:bookmarkEnd w:id="546"/>
    </w:p>
    <w:p w14:paraId="54AFEA71">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施工过程中各种运输车辆的运行，还将会引起公路沿线噪声级的增加。根据类比调查，重型车辆怠速行驶时噪声值约为65～80dB（A），正常行驶时约为65～90dB（A），施工期间不可避免对周边环境造成一定的影响。因此，建设方应在通道两侧设置隔声屏障，同时加强对运输车辆的管理，尽量压缩施工区汽车数量和行车密度，设置禁鸣警示牌。</w:t>
      </w:r>
    </w:p>
    <w:p w14:paraId="2A81473D">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bookmarkStart w:id="547" w:name="_Toc19315_WPSOffice_Level3"/>
      <w:r>
        <w:rPr>
          <w:color w:val="000000" w:themeColor="text1"/>
          <w:kern w:val="0"/>
          <w:sz w:val="24"/>
          <w:szCs w:val="21"/>
          <w14:textFill>
            <w14:solidFill>
              <w14:schemeClr w14:val="tx1"/>
            </w14:solidFill>
          </w14:textFill>
        </w:rPr>
        <w:t>（3）土方工程施工噪声控制措施</w:t>
      </w:r>
      <w:bookmarkEnd w:id="547"/>
    </w:p>
    <w:p w14:paraId="011C6406">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①挖掘机、推土机、重型运输汽车等产生噪声的施工机械进场必须先试车，确定润滑良好，各紧固件无松动，无不良噪声后方可投入使用，运行过程中应经常检查保养，不准带</w:t>
      </w:r>
      <w:r>
        <w:rPr>
          <w:rFonts w:hint="eastAsia" w:ascii="仿宋_GB2312" w:hAnsi="宋体" w:eastAsia="仿宋_GB2312"/>
          <w:color w:val="000000" w:themeColor="text1"/>
          <w:kern w:val="0"/>
          <w:sz w:val="24"/>
          <w:szCs w:val="21"/>
          <w14:textFill>
            <w14:solidFill>
              <w14:schemeClr w14:val="tx1"/>
            </w14:solidFill>
          </w14:textFill>
        </w:rPr>
        <w:t>“</w:t>
      </w:r>
      <w:r>
        <w:rPr>
          <w:color w:val="000000" w:themeColor="text1"/>
          <w:kern w:val="0"/>
          <w:sz w:val="24"/>
          <w:szCs w:val="21"/>
          <w14:textFill>
            <w14:solidFill>
              <w14:schemeClr w14:val="tx1"/>
            </w14:solidFill>
          </w14:textFill>
        </w:rPr>
        <w:t>病</w:t>
      </w:r>
      <w:r>
        <w:rPr>
          <w:rFonts w:hint="eastAsia" w:ascii="仿宋_GB2312" w:hAnsi="宋体" w:eastAsia="仿宋_GB2312"/>
          <w:color w:val="000000" w:themeColor="text1"/>
          <w:kern w:val="0"/>
          <w:sz w:val="24"/>
          <w:szCs w:val="21"/>
          <w14:textFill>
            <w14:solidFill>
              <w14:schemeClr w14:val="tx1"/>
            </w14:solidFill>
          </w14:textFill>
        </w:rPr>
        <w:t>”</w:t>
      </w:r>
      <w:r>
        <w:rPr>
          <w:color w:val="000000" w:themeColor="text1"/>
          <w:kern w:val="0"/>
          <w:sz w:val="24"/>
          <w:szCs w:val="21"/>
          <w14:textFill>
            <w14:solidFill>
              <w14:schemeClr w14:val="tx1"/>
            </w14:solidFill>
          </w14:textFill>
        </w:rPr>
        <w:t>运转；</w:t>
      </w:r>
    </w:p>
    <w:p w14:paraId="63C9A65A">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②尽量避免夜间施工。</w:t>
      </w:r>
    </w:p>
    <w:p w14:paraId="4E72535F">
      <w:pPr>
        <w:pStyle w:val="4"/>
        <w:spacing w:before="60" w:after="60" w:line="480" w:lineRule="exact"/>
        <w:rPr>
          <w:color w:val="000000" w:themeColor="text1"/>
          <w:kern w:val="2"/>
          <w14:textFill>
            <w14:solidFill>
              <w14:schemeClr w14:val="tx1"/>
            </w14:solidFill>
          </w14:textFill>
        </w:rPr>
      </w:pPr>
      <w:bookmarkStart w:id="548" w:name="_Toc285448909"/>
      <w:bookmarkStart w:id="549" w:name="_Toc268028137"/>
      <w:bookmarkStart w:id="550" w:name="_Toc285449482"/>
      <w:bookmarkStart w:id="551" w:name="_Toc302776117"/>
      <w:bookmarkStart w:id="552" w:name="_Toc197828763"/>
      <w:bookmarkStart w:id="553" w:name="_Toc302775907"/>
      <w:bookmarkStart w:id="554" w:name="_Toc129838772"/>
      <w:bookmarkStart w:id="555" w:name="_Toc24378"/>
      <w:bookmarkStart w:id="556" w:name="_Toc11685"/>
      <w:bookmarkStart w:id="557" w:name="_Toc6955"/>
      <w:bookmarkStart w:id="558" w:name="_Toc253485802"/>
      <w:bookmarkStart w:id="559" w:name="_Toc6985"/>
      <w:bookmarkStart w:id="560" w:name="_Toc130114683"/>
      <w:bookmarkStart w:id="561" w:name="_Toc17825"/>
      <w:bookmarkStart w:id="562" w:name="_Toc309999884"/>
      <w:bookmarkStart w:id="563" w:name="_Toc302479469"/>
      <w:bookmarkStart w:id="564" w:name="_Toc22126283"/>
      <w:r>
        <w:rPr>
          <w:color w:val="000000" w:themeColor="text1"/>
          <w:kern w:val="2"/>
          <w14:textFill>
            <w14:solidFill>
              <w14:schemeClr w14:val="tx1"/>
            </w14:solidFill>
          </w14:textFill>
        </w:rPr>
        <w:t>6.1.4施工期固体废物防治措施</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5C4ACCB3">
      <w:pPr>
        <w:spacing w:line="480" w:lineRule="exact"/>
        <w:ind w:firstLine="480" w:firstLineChars="200"/>
        <w:rPr>
          <w:color w:val="000000" w:themeColor="text1"/>
          <w:sz w:val="24"/>
          <w14:textFill>
            <w14:solidFill>
              <w14:schemeClr w14:val="tx1"/>
            </w14:solidFill>
          </w14:textFill>
        </w:rPr>
      </w:pPr>
      <w:bookmarkStart w:id="565" w:name="_Toc302775908"/>
      <w:bookmarkStart w:id="566" w:name="_Toc302479470"/>
      <w:bookmarkStart w:id="567" w:name="_Toc309999885"/>
      <w:bookmarkStart w:id="568" w:name="_Toc302776118"/>
      <w:r>
        <w:rPr>
          <w:color w:val="000000" w:themeColor="text1"/>
          <w:sz w:val="24"/>
          <w14:textFill>
            <w14:solidFill>
              <w14:schemeClr w14:val="tx1"/>
            </w14:solidFill>
          </w14:textFill>
        </w:rPr>
        <w:t>施工时由于井下开拓及工业场地建设平整土地、建设构筑物等过程中会产生一定量的施工余土、废石和部分建筑垃圾。</w:t>
      </w:r>
    </w:p>
    <w:p w14:paraId="27A9F631">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施工区垃圾具有分散、不易收集等特点，对其处理措施有以下几方面：</w:t>
      </w:r>
    </w:p>
    <w:p w14:paraId="46CEE3B1">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（1）根据施工布置，设置加盖垃圾箱，向广大施工人员</w:t>
      </w:r>
      <w:r>
        <w:rPr>
          <w:rFonts w:hint="eastAsia"/>
          <w:color w:val="000000" w:themeColor="text1"/>
          <w:sz w:val="24"/>
          <w14:textFill>
            <w14:solidFill>
              <w14:schemeClr w14:val="tx1"/>
            </w14:solidFill>
          </w14:textFill>
        </w:rPr>
        <w:t>做好</w:t>
      </w:r>
      <w:r>
        <w:rPr>
          <w:color w:val="000000" w:themeColor="text1"/>
          <w:sz w:val="24"/>
          <w14:textFill>
            <w14:solidFill>
              <w14:schemeClr w14:val="tx1"/>
            </w14:solidFill>
          </w14:textFill>
        </w:rPr>
        <w:t>卫生宣传工作，使他们养成向垃圾收集站投放垃圾的习惯。</w:t>
      </w:r>
    </w:p>
    <w:p w14:paraId="2521D7C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（2）配设垃圾清运员及相应工具，由专人及时进行垃圾的清运工作。</w:t>
      </w:r>
    </w:p>
    <w:p w14:paraId="43D9267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（3）做好垃圾收集及处理的规划工作，将清运后的垃圾倒入指定的垃圾处理场中，避免由于垃圾处置不当而造成二次污染。</w:t>
      </w:r>
    </w:p>
    <w:p w14:paraId="5020D9A0">
      <w:pPr>
        <w:spacing w:line="480" w:lineRule="exact"/>
        <w:ind w:firstLine="480" w:firstLineChars="200"/>
        <w:rPr>
          <w:bCs/>
          <w:color w:val="000000" w:themeColor="text1"/>
          <w:spacing w:val="-1"/>
          <w:kern w:val="0"/>
          <w:sz w:val="32"/>
          <w:szCs w:val="30"/>
          <w14:textFill>
            <w14:solidFill>
              <w14:schemeClr w14:val="tx1"/>
            </w14:solidFill>
          </w14:textFill>
        </w:rPr>
      </w:pPr>
      <w:r>
        <w:rPr>
          <w:color w:val="000000" w:themeColor="text1"/>
          <w:sz w:val="24"/>
          <w14:textFill>
            <w14:solidFill>
              <w14:schemeClr w14:val="tx1"/>
            </w14:solidFill>
          </w14:textFill>
        </w:rPr>
        <w:t>各施工区作业结束后，要及时、全面地进行清场工作，不得遗留垃圾</w:t>
      </w:r>
      <w:r>
        <w:rPr>
          <w:rFonts w:hint="eastAsia"/>
          <w:color w:val="000000" w:themeColor="text1"/>
          <w:sz w:val="24"/>
          <w14:textFill>
            <w14:solidFill>
              <w14:schemeClr w14:val="tx1"/>
            </w14:solidFill>
          </w14:textFill>
        </w:rPr>
        <w:t>，禁止排入附近地表水体</w:t>
      </w:r>
      <w:r>
        <w:rPr>
          <w:color w:val="000000" w:themeColor="text1"/>
          <w:sz w:val="24"/>
          <w14:textFill>
            <w14:solidFill>
              <w14:schemeClr w14:val="tx1"/>
            </w14:solidFill>
          </w14:textFill>
        </w:rPr>
        <w:t>。</w:t>
      </w:r>
      <w:bookmarkStart w:id="569" w:name="_Toc23447"/>
      <w:bookmarkStart w:id="570" w:name="_Toc30586"/>
      <w:bookmarkStart w:id="571" w:name="_Toc28359"/>
      <w:bookmarkStart w:id="572" w:name="_Toc22126284"/>
    </w:p>
    <w:p w14:paraId="0D115DAC">
      <w:pPr>
        <w:pStyle w:val="4"/>
        <w:spacing w:before="60" w:after="60" w:line="480" w:lineRule="exact"/>
        <w:rPr>
          <w:color w:val="000000" w:themeColor="text1"/>
          <w:kern w:val="2"/>
          <w14:textFill>
            <w14:solidFill>
              <w14:schemeClr w14:val="tx1"/>
            </w14:solidFill>
          </w14:textFill>
        </w:rPr>
      </w:pPr>
      <w:bookmarkStart w:id="573" w:name="_Toc25496"/>
      <w:bookmarkStart w:id="574" w:name="_Toc3857"/>
      <w:r>
        <w:rPr>
          <w:color w:val="000000" w:themeColor="text1"/>
          <w:kern w:val="2"/>
          <w14:textFill>
            <w14:solidFill>
              <w14:schemeClr w14:val="tx1"/>
            </w14:solidFill>
          </w14:textFill>
        </w:rPr>
        <w:t>6.1.5施工期生态环境保护措施</w:t>
      </w:r>
      <w:bookmarkEnd w:id="565"/>
      <w:bookmarkEnd w:id="566"/>
      <w:bookmarkEnd w:id="567"/>
      <w:bookmarkEnd w:id="568"/>
      <w:bookmarkEnd w:id="569"/>
      <w:bookmarkEnd w:id="570"/>
      <w:bookmarkEnd w:id="571"/>
      <w:bookmarkEnd w:id="572"/>
      <w:bookmarkEnd w:id="573"/>
      <w:bookmarkEnd w:id="574"/>
    </w:p>
    <w:p w14:paraId="0989CF50">
      <w:pPr>
        <w:spacing w:line="48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（1）</w:t>
      </w:r>
      <w:r>
        <w:rPr>
          <w:color w:val="000000" w:themeColor="text1"/>
          <w:sz w:val="24"/>
          <w:szCs w:val="20"/>
          <w14:textFill>
            <w14:solidFill>
              <w14:schemeClr w14:val="tx1"/>
            </w14:solidFill>
          </w14:textFill>
        </w:rPr>
        <w:t>按照《冶金行业绿色矿山建设规范》（DZ/T0319-2018）有关要求对矿区永久性占地（</w:t>
      </w:r>
      <w:r>
        <w:rPr>
          <w:rFonts w:hint="eastAsia"/>
          <w:color w:val="000000" w:themeColor="text1"/>
          <w:sz w:val="24"/>
          <w:szCs w:val="20"/>
          <w:lang w:eastAsia="zh-CN"/>
          <w14:textFill>
            <w14:solidFill>
              <w14:schemeClr w14:val="tx1"/>
            </w14:solidFill>
          </w14:textFill>
        </w:rPr>
        <w:t>西</w:t>
      </w:r>
      <w:r>
        <w:rPr>
          <w:rFonts w:hint="eastAsia"/>
          <w:color w:val="000000" w:themeColor="text1"/>
          <w:sz w:val="24"/>
          <w:szCs w:val="20"/>
          <w14:textFill>
            <w14:solidFill>
              <w14:schemeClr w14:val="tx1"/>
            </w14:solidFill>
          </w14:textFill>
        </w:rPr>
        <w:t>风井工业场地、爆破器材库、</w:t>
      </w:r>
      <w:r>
        <w:rPr>
          <w:rFonts w:hint="eastAsia" w:hAnsi="Calibri"/>
          <w:color w:val="000000" w:themeColor="text1"/>
          <w:sz w:val="24"/>
          <w:szCs w:val="20"/>
          <w14:textFill>
            <w14:solidFill>
              <w14:schemeClr w14:val="tx1"/>
            </w14:solidFill>
          </w14:textFill>
        </w:rPr>
        <w:t>废石堆场、采矿工业场地</w:t>
      </w:r>
      <w:r>
        <w:rPr>
          <w:color w:val="000000" w:themeColor="text1"/>
          <w:sz w:val="24"/>
          <w:szCs w:val="20"/>
          <w14:textFill>
            <w14:solidFill>
              <w14:schemeClr w14:val="tx1"/>
            </w14:solidFill>
          </w14:textFill>
        </w:rPr>
        <w:t>等）进行合理规划及建设，尽量减少占地</w:t>
      </w:r>
      <w:r>
        <w:rPr>
          <w:rFonts w:hint="eastAsia"/>
          <w:color w:val="000000" w:themeColor="text1"/>
          <w:sz w:val="24"/>
          <w:szCs w:val="20"/>
          <w14:textFill>
            <w14:solidFill>
              <w14:schemeClr w14:val="tx1"/>
            </w14:solidFill>
          </w14:textFill>
        </w:rPr>
        <w:t>。</w:t>
      </w:r>
    </w:p>
    <w:p w14:paraId="0FDA2385">
      <w:pPr>
        <w:spacing w:line="480" w:lineRule="exact"/>
        <w:ind w:firstLine="480" w:firstLineChars="200"/>
        <w:rPr>
          <w:rFonts w:hint="eastAsia" w:eastAsia="宋体"/>
          <w:color w:val="000000" w:themeColor="text1"/>
          <w:sz w:val="24"/>
          <w:szCs w:val="20"/>
          <w:lang w:eastAsia="zh-CN"/>
          <w14:textFill>
            <w14:solidFill>
              <w14:schemeClr w14:val="tx1"/>
            </w14:solidFill>
          </w14:textFill>
        </w:rPr>
      </w:pPr>
      <w:r>
        <w:rPr>
          <w:rFonts w:hint="eastAsia"/>
          <w:color w:val="000000" w:themeColor="text1"/>
          <w:sz w:val="24"/>
          <w:szCs w:val="20"/>
          <w14:textFill>
            <w14:solidFill>
              <w14:schemeClr w14:val="tx1"/>
            </w14:solidFill>
          </w14:textFill>
        </w:rPr>
        <w:t>（2）</w:t>
      </w:r>
      <w:r>
        <w:rPr>
          <w:color w:val="000000" w:themeColor="text1"/>
          <w:sz w:val="24"/>
          <w:szCs w:val="20"/>
          <w14:textFill>
            <w14:solidFill>
              <w14:schemeClr w14:val="tx1"/>
            </w14:solidFill>
          </w14:textFill>
        </w:rPr>
        <w:t>项目施工过程中，剥离的表土作为复垦用土</w:t>
      </w:r>
      <w:r>
        <w:rPr>
          <w:rFonts w:hint="eastAsia"/>
          <w:color w:val="000000" w:themeColor="text1"/>
          <w:sz w:val="24"/>
          <w:szCs w:val="20"/>
          <w14:textFill>
            <w14:solidFill>
              <w14:schemeClr w14:val="tx1"/>
            </w14:solidFill>
          </w14:textFill>
        </w:rPr>
        <w:t>。</w:t>
      </w:r>
      <w:r>
        <w:rPr>
          <w:color w:val="000000" w:themeColor="text1"/>
          <w:sz w:val="24"/>
          <w14:textFill>
            <w14:solidFill>
              <w14:schemeClr w14:val="tx1"/>
            </w14:solidFill>
          </w14:textFill>
        </w:rPr>
        <w:t>施工结束后恢复施工迹地，对施工迹地和弃方进行合理平整、利用、清运，减少水土流失。</w:t>
      </w:r>
      <w:r>
        <w:rPr>
          <w:rFonts w:hint="eastAsia"/>
          <w:color w:val="000000" w:themeColor="text1"/>
          <w:sz w:val="24"/>
          <w:szCs w:val="21"/>
          <w:lang w:eastAsia="zh-CN"/>
          <w14:textFill>
            <w14:solidFill>
              <w14:schemeClr w14:val="tx1"/>
            </w14:solidFill>
          </w14:textFill>
        </w:rPr>
        <w:t>施工过程中将地表砾石进行收集，施工结束后对临时占地进行恢复，重新覆盖砾石，洒水使其固定，重塑砾幕层。</w:t>
      </w:r>
    </w:p>
    <w:p w14:paraId="4C3927C9">
      <w:pPr>
        <w:spacing w:line="48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（3）</w:t>
      </w:r>
      <w:r>
        <w:rPr>
          <w:color w:val="000000" w:themeColor="text1"/>
          <w:sz w:val="24"/>
          <w:szCs w:val="20"/>
          <w14:textFill>
            <w14:solidFill>
              <w14:schemeClr w14:val="tx1"/>
            </w14:solidFill>
          </w14:textFill>
        </w:rPr>
        <w:t>现场施工机械和人员活动范围严格限制在作业带范围内，道路施工便道的宽度控制在8m，尽量减少施工破坏面；场内外道路工程所需的填方由挖方解决，所需砂、砾石料由当地现有商业料场购买，不设专门土料场及砂、砾石料场，以避免各分散施工场地的弃土随意堆放；施工作业结束后，结合水土保持方案做好施工迹地的恢复。</w:t>
      </w:r>
    </w:p>
    <w:p w14:paraId="0D97C9F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高度重视原有地表对维护本区生态稳定的重要性，加强对施工队伍的宣传、教育和管理。做好施工组织规划工作，严禁将建设施工材料乱堆乱放，划定适宜的堆料场等临时性场所，以防止植被破坏的范围增大。加强对工作人员进行环境保护知识教育，提高工作人员的环境保护意识，严禁采矿人员折损植物，碾踩植被和土壤，尽量避免</w:t>
      </w:r>
      <w:r>
        <w:rPr>
          <w:rFonts w:hint="eastAsia"/>
          <w:color w:val="000000" w:themeColor="text1"/>
          <w:sz w:val="24"/>
          <w14:textFill>
            <w14:solidFill>
              <w14:schemeClr w14:val="tx1"/>
            </w14:solidFill>
          </w14:textFill>
        </w:rPr>
        <w:t>因</w:t>
      </w:r>
      <w:r>
        <w:rPr>
          <w:color w:val="000000" w:themeColor="text1"/>
          <w:sz w:val="24"/>
          <w14:textFill>
            <w14:solidFill>
              <w14:schemeClr w14:val="tx1"/>
            </w14:solidFill>
          </w14:textFill>
        </w:rPr>
        <w:t>人为活动对植被和土壤造成的不利影响；不得捕杀野生动物或随意捣毁动物的巢穴。</w:t>
      </w:r>
    </w:p>
    <w:p w14:paraId="17F9E3C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（5）施工机械和运输工具应在规划的道路上行驶，严禁随意行驶，碾压植被，严禁破坏工程区内的植被，将植被损失降至最低。</w:t>
      </w:r>
    </w:p>
    <w:p w14:paraId="4BB84EB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（6）工程施工活动严格控制在划定的范围内，为防止对天然植被及土壤的破坏，对地面建（构）筑物的布置应以</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尽量减少占地、避免对植被的破坏</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为原则，在总平面布置上充分利用自然地形，本着有利于雨水排</w:t>
      </w:r>
      <w:r>
        <w:rPr>
          <w:rFonts w:hint="eastAsia"/>
          <w:color w:val="000000" w:themeColor="text1"/>
          <w:sz w:val="24"/>
          <w:lang w:val="en-US" w:eastAsia="zh-CN"/>
          <w14:textFill>
            <w14:solidFill>
              <w14:schemeClr w14:val="tx1"/>
            </w14:solidFill>
          </w14:textFill>
        </w:rPr>
        <w:t>出</w:t>
      </w:r>
      <w:r>
        <w:rPr>
          <w:color w:val="000000" w:themeColor="text1"/>
          <w:sz w:val="24"/>
          <w14:textFill>
            <w14:solidFill>
              <w14:schemeClr w14:val="tx1"/>
            </w14:solidFill>
          </w14:textFill>
        </w:rPr>
        <w:t>和减少土方量的原则，尽量减少土石方量和占地面积，提高场地利用系数。</w:t>
      </w:r>
    </w:p>
    <w:p w14:paraId="2B65D626">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（7）完善场内道路，合理规划线路，防止汽车乱轧乱碾。</w:t>
      </w:r>
    </w:p>
    <w:p w14:paraId="19DC982E">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（8）施工期工业场地产生的挖方全部用于填方，剩余部分用于矿区道路建设。</w:t>
      </w:r>
    </w:p>
    <w:p w14:paraId="7F92336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（9）在施工过程中，要严格控制扰动面积，特别是加强施工过程的管理。利用有水有地的地方，认真做好矿区绿化。</w:t>
      </w:r>
    </w:p>
    <w:p w14:paraId="2977A35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（10）尽量采取清洁和高效的生产技术及减少生态环境破坏的施工方式，并且优化施工布局，精心组织管理。</w:t>
      </w:r>
    </w:p>
    <w:p w14:paraId="119159C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（11）</w:t>
      </w:r>
      <w:r>
        <w:rPr>
          <w:rFonts w:hint="eastAsia"/>
          <w:color w:val="000000" w:themeColor="text1"/>
          <w:sz w:val="24"/>
          <w14:textFill>
            <w14:solidFill>
              <w14:schemeClr w14:val="tx1"/>
            </w14:solidFill>
          </w14:textFill>
        </w:rPr>
        <w:t>在施工前，应将永久占地表土集中堆存，用于</w:t>
      </w:r>
      <w:r>
        <w:rPr>
          <w:color w:val="000000" w:themeColor="text1"/>
          <w:sz w:val="24"/>
          <w14:textFill>
            <w14:solidFill>
              <w14:schemeClr w14:val="tx1"/>
            </w14:solidFill>
          </w14:textFill>
        </w:rPr>
        <w:t>施工结束后施工迹地</w:t>
      </w:r>
      <w:r>
        <w:rPr>
          <w:rFonts w:hint="eastAsia"/>
          <w:color w:val="000000" w:themeColor="text1"/>
          <w:sz w:val="24"/>
          <w14:textFill>
            <w14:solidFill>
              <w14:schemeClr w14:val="tx1"/>
            </w14:solidFill>
          </w14:textFill>
        </w:rPr>
        <w:t>恢复及绿化</w:t>
      </w:r>
      <w:r>
        <w:rPr>
          <w:color w:val="000000" w:themeColor="text1"/>
          <w:sz w:val="24"/>
          <w14:textFill>
            <w14:solidFill>
              <w14:schemeClr w14:val="tx1"/>
            </w14:solidFill>
          </w14:textFill>
        </w:rPr>
        <w:t>，尽量减少对区域内植被的破坏，对在植被盖度相对较高的区域进行相关作业时，应预先剥离表层植毡层和将灌丛集中移植到条件较好的地方，以备矿区进行场地恢复时重新覆盖和移植在表面，对施工迹地和弃方进行合理平整、利用、清运，尽快恢复其生态原貌。</w:t>
      </w:r>
    </w:p>
    <w:p w14:paraId="0FEA33CE">
      <w:pPr>
        <w:spacing w:line="480" w:lineRule="exact"/>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w:t>
      </w:r>
      <w:r>
        <w:rPr>
          <w:rFonts w:hint="eastAsia" w:hAnsi="Calibri"/>
          <w:color w:val="000000" w:themeColor="text1"/>
          <w:sz w:val="24"/>
          <w:szCs w:val="20"/>
          <w14:textFill>
            <w14:solidFill>
              <w14:schemeClr w14:val="tx1"/>
            </w14:solidFill>
          </w14:textFill>
        </w:rPr>
        <w:t>1</w:t>
      </w:r>
      <w:r>
        <w:rPr>
          <w:rFonts w:hAnsi="Calibri"/>
          <w:color w:val="000000" w:themeColor="text1"/>
          <w:sz w:val="24"/>
          <w:szCs w:val="20"/>
          <w14:textFill>
            <w14:solidFill>
              <w14:schemeClr w14:val="tx1"/>
            </w14:solidFill>
          </w14:textFill>
        </w:rPr>
        <w:t>2</w:t>
      </w:r>
      <w:r>
        <w:rPr>
          <w:color w:val="000000" w:themeColor="text1"/>
          <w:sz w:val="24"/>
          <w:szCs w:val="20"/>
          <w14:textFill>
            <w14:solidFill>
              <w14:schemeClr w14:val="tx1"/>
            </w14:solidFill>
          </w14:textFill>
        </w:rPr>
        <w:t>）施工机械及人员行走路线应避开植被区，建筑物、堆场与永久性、临时设施应尽量避开有植被的地区。设立明显标志指明行车路线，运输车辆不得随意驶离道路，碾压施工场地周围的植被。施工后期对各类临时占地进行适当平整，保持一定粗糙度并洒水固定，以利于植被恢复。</w:t>
      </w:r>
    </w:p>
    <w:p w14:paraId="63E93910">
      <w:pPr>
        <w:spacing w:line="480" w:lineRule="exact"/>
        <w:ind w:firstLine="480" w:firstLineChars="200"/>
        <w:rPr>
          <w:rFonts w:hint="eastAsia"/>
          <w:color w:val="000000" w:themeColor="text1"/>
          <w:sz w:val="24"/>
          <w:szCs w:val="20"/>
          <w:lang w:eastAsia="zh-CN"/>
          <w14:textFill>
            <w14:solidFill>
              <w14:schemeClr w14:val="tx1"/>
            </w14:solidFill>
          </w14:textFill>
        </w:rPr>
      </w:pPr>
      <w:r>
        <w:rPr>
          <w:color w:val="000000" w:themeColor="text1"/>
          <w:sz w:val="24"/>
          <w:szCs w:val="20"/>
          <w14:textFill>
            <w14:solidFill>
              <w14:schemeClr w14:val="tx1"/>
            </w14:solidFill>
          </w14:textFill>
        </w:rPr>
        <w:t>（</w:t>
      </w:r>
      <w:r>
        <w:rPr>
          <w:rFonts w:hint="eastAsia" w:hAnsi="Calibri"/>
          <w:color w:val="000000" w:themeColor="text1"/>
          <w:sz w:val="24"/>
          <w:szCs w:val="20"/>
          <w14:textFill>
            <w14:solidFill>
              <w14:schemeClr w14:val="tx1"/>
            </w14:solidFill>
          </w14:textFill>
        </w:rPr>
        <w:t>1</w:t>
      </w:r>
      <w:r>
        <w:rPr>
          <w:rFonts w:hAnsi="Calibri"/>
          <w:color w:val="000000" w:themeColor="text1"/>
          <w:sz w:val="24"/>
          <w:szCs w:val="20"/>
          <w14:textFill>
            <w14:solidFill>
              <w14:schemeClr w14:val="tx1"/>
            </w14:solidFill>
          </w14:textFill>
        </w:rPr>
        <w:t>3</w:t>
      </w:r>
      <w:r>
        <w:rPr>
          <w:color w:val="000000" w:themeColor="text1"/>
          <w:sz w:val="24"/>
          <w:szCs w:val="20"/>
          <w14:textFill>
            <w14:solidFill>
              <w14:schemeClr w14:val="tx1"/>
            </w14:solidFill>
          </w14:textFill>
        </w:rPr>
        <w:t>）加强施工人员的管理，要求施工单位和人员严格遵守国家法令、坚决禁止捕猎任何野生动物，爱护施工活动附近所有的动植物</w:t>
      </w:r>
      <w:r>
        <w:rPr>
          <w:rFonts w:hint="eastAsia"/>
          <w:color w:val="000000" w:themeColor="text1"/>
          <w:sz w:val="24"/>
          <w:szCs w:val="20"/>
          <w:lang w:eastAsia="zh-CN"/>
          <w14:textFill>
            <w14:solidFill>
              <w14:schemeClr w14:val="tx1"/>
            </w14:solidFill>
          </w14:textFill>
        </w:rPr>
        <w:t>。</w:t>
      </w:r>
    </w:p>
    <w:p w14:paraId="638BCB04">
      <w:pPr>
        <w:pStyle w:val="4"/>
        <w:spacing w:before="60" w:after="60" w:line="480" w:lineRule="exact"/>
        <w:rPr>
          <w:color w:val="000000" w:themeColor="text1"/>
          <w:kern w:val="2"/>
          <w14:textFill>
            <w14:solidFill>
              <w14:schemeClr w14:val="tx1"/>
            </w14:solidFill>
          </w14:textFill>
        </w:rPr>
      </w:pPr>
      <w:bookmarkStart w:id="575" w:name="_Toc7553"/>
      <w:bookmarkStart w:id="576" w:name="_Toc22126285"/>
      <w:bookmarkStart w:id="577" w:name="_Toc10120"/>
      <w:bookmarkStart w:id="578" w:name="_Toc22086"/>
      <w:bookmarkStart w:id="579" w:name="_Toc25000"/>
      <w:bookmarkStart w:id="580" w:name="_Toc4214"/>
      <w:r>
        <w:rPr>
          <w:color w:val="000000" w:themeColor="text1"/>
          <w:kern w:val="2"/>
          <w14:textFill>
            <w14:solidFill>
              <w14:schemeClr w14:val="tx1"/>
            </w14:solidFill>
          </w14:textFill>
        </w:rPr>
        <w:t>6.1.</w:t>
      </w:r>
      <w:r>
        <w:rPr>
          <w:rFonts w:hint="eastAsia"/>
          <w:color w:val="000000" w:themeColor="text1"/>
          <w:kern w:val="2"/>
          <w:lang w:val="en-US" w:eastAsia="zh-CN"/>
          <w14:textFill>
            <w14:solidFill>
              <w14:schemeClr w14:val="tx1"/>
            </w14:solidFill>
          </w14:textFill>
        </w:rPr>
        <w:t>6</w:t>
      </w:r>
      <w:r>
        <w:rPr>
          <w:color w:val="000000" w:themeColor="text1"/>
          <w:kern w:val="2"/>
          <w14:textFill>
            <w14:solidFill>
              <w14:schemeClr w14:val="tx1"/>
            </w14:solidFill>
          </w14:textFill>
        </w:rPr>
        <w:t>环境保护管理措施</w:t>
      </w:r>
      <w:bookmarkEnd w:id="575"/>
      <w:bookmarkEnd w:id="576"/>
      <w:bookmarkEnd w:id="577"/>
      <w:bookmarkEnd w:id="578"/>
      <w:bookmarkEnd w:id="579"/>
      <w:bookmarkEnd w:id="580"/>
    </w:p>
    <w:p w14:paraId="6B33D349">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（1）应做好施工组织规划工作，</w:t>
      </w:r>
      <w:r>
        <w:rPr>
          <w:rFonts w:hint="eastAsia"/>
          <w:color w:val="000000" w:themeColor="text1"/>
          <w:kern w:val="0"/>
          <w:sz w:val="24"/>
          <w:szCs w:val="21"/>
          <w14:textFill>
            <w14:solidFill>
              <w14:schemeClr w14:val="tx1"/>
            </w14:solidFill>
          </w14:textFill>
        </w:rPr>
        <w:t>要做到</w:t>
      </w:r>
      <w:r>
        <w:rPr>
          <w:color w:val="000000" w:themeColor="text1"/>
          <w:kern w:val="0"/>
          <w:sz w:val="24"/>
          <w:szCs w:val="21"/>
          <w14:textFill>
            <w14:solidFill>
              <w14:schemeClr w14:val="tx1"/>
            </w14:solidFill>
          </w14:textFill>
        </w:rPr>
        <w:t>少占地；加强施工期间的宣传教育工作，以减少人为因素对植被的破坏。尤其要注意的是，施工车辆、机械应在规划的施工道路上行驶，严禁随意行驶，碾压植被。</w:t>
      </w:r>
    </w:p>
    <w:p w14:paraId="5D970B80">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（2）加强对施工人员进行环境保护知识教育。提高施工人员的环境保护意识。</w:t>
      </w:r>
    </w:p>
    <w:p w14:paraId="109FFD99">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（3）施工期间严禁破坏工程区内与工程本身无关的植被。</w:t>
      </w:r>
    </w:p>
    <w:p w14:paraId="3813955A">
      <w:pPr>
        <w:widowControl/>
        <w:autoSpaceDE w:val="0"/>
        <w:autoSpaceDN w:val="0"/>
        <w:adjustRightInd w:val="0"/>
        <w:spacing w:line="480" w:lineRule="exact"/>
        <w:ind w:firstLine="480" w:firstLineChars="200"/>
        <w:jc w:val="left"/>
        <w:textAlignment w:val="baseline"/>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（4）在签订施工承包合同时，应明确有关环境保护的条款，并在施工监理过程中予以全过程监督。施工期的环境管理措施由施工部门组织实施。</w:t>
      </w:r>
    </w:p>
    <w:p w14:paraId="1EDEF0CD">
      <w:pPr>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0"/>
          <w14:textFill>
            <w14:solidFill>
              <w14:schemeClr w14:val="tx1"/>
            </w14:solidFill>
          </w14:textFill>
        </w:rPr>
        <w:t>（5）根据</w:t>
      </w:r>
      <w:r>
        <w:rPr>
          <w:rFonts w:hint="eastAsia"/>
          <w:color w:val="000000" w:themeColor="text1"/>
          <w:sz w:val="24"/>
          <w:szCs w:val="20"/>
          <w14:textFill>
            <w14:solidFill>
              <w14:schemeClr w14:val="tx1"/>
            </w14:solidFill>
          </w14:textFill>
        </w:rPr>
        <w:t>生态环境部</w:t>
      </w:r>
      <w:r>
        <w:rPr>
          <w:color w:val="000000" w:themeColor="text1"/>
          <w:sz w:val="24"/>
          <w:szCs w:val="20"/>
          <w14:textFill>
            <w14:solidFill>
              <w14:schemeClr w14:val="tx1"/>
            </w14:solidFill>
          </w14:textFill>
        </w:rPr>
        <w:t>发出的西部建设要加强环保管理的通知精神，对于生态环境影响大的建设项目，应推行施工期环境监理制度。因此</w:t>
      </w:r>
      <w:r>
        <w:rPr>
          <w:rFonts w:hint="eastAsia"/>
          <w:color w:val="000000" w:themeColor="text1"/>
          <w:sz w:val="24"/>
          <w:szCs w:val="20"/>
          <w:lang w:eastAsia="zh-CN"/>
          <w14:textFill>
            <w14:solidFill>
              <w14:schemeClr w14:val="tx1"/>
            </w14:solidFill>
          </w14:textFill>
        </w:rPr>
        <w:t>本项目</w:t>
      </w:r>
      <w:r>
        <w:rPr>
          <w:color w:val="000000" w:themeColor="text1"/>
          <w:sz w:val="24"/>
          <w:szCs w:val="20"/>
          <w14:textFill>
            <w14:solidFill>
              <w14:schemeClr w14:val="tx1"/>
            </w14:solidFill>
          </w14:textFill>
        </w:rPr>
        <w:t>在施工期应加强环境监理工作，设专人负责施工期环境保护措施实施的监督和管理工作。</w:t>
      </w:r>
    </w:p>
    <w:p w14:paraId="3A73D348">
      <w:pPr>
        <w:pStyle w:val="3"/>
        <w:jc w:val="left"/>
        <w:rPr>
          <w:bCs/>
          <w:color w:val="000000" w:themeColor="text1"/>
          <w:kern w:val="2"/>
          <w:szCs w:val="32"/>
          <w14:textFill>
            <w14:solidFill>
              <w14:schemeClr w14:val="tx1"/>
            </w14:solidFill>
          </w14:textFill>
        </w:rPr>
      </w:pPr>
      <w:bookmarkStart w:id="581" w:name="_Toc12165"/>
      <w:bookmarkStart w:id="582" w:name="_Toc111767565"/>
      <w:bookmarkStart w:id="583" w:name="_Toc27749"/>
      <w:bookmarkStart w:id="584" w:name="_Toc17934"/>
      <w:r>
        <w:rPr>
          <w:rFonts w:hint="eastAsia"/>
          <w:bCs/>
          <w:color w:val="000000" w:themeColor="text1"/>
          <w:kern w:val="2"/>
          <w:szCs w:val="32"/>
          <w14:textFill>
            <w14:solidFill>
              <w14:schemeClr w14:val="tx1"/>
            </w14:solidFill>
          </w14:textFill>
        </w:rPr>
        <w:t>6</w:t>
      </w:r>
      <w:r>
        <w:rPr>
          <w:bCs/>
          <w:color w:val="000000" w:themeColor="text1"/>
          <w:kern w:val="2"/>
          <w:szCs w:val="32"/>
          <w14:textFill>
            <w14:solidFill>
              <w14:schemeClr w14:val="tx1"/>
            </w14:solidFill>
          </w14:textFill>
        </w:rPr>
        <w:t>.</w:t>
      </w:r>
      <w:r>
        <w:rPr>
          <w:rFonts w:hint="eastAsia"/>
          <w:bCs/>
          <w:color w:val="000000" w:themeColor="text1"/>
          <w:kern w:val="2"/>
          <w:szCs w:val="32"/>
          <w14:textFill>
            <w14:solidFill>
              <w14:schemeClr w14:val="tx1"/>
            </w14:solidFill>
          </w14:textFill>
        </w:rPr>
        <w:t>2运营期污染防治措施分析及可行性论证</w:t>
      </w:r>
      <w:bookmarkEnd w:id="581"/>
      <w:bookmarkEnd w:id="582"/>
      <w:bookmarkEnd w:id="583"/>
      <w:bookmarkEnd w:id="584"/>
    </w:p>
    <w:p w14:paraId="742DA6E7">
      <w:pPr>
        <w:pStyle w:val="4"/>
        <w:spacing w:before="60" w:after="60" w:line="480" w:lineRule="exact"/>
        <w:rPr>
          <w:rFonts w:hint="eastAsia"/>
          <w:color w:val="000000" w:themeColor="text1"/>
          <w:kern w:val="2"/>
          <w14:textFill>
            <w14:solidFill>
              <w14:schemeClr w14:val="tx1"/>
            </w14:solidFill>
          </w14:textFill>
        </w:rPr>
      </w:pPr>
      <w:bookmarkStart w:id="585" w:name="_Toc1455"/>
      <w:bookmarkStart w:id="586" w:name="_Toc18775"/>
      <w:bookmarkStart w:id="587" w:name="_Toc2403"/>
      <w:bookmarkStart w:id="588" w:name="_Toc27847"/>
      <w:bookmarkStart w:id="589" w:name="_Toc13797"/>
      <w:bookmarkStart w:id="590" w:name="_Toc16228"/>
      <w:r>
        <w:rPr>
          <w:rFonts w:hint="eastAsia"/>
          <w:color w:val="000000" w:themeColor="text1"/>
          <w:kern w:val="2"/>
          <w14:textFill>
            <w14:solidFill>
              <w14:schemeClr w14:val="tx1"/>
            </w14:solidFill>
          </w14:textFill>
        </w:rPr>
        <w:t>6.2.1大气污染防治措施</w:t>
      </w:r>
      <w:bookmarkEnd w:id="585"/>
      <w:bookmarkEnd w:id="586"/>
      <w:bookmarkEnd w:id="587"/>
      <w:bookmarkEnd w:id="588"/>
      <w:bookmarkEnd w:id="589"/>
      <w:bookmarkEnd w:id="590"/>
    </w:p>
    <w:p w14:paraId="325A0739">
      <w:pPr>
        <w:pStyle w:val="5"/>
        <w:spacing w:before="0" w:after="0" w:line="480" w:lineRule="exact"/>
        <w:ind w:firstLine="48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6.2.1.1井下作业废气处理措施</w:t>
      </w:r>
    </w:p>
    <w:p w14:paraId="6B9405A6">
      <w:pPr>
        <w:autoSpaceDE w:val="0"/>
        <w:autoSpaceDN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井下采矿生产过程中产生含粉尘和SO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等有害污染气体，对矿工的人身安全和健康构成极大威胁，长期吸入、接触这些矿尘可引起矽肺病、皮肤病等其他疾病。为保护采矿工作面的空气质量，采用的方法就是矿井通风。矿井通风的根本任务是连续不断地向作业地点供给足够的新鲜空气，稀释和排出有害气体及粉尘，确保作业地点有良好的空气质量，保证矿工的安全和健康。</w:t>
      </w:r>
    </w:p>
    <w:p w14:paraId="3C1D7A6D">
      <w:pPr>
        <w:autoSpaceDE w:val="0"/>
        <w:autoSpaceDN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井下爆破作业是矿井废气中烟（粉）尘、SO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、CO、NO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的重要来源。为控制污染，除加强井下通风外，还须采取喷雾洒水、湿式作业、定期对主要入风巷道进行洗壁等降尘措施。爆破作业后一般要通风3～4h，再进行放矿等作业。严格实行班末定时爆破制度，采用先进的爆破技术，减少爆破次数和炸药使用量。</w:t>
      </w:r>
    </w:p>
    <w:p w14:paraId="68F623EA">
      <w:pPr>
        <w:autoSpaceDE w:val="0"/>
        <w:autoSpaceDN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目前世界各国对矿山开采过程中废气的防治措施基本相同，主要采用密闭抽尘、净化、通风、湿式作业和提高设备的防尘防毒效率等措施。我国对井下废气的治理起步较早，并积累了丰富的经验，具体措施一是通风排尘、排气，二是抑尘。矿井通风系统一般设有中央对角式、对角式、分区通风和折返式四种类型，可以根据实际情况选用不同的通风方式，效果基本一致。</w:t>
      </w:r>
      <w:r>
        <w:rPr>
          <w:rFonts w:hint="eastAsia"/>
          <w:color w:val="000000" w:themeColor="text1"/>
          <w:sz w:val="24"/>
          <w:szCs w:val="24"/>
          <w:lang w:eastAsia="zh-CN"/>
          <w14:textFill>
            <w14:solidFill>
              <w14:schemeClr w14:val="tx1"/>
            </w14:solidFill>
          </w14:textFill>
        </w:rPr>
        <w:t>本项目</w:t>
      </w:r>
      <w:r>
        <w:rPr>
          <w:color w:val="000000" w:themeColor="text1"/>
          <w:sz w:val="24"/>
          <w:szCs w:val="24"/>
          <w14:textFill>
            <w14:solidFill>
              <w14:schemeClr w14:val="tx1"/>
            </w14:solidFill>
          </w14:textFill>
        </w:rPr>
        <w:t>采用</w:t>
      </w:r>
      <w:r>
        <w:rPr>
          <w:rFonts w:hint="eastAsia"/>
          <w:color w:val="000000" w:themeColor="text1"/>
          <w:sz w:val="24"/>
          <w:szCs w:val="24"/>
          <w14:textFill>
            <w14:solidFill>
              <w14:schemeClr w14:val="tx1"/>
            </w14:solidFill>
          </w14:textFill>
        </w:rPr>
        <w:t>机械通风方式，</w:t>
      </w:r>
      <w:r>
        <w:rPr>
          <w:color w:val="000000" w:themeColor="text1"/>
          <w:sz w:val="24"/>
          <w14:textFill>
            <w14:solidFill>
              <w14:schemeClr w14:val="tx1"/>
            </w14:solidFill>
          </w14:textFill>
        </w:rPr>
        <w:t>在掘进工作面和局部硐室采用局部加强通风的措施，确保通风效果。在抑尘方面，采用湿式凿岩作业，矿岩提升、机车运输采用喷雾洒水、洗壁等措施，从产尘源头加强控制以达到抑尘的目的。</w:t>
      </w:r>
    </w:p>
    <w:p w14:paraId="375222DC">
      <w:pPr>
        <w:autoSpaceDE w:val="0"/>
        <w:autoSpaceDN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rFonts w:hint="eastAsia"/>
          <w:color w:val="000000" w:themeColor="text1"/>
          <w:sz w:val="24"/>
          <w:lang w:eastAsia="zh-CN"/>
          <w14:textFill>
            <w14:solidFill>
              <w14:schemeClr w14:val="tx1"/>
            </w14:solidFill>
          </w14:textFill>
        </w:rPr>
        <w:t>项目</w:t>
      </w:r>
      <w:r>
        <w:rPr>
          <w:color w:val="000000" w:themeColor="text1"/>
          <w:sz w:val="24"/>
          <w14:textFill>
            <w14:solidFill>
              <w14:schemeClr w14:val="tx1"/>
            </w14:solidFill>
          </w14:textFill>
        </w:rPr>
        <w:t>采取的措施可使采场厂界空气含尘浓度控制在1.0mg/m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以下，确保作业点有良好的空气环境，保证矿工的健康与安全。上述措施在各矿山广泛采用，效果显著，措施切实可行。</w:t>
      </w:r>
    </w:p>
    <w:p w14:paraId="52D56EBC">
      <w:pPr>
        <w:autoSpaceDE w:val="0"/>
        <w:autoSpaceDN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井下抽出的废气经风井排放到大气，由前面工程分析的内容可知，矿井废气中的主要污染物浓度均符合《铁矿采选工业污染物排放标准》（GB28661-2012）中表7无组织排放浓度限值要求，对环境影响不大。</w:t>
      </w:r>
    </w:p>
    <w:p w14:paraId="5BB0DDF0">
      <w:pPr>
        <w:pStyle w:val="5"/>
        <w:spacing w:before="0" w:after="0" w:line="480" w:lineRule="exact"/>
        <w:ind w:firstLine="482"/>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6.2.1.2无组织扬尘防治措施</w:t>
      </w:r>
    </w:p>
    <w:p w14:paraId="055EB8BE">
      <w:pPr>
        <w:spacing w:line="48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为防止废石堆场</w:t>
      </w:r>
      <w:r>
        <w:rPr>
          <w:color w:val="000000" w:themeColor="text1"/>
          <w:sz w:val="24"/>
          <w14:textFill>
            <w14:solidFill>
              <w14:schemeClr w14:val="tx1"/>
            </w14:solidFill>
          </w14:textFill>
        </w:rPr>
        <w:t>、运输车辆等产生</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扬尘</w:t>
      </w:r>
      <w:r>
        <w:rPr>
          <w:rFonts w:hint="eastAsia"/>
          <w:color w:val="000000" w:themeColor="text1"/>
          <w:sz w:val="24"/>
          <w14:textFill>
            <w14:solidFill>
              <w14:schemeClr w14:val="tx1"/>
            </w14:solidFill>
          </w14:textFill>
        </w:rPr>
        <w:t>以及柴油燃烧废气对区域大气环境的污染影响，企业必须制定严格的措施以防止大气污染。</w:t>
      </w:r>
    </w:p>
    <w:p w14:paraId="012F904D">
      <w:pPr>
        <w:spacing w:line="48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对此，本次评价提出以下防治措施：</w:t>
      </w:r>
    </w:p>
    <w:p w14:paraId="43702A45">
      <w:pPr>
        <w:spacing w:line="48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）废石堆场扬尘污染</w:t>
      </w:r>
      <w:r>
        <w:rPr>
          <w:rFonts w:hint="eastAsia"/>
          <w:color w:val="000000" w:themeColor="text1"/>
          <w:sz w:val="24"/>
          <w:lang w:val="en-US" w:eastAsia="zh-CN"/>
          <w14:textFill>
            <w14:solidFill>
              <w14:schemeClr w14:val="tx1"/>
            </w14:solidFill>
          </w14:textFill>
        </w:rPr>
        <w:t>防治</w:t>
      </w:r>
      <w:r>
        <w:rPr>
          <w:rFonts w:hint="eastAsia"/>
          <w:color w:val="000000" w:themeColor="text1"/>
          <w:sz w:val="24"/>
          <w14:textFill>
            <w14:solidFill>
              <w14:schemeClr w14:val="tx1"/>
            </w14:solidFill>
          </w14:textFill>
        </w:rPr>
        <w:t>措施</w:t>
      </w:r>
    </w:p>
    <w:p w14:paraId="39FDC1C3">
      <w:pPr>
        <w:spacing w:line="48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评价要求项目在运营期堆放废石时在废石卸载区域设置移动式防风抑尘网和移动式洒水装置，废石临时堆场表面覆盖织物，周围设置挡风网，同时</w:t>
      </w:r>
      <w:r>
        <w:rPr>
          <w:rFonts w:hint="eastAsia"/>
          <w:color w:val="000000" w:themeColor="text1"/>
          <w:sz w:val="24"/>
          <w:lang w:eastAsia="zh-CN"/>
          <w14:textFill>
            <w14:solidFill>
              <w14:schemeClr w14:val="tx1"/>
            </w14:solidFill>
          </w14:textFill>
        </w:rPr>
        <w:t>建设单位</w:t>
      </w:r>
      <w:r>
        <w:rPr>
          <w:rFonts w:hint="eastAsia"/>
          <w:color w:val="000000" w:themeColor="text1"/>
          <w:sz w:val="24"/>
          <w14:textFill>
            <w14:solidFill>
              <w14:schemeClr w14:val="tx1"/>
            </w14:solidFill>
          </w14:textFill>
        </w:rPr>
        <w:t>应结合</w:t>
      </w:r>
      <w:r>
        <w:rPr>
          <w:rFonts w:hint="eastAsia"/>
          <w:color w:val="000000" w:themeColor="text1"/>
          <w:sz w:val="24"/>
          <w:lang w:eastAsia="zh-CN"/>
          <w14:textFill>
            <w14:solidFill>
              <w14:schemeClr w14:val="tx1"/>
            </w14:solidFill>
          </w14:textFill>
        </w:rPr>
        <w:t>废石堆场</w:t>
      </w:r>
      <w:r>
        <w:rPr>
          <w:rFonts w:hint="eastAsia"/>
          <w:color w:val="000000" w:themeColor="text1"/>
          <w:sz w:val="24"/>
          <w14:textFill>
            <w14:solidFill>
              <w14:schemeClr w14:val="tx1"/>
            </w14:solidFill>
          </w14:textFill>
        </w:rPr>
        <w:t>建设和管理要求</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根据废石情况逐步实施渣坡平整、压实和坡面防护可有效减小废石扬尘量。在采取相应的环保措施后，</w:t>
      </w:r>
      <w:r>
        <w:rPr>
          <w:rFonts w:hint="eastAsia"/>
          <w:color w:val="000000" w:themeColor="text1"/>
          <w:sz w:val="24"/>
          <w:lang w:eastAsia="zh-CN"/>
          <w14:textFill>
            <w14:solidFill>
              <w14:schemeClr w14:val="tx1"/>
            </w14:solidFill>
          </w14:textFill>
        </w:rPr>
        <w:t>废石堆场</w:t>
      </w:r>
      <w:r>
        <w:rPr>
          <w:rFonts w:hint="eastAsia"/>
          <w:color w:val="000000" w:themeColor="text1"/>
          <w:sz w:val="24"/>
          <w14:textFill>
            <w14:solidFill>
              <w14:schemeClr w14:val="tx1"/>
            </w14:solidFill>
          </w14:textFill>
        </w:rPr>
        <w:t>周界外无组织颗粒物浓度可满足《铁矿采选工业污染物排放标准》</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GB28661-2012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中的表7排放限值要求，对周围环境空气质量不会造成大的不利影响</w:t>
      </w:r>
      <w:r>
        <w:rPr>
          <w:rFonts w:hint="eastAsia"/>
          <w:color w:val="000000" w:themeColor="text1"/>
          <w:sz w:val="24"/>
          <w:lang w:eastAsia="zh-CN"/>
          <w14:textFill>
            <w14:solidFill>
              <w14:schemeClr w14:val="tx1"/>
            </w14:solidFill>
          </w14:textFill>
        </w:rPr>
        <w:t>。</w:t>
      </w:r>
    </w:p>
    <w:p w14:paraId="6829598B">
      <w:pPr>
        <w:spacing w:line="480" w:lineRule="exact"/>
        <w:ind w:firstLine="480" w:firstLineChars="200"/>
        <w:textAlignment w:val="baseline"/>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（2）运输</w:t>
      </w:r>
      <w:r>
        <w:rPr>
          <w:rFonts w:hint="eastAsia"/>
          <w:color w:val="000000" w:themeColor="text1"/>
          <w:sz w:val="24"/>
          <w14:textFill>
            <w14:solidFill>
              <w14:schemeClr w14:val="tx1"/>
            </w14:solidFill>
          </w14:textFill>
        </w:rPr>
        <w:t>废气</w:t>
      </w:r>
      <w:r>
        <w:rPr>
          <w:color w:val="000000" w:themeColor="text1"/>
          <w:sz w:val="24"/>
          <w14:textFill>
            <w14:solidFill>
              <w14:schemeClr w14:val="tx1"/>
            </w14:solidFill>
          </w14:textFill>
        </w:rPr>
        <w:t>污染防治措施</w:t>
      </w:r>
    </w:p>
    <w:p w14:paraId="64CA6BE3">
      <w:pPr>
        <w:spacing w:line="48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对运输道路路面进行硬化，进行定期及时清扫，采取洒水措施，并控制车辆行驶速度。</w:t>
      </w:r>
    </w:p>
    <w:p w14:paraId="2967CFCC">
      <w:pPr>
        <w:spacing w:line="48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进出场车辆在工业场地入口设置洗车区，车辆经过洗车区时，可去除车辆轮胎上的泥沙。对运输物料覆盖及产品压实措施，控制车速，并专人负责，及时</w:t>
      </w:r>
      <w:r>
        <w:rPr>
          <w:rFonts w:hint="eastAsia"/>
          <w:color w:val="000000" w:themeColor="text1"/>
          <w:sz w:val="24"/>
          <w14:textFill>
            <w14:solidFill>
              <w14:schemeClr w14:val="tx1"/>
            </w14:solidFill>
          </w14:textFill>
        </w:rPr>
        <w:t>清扫</w:t>
      </w:r>
      <w:r>
        <w:rPr>
          <w:color w:val="000000" w:themeColor="text1"/>
          <w:sz w:val="24"/>
          <w14:textFill>
            <w14:solidFill>
              <w14:schemeClr w14:val="tx1"/>
            </w14:solidFill>
          </w14:textFill>
        </w:rPr>
        <w:t>路面渣土，保持交通道路清洁。</w:t>
      </w:r>
    </w:p>
    <w:p w14:paraId="3648E1EA">
      <w:pPr>
        <w:spacing w:line="48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加强对道路的维护，保证其路面处于完好状态，平整完好的路面可以大大减少汽车尾气和扬尘量。</w:t>
      </w:r>
    </w:p>
    <w:p w14:paraId="412C672D">
      <w:pPr>
        <w:spacing w:line="48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选用国家有关标准的施工机械和运输工具，使用优质动力燃料，对耗油多、效率低、尾气超标严重的老、旧车辆，应及时报废和更新。</w:t>
      </w:r>
    </w:p>
    <w:p w14:paraId="1CD55032">
      <w:pPr>
        <w:spacing w:line="48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⑤运输车辆应当严格采取限速、限载、覆盖篷布等措施，并严格要求车辆沿规划道路行驶，严禁随意开辟便道；对出矿区运输车辆轮胎进行清洗，降低运输车辆造成</w:t>
      </w:r>
      <w:r>
        <w:rPr>
          <w:rFonts w:hint="eastAsia"/>
          <w:color w:val="000000" w:themeColor="text1"/>
          <w:sz w:val="24"/>
          <w:lang w:eastAsia="zh-CN"/>
          <w14:textFill>
            <w14:solidFill>
              <w14:schemeClr w14:val="tx1"/>
            </w14:solidFill>
          </w14:textFill>
        </w:rPr>
        <w:t>的</w:t>
      </w:r>
      <w:r>
        <w:rPr>
          <w:rFonts w:hint="eastAsia"/>
          <w:color w:val="000000" w:themeColor="text1"/>
          <w:sz w:val="24"/>
          <w14:textFill>
            <w14:solidFill>
              <w14:schemeClr w14:val="tx1"/>
            </w14:solidFill>
          </w14:textFill>
        </w:rPr>
        <w:t>扬尘污染。</w:t>
      </w:r>
    </w:p>
    <w:p w14:paraId="35F5D1B4">
      <w:pPr>
        <w:spacing w:line="480" w:lineRule="exact"/>
        <w:ind w:firstLine="480" w:firstLineChars="200"/>
        <w:textAlignment w:val="baseline"/>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其他措施</w:t>
      </w:r>
    </w:p>
    <w:p w14:paraId="6E94F591">
      <w:pPr>
        <w:spacing w:line="48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对矿山工业广场、运输道路等无组织扬尘点定期进行洒水降尘</w:t>
      </w:r>
      <w:r>
        <w:rPr>
          <w:rFonts w:hint="eastAsia"/>
          <w:color w:val="000000" w:themeColor="text1"/>
          <w:sz w:val="24"/>
          <w14:textFill>
            <w14:solidFill>
              <w14:schemeClr w14:val="tx1"/>
            </w14:solidFill>
          </w14:textFill>
        </w:rPr>
        <w:t>、加大洒水降尘频率</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选用带雾炮设施的洒水车，对各无组织产尘点进行喷雾降尘。</w:t>
      </w:r>
    </w:p>
    <w:p w14:paraId="771A9AEA">
      <w:pPr>
        <w:spacing w:line="48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②废石</w:t>
      </w:r>
      <w:r>
        <w:rPr>
          <w:color w:val="000000" w:themeColor="text1"/>
          <w:sz w:val="24"/>
          <w14:textFill>
            <w14:solidFill>
              <w14:schemeClr w14:val="tx1"/>
            </w14:solidFill>
          </w14:textFill>
        </w:rPr>
        <w:t>装卸时间尽量避免大风及下雨天气，同时应尽量降低落差，同时要加强管理，装卸场所应采取经常洒水及清扫。</w:t>
      </w:r>
    </w:p>
    <w:p w14:paraId="48C778F1">
      <w:pPr>
        <w:spacing w:line="48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加强个体防护，如作业人员戴防尘口罩，加强采装、运输设备操作室的密封。</w:t>
      </w:r>
    </w:p>
    <w:p w14:paraId="790ACFA3">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④柴油机采用增压中冷技术、燃油电喷技术等可提高柴油机功率、降低油耗，以减少柴油燃烧废气排放量。</w:t>
      </w:r>
    </w:p>
    <w:p w14:paraId="29A019E5">
      <w:pPr>
        <w:spacing w:line="480" w:lineRule="exact"/>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hint="eastAsia"/>
          <w:color w:val="000000" w:themeColor="text1"/>
          <w:sz w:val="24"/>
          <w14:textFill>
            <w14:solidFill>
              <w14:schemeClr w14:val="tx1"/>
            </w14:solidFill>
          </w14:textFill>
        </w:rPr>
        <w:t>采矿区尽量减少人为扰动，爆破应选择每天温度相对较低的时段进行。</w:t>
      </w:r>
    </w:p>
    <w:p w14:paraId="4923F7FC">
      <w:pPr>
        <w:pStyle w:val="4"/>
        <w:spacing w:before="60" w:after="60" w:line="480" w:lineRule="exact"/>
        <w:rPr>
          <w:rFonts w:hint="eastAsia"/>
          <w:color w:val="000000" w:themeColor="text1"/>
          <w:kern w:val="2"/>
          <w14:textFill>
            <w14:solidFill>
              <w14:schemeClr w14:val="tx1"/>
            </w14:solidFill>
          </w14:textFill>
        </w:rPr>
      </w:pPr>
      <w:bookmarkStart w:id="591" w:name="_Toc11061"/>
      <w:bookmarkStart w:id="592" w:name="_Toc2489"/>
      <w:bookmarkStart w:id="593" w:name="_Toc15380"/>
      <w:r>
        <w:rPr>
          <w:rFonts w:hint="eastAsia"/>
          <w:color w:val="000000" w:themeColor="text1"/>
          <w:kern w:val="2"/>
          <w14:textFill>
            <w14:solidFill>
              <w14:schemeClr w14:val="tx1"/>
            </w14:solidFill>
          </w14:textFill>
        </w:rPr>
        <w:t>6.2.2</w:t>
      </w:r>
      <w:r>
        <w:rPr>
          <w:rFonts w:hint="eastAsia"/>
          <w:color w:val="000000" w:themeColor="text1"/>
          <w:kern w:val="2"/>
          <w:lang w:eastAsia="zh-CN"/>
          <w14:textFill>
            <w14:solidFill>
              <w14:schemeClr w14:val="tx1"/>
            </w14:solidFill>
          </w14:textFill>
        </w:rPr>
        <w:t>废水</w:t>
      </w:r>
      <w:r>
        <w:rPr>
          <w:rFonts w:hint="eastAsia"/>
          <w:color w:val="000000" w:themeColor="text1"/>
          <w:kern w:val="2"/>
          <w14:textFill>
            <w14:solidFill>
              <w14:schemeClr w14:val="tx1"/>
            </w14:solidFill>
          </w14:textFill>
        </w:rPr>
        <w:t>污染防治措施</w:t>
      </w:r>
      <w:bookmarkEnd w:id="591"/>
      <w:bookmarkEnd w:id="592"/>
      <w:bookmarkEnd w:id="593"/>
    </w:p>
    <w:p w14:paraId="258CD83B">
      <w:pPr>
        <w:pStyle w:val="5"/>
        <w:spacing w:before="0" w:after="0" w:line="480" w:lineRule="exact"/>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6.2.2.1生产废水及生活污水防治措施</w:t>
      </w:r>
    </w:p>
    <w:p w14:paraId="0A398A53">
      <w:pPr>
        <w:keepNext w:val="0"/>
        <w:keepLines w:val="0"/>
        <w:pageBreakBefore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（1）生活污水治理措施</w:t>
      </w:r>
    </w:p>
    <w:p w14:paraId="3EF1C413">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生活污水</w:t>
      </w:r>
      <w:r>
        <w:rPr>
          <w:rFonts w:hint="eastAsia" w:cs="Times New Roman"/>
          <w:color w:val="000000" w:themeColor="text1"/>
          <w:sz w:val="24"/>
          <w:szCs w:val="24"/>
          <w:highlight w:val="none"/>
          <w:lang w:val="en-US" w:eastAsia="zh-CN"/>
          <w14:textFill>
            <w14:solidFill>
              <w14:schemeClr w14:val="tx1"/>
            </w14:solidFill>
          </w14:textFill>
        </w:rPr>
        <w:t>产生量</w:t>
      </w:r>
      <w:r>
        <w:rPr>
          <w:rFonts w:hint="default" w:ascii="Times New Roman" w:hAnsi="Times New Roman" w:eastAsia="宋体" w:cs="Times New Roman"/>
          <w:color w:val="000000" w:themeColor="text1"/>
          <w:sz w:val="24"/>
          <w:szCs w:val="24"/>
          <w:highlight w:val="none"/>
          <w14:textFill>
            <w14:solidFill>
              <w14:schemeClr w14:val="tx1"/>
            </w14:solidFill>
          </w14:textFill>
        </w:rPr>
        <w:t>约</w:t>
      </w:r>
      <w:r>
        <w:rPr>
          <w:rFonts w:hint="eastAsia" w:cs="Times New Roman"/>
          <w:color w:val="000000" w:themeColor="text1"/>
          <w:sz w:val="24"/>
          <w:szCs w:val="24"/>
          <w:highlight w:val="none"/>
          <w:lang w:val="en-US" w:eastAsia="zh-CN"/>
          <w14:textFill>
            <w14:solidFill>
              <w14:schemeClr w14:val="tx1"/>
            </w14:solidFill>
          </w14:textFill>
        </w:rPr>
        <w:t>6.4</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eastAsia" w:cs="Times New Roman"/>
          <w:color w:val="000000" w:themeColor="text1"/>
          <w:sz w:val="24"/>
          <w:szCs w:val="24"/>
          <w:highlight w:val="none"/>
          <w:lang w:val="en-US" w:eastAsia="zh-CN"/>
          <w14:textFill>
            <w14:solidFill>
              <w14:schemeClr w14:val="tx1"/>
            </w14:solidFill>
          </w14:textFill>
        </w:rPr>
        <w:t>1600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w:t>
      </w:r>
      <w:r>
        <w:rPr>
          <w:rFonts w:hint="eastAsia"/>
          <w:color w:val="000000" w:themeColor="text1"/>
          <w:sz w:val="24"/>
          <w:lang w:bidi="ar"/>
          <w14:textFill>
            <w14:solidFill>
              <w14:schemeClr w14:val="tx1"/>
            </w14:solidFill>
          </w14:textFill>
        </w:rPr>
        <w:t>经矿山现有地埋式一体化污水处理设施处理</w:t>
      </w:r>
      <w:r>
        <w:rPr>
          <w:rFonts w:hint="eastAsia"/>
          <w:color w:val="000000" w:themeColor="text1"/>
          <w:sz w:val="24"/>
          <w:lang w:val="en-US" w:eastAsia="zh-CN" w:bidi="ar"/>
          <w14:textFill>
            <w14:solidFill>
              <w14:schemeClr w14:val="tx1"/>
            </w14:solidFill>
          </w14:textFill>
        </w:rPr>
        <w:t>达标</w:t>
      </w:r>
      <w:r>
        <w:rPr>
          <w:rFonts w:hint="eastAsia"/>
          <w:color w:val="000000" w:themeColor="text1"/>
          <w:sz w:val="24"/>
          <w:lang w:bidi="ar"/>
          <w14:textFill>
            <w14:solidFill>
              <w14:schemeClr w14:val="tx1"/>
            </w14:solidFill>
          </w14:textFill>
        </w:rPr>
        <w:t>后</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w:t>
      </w:r>
      <w:r>
        <w:rPr>
          <w:rFonts w:ascii="Times New Roman" w:hAnsi="Times New Roman" w:eastAsiaTheme="minorEastAsia"/>
          <w:color w:val="000000" w:themeColor="text1"/>
          <w:sz w:val="24"/>
          <w:szCs w:val="24"/>
          <w14:textFill>
            <w14:solidFill>
              <w14:schemeClr w14:val="tx1"/>
            </w14:solidFill>
          </w14:textFill>
        </w:rPr>
        <w:t>《农村生活污水处理排放标准》（DB65 4275-2019）中A级标准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后，</w:t>
      </w:r>
      <w:r>
        <w:rPr>
          <w:rFonts w:hint="eastAsia"/>
          <w:color w:val="000000" w:themeColor="text1"/>
          <w:sz w:val="24"/>
          <w:szCs w:val="28"/>
          <w14:textFill>
            <w14:solidFill>
              <w14:schemeClr w14:val="tx1"/>
            </w14:solidFill>
          </w14:textFill>
        </w:rPr>
        <w:t>灌溉期</w:t>
      </w:r>
      <w:r>
        <w:rPr>
          <w:rFonts w:hint="eastAsia"/>
          <w:color w:val="000000" w:themeColor="text1"/>
          <w:sz w:val="24"/>
          <w:szCs w:val="24"/>
          <w14:textFill>
            <w14:solidFill>
              <w14:schemeClr w14:val="tx1"/>
            </w14:solidFill>
          </w14:textFill>
        </w:rPr>
        <w:t>全部用于矿区绿化，非灌溉期输送至选厂生产使用，不外排。</w:t>
      </w:r>
    </w:p>
    <w:p w14:paraId="1515BF71">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矿山现有</w:t>
      </w:r>
      <w:r>
        <w:rPr>
          <w:rFonts w:hint="eastAsia" w:ascii="Times New Roman" w:hAnsi="Times New Roman" w:eastAsia="宋体" w:cs="Times New Roman"/>
          <w:color w:val="000000" w:themeColor="text1"/>
          <w:sz w:val="24"/>
          <w:szCs w:val="24"/>
          <w14:textFill>
            <w14:solidFill>
              <w14:schemeClr w14:val="tx1"/>
            </w14:solidFill>
          </w14:textFill>
        </w:rPr>
        <w:t>地埋式</w:t>
      </w:r>
      <w:r>
        <w:rPr>
          <w:rFonts w:hint="default" w:ascii="Times New Roman" w:hAnsi="Times New Roman" w:eastAsia="宋体" w:cs="Times New Roman"/>
          <w:color w:val="000000" w:themeColor="text1"/>
          <w:sz w:val="24"/>
          <w:szCs w:val="24"/>
          <w14:textFill>
            <w14:solidFill>
              <w14:schemeClr w14:val="tx1"/>
            </w14:solidFill>
          </w14:textFill>
        </w:rPr>
        <w:t>一体化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污水</w:t>
      </w:r>
      <w:r>
        <w:rPr>
          <w:rFonts w:hint="default" w:ascii="Times New Roman" w:hAnsi="Times New Roman" w:eastAsia="宋体" w:cs="Times New Roman"/>
          <w:color w:val="000000" w:themeColor="text1"/>
          <w:sz w:val="24"/>
          <w:szCs w:val="24"/>
          <w14:textFill>
            <w14:solidFill>
              <w14:schemeClr w14:val="tx1"/>
            </w14:solidFill>
          </w14:textFill>
        </w:rPr>
        <w:t>处理设施</w:t>
      </w:r>
      <w:r>
        <w:rPr>
          <w:rFonts w:hint="eastAsia" w:cs="Times New Roman"/>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14:textFill>
            <w14:solidFill>
              <w14:schemeClr w14:val="tx1"/>
            </w14:solidFill>
          </w14:textFill>
        </w:rPr>
        <w:t>规模为20m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highlight w:val="none"/>
          <w:lang w:val="en-US" w:eastAsia="zh-CN" w:bidi="ar"/>
          <w14:textFill>
            <w14:solidFill>
              <w14:schemeClr w14:val="tx1"/>
            </w14:solidFill>
          </w14:textFill>
        </w:rPr>
        <w:t>项目建成后</w:t>
      </w:r>
      <w:r>
        <w:rPr>
          <w:rFonts w:hint="default" w:ascii="Times New Roman" w:hAnsi="Times New Roman" w:cs="Times New Roman"/>
          <w:color w:val="000000" w:themeColor="text1"/>
          <w:sz w:val="24"/>
          <w:szCs w:val="24"/>
          <w:highlight w:val="none"/>
          <w:lang w:val="en-US" w:eastAsia="zh-CN" w:bidi="ar"/>
          <w14:textFill>
            <w14:solidFill>
              <w14:schemeClr w14:val="tx1"/>
            </w14:solidFill>
          </w14:textFill>
        </w:rPr>
        <w:t>采矿区</w:t>
      </w:r>
      <w:r>
        <w:rPr>
          <w:rFonts w:hint="default" w:ascii="Times New Roman" w:hAnsi="Times New Roman" w:cs="Times New Roman"/>
          <w:color w:val="000000" w:themeColor="text1"/>
          <w:sz w:val="24"/>
          <w:szCs w:val="24"/>
          <w:highlight w:val="none"/>
          <w:lang w:eastAsia="zh-CN" w:bidi="ar"/>
          <w14:textFill>
            <w14:solidFill>
              <w14:schemeClr w14:val="tx1"/>
            </w14:solidFill>
          </w14:textFill>
        </w:rPr>
        <w:t>生活污水产生量</w:t>
      </w:r>
      <w:r>
        <w:rPr>
          <w:rFonts w:hint="default" w:ascii="Times New Roman" w:hAnsi="Times New Roman" w:cs="Times New Roman"/>
          <w:color w:val="000000" w:themeColor="text1"/>
          <w:sz w:val="24"/>
          <w:szCs w:val="24"/>
          <w:highlight w:val="none"/>
          <w:lang w:val="en-US" w:eastAsia="zh-CN" w:bidi="ar"/>
          <w14:textFill>
            <w14:solidFill>
              <w14:schemeClr w14:val="tx1"/>
            </w14:solidFill>
          </w14:textFill>
        </w:rPr>
        <w:t>满足</w:t>
      </w:r>
      <w:r>
        <w:rPr>
          <w:rFonts w:hint="eastAsia" w:cs="Times New Roman"/>
          <w:color w:val="000000" w:themeColor="text1"/>
          <w:sz w:val="24"/>
          <w:szCs w:val="24"/>
          <w:highlight w:val="none"/>
          <w:lang w:val="en-US" w:eastAsia="zh-CN" w:bidi="ar"/>
          <w14:textFill>
            <w14:solidFill>
              <w14:schemeClr w14:val="tx1"/>
            </w14:solidFill>
          </w14:textFill>
        </w:rPr>
        <w:t>现有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地埋式一体化生活污水处理设施处理能力，现生活污水处理设施正常运行，</w:t>
      </w:r>
      <w:r>
        <w:rPr>
          <w:rFonts w:hint="eastAsia" w:cs="Times New Roman"/>
          <w:color w:val="000000" w:themeColor="text1"/>
          <w:sz w:val="24"/>
          <w:szCs w:val="24"/>
          <w:highlight w:val="none"/>
          <w:lang w:val="en-US" w:eastAsia="zh-CN"/>
          <w14:textFill>
            <w14:solidFill>
              <w14:schemeClr w14:val="tx1"/>
            </w14:solidFill>
          </w14:textFill>
        </w:rPr>
        <w:t>生活污水治理措施可行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A6C7942">
      <w:pPr>
        <w:keepNext w:val="0"/>
        <w:keepLines w:val="0"/>
        <w:pageBreakBefore w:val="0"/>
        <w:widowControl w:val="0"/>
        <w:kinsoku/>
        <w:wordWrap/>
        <w:overflowPunct/>
        <w:topLinePunct w:val="0"/>
        <w:autoSpaceDE w:val="0"/>
        <w:autoSpaceDN/>
        <w:bidi w:val="0"/>
        <w:adjustRightInd/>
        <w:snapToGrid/>
        <w:spacing w:beforeAutospacing="0" w:afterAutospacing="0"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（2）生产废水治理措施</w:t>
      </w:r>
    </w:p>
    <w:p w14:paraId="478784A8">
      <w:pPr>
        <w:keepNext w:val="0"/>
        <w:keepLines w:val="0"/>
        <w:pageBreakBefore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本项目生产废水主要为井下开采时</w:t>
      </w:r>
      <w:r>
        <w:rPr>
          <w:rFonts w:hint="eastAsia" w:cs="Times New Roman"/>
          <w:color w:val="000000" w:themeColor="text1"/>
          <w:sz w:val="24"/>
          <w:szCs w:val="24"/>
          <w:highlight w:val="none"/>
          <w:lang w:val="en-US" w:eastAsia="zh-CN"/>
          <w14:textFill>
            <w14:solidFill>
              <w14:schemeClr w14:val="tx1"/>
            </w14:solidFill>
          </w14:textFill>
        </w:rPr>
        <w:t>期的矿井涌水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矿井涌水中仅悬浮物浓度偏大，其余指标与现状地下水监测值基本相同，污水水质较为简单，无毒无害。</w:t>
      </w:r>
      <w:r>
        <w:rPr>
          <w:rFonts w:hint="default" w:ascii="Times New Roman" w:hAnsi="Times New Roman" w:cs="Times New Roman"/>
          <w:color w:val="000000" w:themeColor="text1"/>
          <w:sz w:val="24"/>
          <w:szCs w:val="24"/>
          <w:highlight w:val="none"/>
          <w:lang w:eastAsia="zh-CN" w:bidi="ar"/>
          <w14:textFill>
            <w14:solidFill>
              <w14:schemeClr w14:val="tx1"/>
            </w14:solidFill>
          </w14:textFill>
        </w:rPr>
        <w:t>矿井涌水抽排至地表沉淀池，在沉淀池沉淀及净化处理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88A45D7">
      <w:pPr>
        <w:keepNext w:val="0"/>
        <w:keepLines w:val="0"/>
        <w:pageBreakBefore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灌溉期，矿井涌水</w:t>
      </w:r>
      <w:r>
        <w:rPr>
          <w:rFonts w:hint="eastAsia" w:cs="Times New Roman"/>
          <w:color w:val="000000" w:themeColor="text1"/>
          <w:sz w:val="24"/>
          <w:szCs w:val="24"/>
          <w:highlight w:val="none"/>
          <w:lang w:val="en-US" w:eastAsia="zh-CN"/>
          <w14:textFill>
            <w14:solidFill>
              <w14:schemeClr w14:val="tx1"/>
            </w14:solidFill>
          </w14:textFill>
        </w:rPr>
        <w:t>沉淀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池沉淀及净化处理后，主要回用于井下作为湿式凿岩、喷雾洒水及消防等生产用水，少量用作绿化、洒水降尘，其余矿井涌水通过管道输送至西成矿业选矿厂供选矿生产使用。</w:t>
      </w:r>
    </w:p>
    <w:p w14:paraId="3F988939">
      <w:pPr>
        <w:pStyle w:val="29"/>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非灌溉期，矿井涌水</w:t>
      </w:r>
      <w:r>
        <w:rPr>
          <w:rFonts w:hint="eastAsia" w:cs="Times New Roman"/>
          <w:color w:val="000000" w:themeColor="text1"/>
          <w:sz w:val="24"/>
          <w:szCs w:val="24"/>
          <w:highlight w:val="none"/>
          <w:lang w:val="en-US" w:eastAsia="zh-CN"/>
          <w14:textFill>
            <w14:solidFill>
              <w14:schemeClr w14:val="tx1"/>
            </w14:solidFill>
          </w14:textFill>
        </w:rPr>
        <w:t>沉淀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池沉淀及净化处理后，主要回用于井下作为湿式凿岩、喷雾洒水及消防等生产用水，少量用作洒水降尘，其余矿井涌水通过管道输送至西成矿业选矿厂供选矿生产使用。</w:t>
      </w:r>
    </w:p>
    <w:p w14:paraId="082E4429">
      <w:pPr>
        <w:pStyle w:val="29"/>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color w:val="000000" w:themeColor="text1"/>
          <w:sz w:val="24"/>
          <w:szCs w:val="24"/>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采矿</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工业场地</w:t>
      </w:r>
      <w:r>
        <w:rPr>
          <w:rFonts w:hint="eastAsia" w:cs="Times New Roman"/>
          <w:color w:val="000000" w:themeColor="text1"/>
          <w:sz w:val="24"/>
          <w:szCs w:val="24"/>
          <w:highlight w:val="none"/>
          <w:lang w:val="en-US" w:eastAsia="zh-CN"/>
          <w14:textFill>
            <w14:solidFill>
              <w14:schemeClr w14:val="tx1"/>
            </w14:solidFill>
          </w14:textFill>
        </w:rPr>
        <w:t>沉淀池容积</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矿井涌水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采用絮凝沉淀的工艺进行处理，经过处理设施处理后</w:t>
      </w:r>
      <w:r>
        <w:rPr>
          <w:rFonts w:hint="eastAsia"/>
          <w:color w:val="000000" w:themeColor="text1"/>
          <w:sz w:val="24"/>
          <w:szCs w:val="24"/>
          <w14:textFill>
            <w14:solidFill>
              <w14:schemeClr w14:val="tx1"/>
            </w14:solidFill>
          </w14:textFill>
        </w:rPr>
        <w:t>满足《铁矿采选工业污染物排放标准》（GB28661-2012）新建企业水污染物排放浓度限值以及《城市污水再生利用 城市杂用水水质》（GB/T18920-2020）中的城市绿化、道路清扫、消防、建筑施工限值后，一部分用于采矿生产用水和矿山绿化浇灌、工业场地及道路降尘等，其余泵送至选厂生产新水水池供生产使用，不外排</w:t>
      </w:r>
      <w:r>
        <w:rPr>
          <w:rFonts w:hint="eastAsia"/>
          <w:color w:val="000000" w:themeColor="text1"/>
          <w:sz w:val="24"/>
          <w:szCs w:val="24"/>
          <w:lang w:eastAsia="zh-CN"/>
          <w14:textFill>
            <w14:solidFill>
              <w14:schemeClr w14:val="tx1"/>
            </w14:solidFill>
          </w14:textFill>
        </w:rPr>
        <w:t>。</w:t>
      </w:r>
    </w:p>
    <w:p w14:paraId="26BFABAF">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09795" cy="2648585"/>
            <wp:effectExtent l="19050" t="19050" r="33655" b="37465"/>
            <wp:docPr id="20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4"/>
                    <pic:cNvPicPr>
                      <a:picLocks noChangeAspect="1"/>
                    </pic:cNvPicPr>
                  </pic:nvPicPr>
                  <pic:blipFill>
                    <a:blip r:embed="rId68"/>
                    <a:stretch>
                      <a:fillRect/>
                    </a:stretch>
                  </pic:blipFill>
                  <pic:spPr>
                    <a:xfrm>
                      <a:off x="0" y="0"/>
                      <a:ext cx="4709795" cy="2648585"/>
                    </a:xfrm>
                    <a:prstGeom prst="rect">
                      <a:avLst/>
                    </a:prstGeom>
                    <a:noFill/>
                    <a:ln w="19050">
                      <a:solidFill>
                        <a:schemeClr val="tx1"/>
                      </a:solidFill>
                    </a:ln>
                  </pic:spPr>
                </pic:pic>
              </a:graphicData>
            </a:graphic>
          </wp:inline>
        </w:drawing>
      </w:r>
    </w:p>
    <w:p w14:paraId="3462220A">
      <w:pPr>
        <w:keepNext w:val="0"/>
        <w:keepLines w:val="0"/>
        <w:pageBreakBefore w:val="0"/>
        <w:widowControl w:val="0"/>
        <w:kinsoku/>
        <w:wordWrap/>
        <w:overflowPunct/>
        <w:topLinePunct w:val="0"/>
        <w:autoSpaceDE w:val="0"/>
        <w:autoSpaceDN/>
        <w:bidi w:val="0"/>
        <w:adjustRightInd/>
        <w:snapToGrid/>
        <w:spacing w:line="480" w:lineRule="exact"/>
        <w:jc w:val="center"/>
        <w:textAlignment w:val="auto"/>
        <w:rPr>
          <w:rFonts w:hint="default"/>
          <w:color w:val="000000" w:themeColor="text1"/>
          <w:sz w:val="24"/>
          <w:szCs w:val="24"/>
          <w:highlight w:val="none"/>
          <w14:textFill>
            <w14:solidFill>
              <w14:schemeClr w14:val="tx1"/>
            </w14:solidFill>
          </w14:textFill>
        </w:rPr>
      </w:pPr>
      <w:r>
        <w:rPr>
          <w:rFonts w:hint="default"/>
          <w:b/>
          <w:bCs/>
          <w:color w:val="000000" w:themeColor="text1"/>
          <w:sz w:val="24"/>
          <w:szCs w:val="24"/>
          <w:highlight w:val="none"/>
          <w:lang w:val="en-US" w:eastAsia="zh-CN"/>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6</w:t>
      </w:r>
      <w:r>
        <w:rPr>
          <w:rFonts w:hint="default"/>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lang w:val="en-US" w:eastAsia="zh-CN"/>
          <w14:textFill>
            <w14:solidFill>
              <w14:schemeClr w14:val="tx1"/>
            </w14:solidFill>
          </w14:textFill>
        </w:rPr>
        <w:t>1</w:t>
      </w:r>
      <w:r>
        <w:rPr>
          <w:rFonts w:hint="default"/>
          <w:b/>
          <w:bCs/>
          <w:color w:val="000000" w:themeColor="text1"/>
          <w:sz w:val="24"/>
          <w:szCs w:val="24"/>
          <w:highlight w:val="none"/>
          <w:lang w:val="en-US" w:eastAsia="zh-CN"/>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矿井水处理设施工艺</w:t>
      </w:r>
      <w:r>
        <w:rPr>
          <w:rFonts w:hint="default"/>
          <w:b/>
          <w:bCs/>
          <w:color w:val="000000" w:themeColor="text1"/>
          <w:sz w:val="24"/>
          <w:szCs w:val="24"/>
          <w:highlight w:val="none"/>
          <w:lang w:val="en-US" w:eastAsia="zh-CN"/>
          <w14:textFill>
            <w14:solidFill>
              <w14:schemeClr w14:val="tx1"/>
            </w14:solidFill>
          </w14:textFill>
        </w:rPr>
        <w:t>概况图</w:t>
      </w:r>
    </w:p>
    <w:p w14:paraId="17589D8E">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（3）废石淋溶水</w:t>
      </w:r>
    </w:p>
    <w:p w14:paraId="616A1B9B">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地下开采期间，产生的废石量较少，全部拉运至废石</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堆</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场，待开采结束并稳沉后，将废石回填至采空区。本项目废石为Ⅰ类工业固废，可直接用于采空区回填治理。</w:t>
      </w:r>
    </w:p>
    <w:p w14:paraId="4EBB2B53">
      <w:pPr>
        <w:pStyle w:val="5"/>
        <w:spacing w:before="0" w:after="0" w:line="480" w:lineRule="exact"/>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6.2.2.2</w:t>
      </w:r>
      <w:r>
        <w:rPr>
          <w:rFonts w:hint="default" w:ascii="Times New Roman" w:hAnsi="Times New Roman" w:eastAsia="宋体" w:cs="Times New Roman"/>
          <w:b/>
          <w:bCs/>
          <w:color w:val="000000" w:themeColor="text1"/>
          <w:lang w:val="en-US" w:eastAsia="zh-CN"/>
          <w14:textFill>
            <w14:solidFill>
              <w14:schemeClr w14:val="tx1"/>
            </w14:solidFill>
          </w14:textFill>
        </w:rPr>
        <w:t>对暴雨洪流的防范与控制措施</w:t>
      </w:r>
    </w:p>
    <w:p w14:paraId="593C588F">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bookmarkStart w:id="594" w:name="_Toc14156"/>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（1）为确保矿区生产安全，必须防止矿区出现短暂的暴雨洪流对矿区的影响。做好</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废石堆场</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等关键设施的防护，防止遭受暴雨洪流冲刷；</w:t>
      </w:r>
    </w:p>
    <w:p w14:paraId="26381370">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（2）采矿工程在</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废石堆场</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四周设置</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截水沟</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，可对雨洪水进行导流，避免造成对</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废石堆场</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的冲刷，对防治雨洪水的冲刷防治是较为适宜的。工业场地上游及两侧设排洪沟，保证工业场地安全。</w:t>
      </w:r>
    </w:p>
    <w:p w14:paraId="575DE6E1">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（3）做好矿区地貌的恢复工作，在矿区发展绿化，或将局部地面硬化。</w:t>
      </w:r>
      <w:bookmarkEnd w:id="594"/>
    </w:p>
    <w:p w14:paraId="49742543">
      <w:pPr>
        <w:pStyle w:val="5"/>
        <w:spacing w:before="0" w:after="0" w:line="480" w:lineRule="exact"/>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6.2.2.3</w:t>
      </w:r>
      <w:r>
        <w:rPr>
          <w:rFonts w:hint="default" w:ascii="Times New Roman" w:hAnsi="Times New Roman" w:eastAsia="宋体" w:cs="Times New Roman"/>
          <w:b/>
          <w:bCs/>
          <w:color w:val="000000" w:themeColor="text1"/>
          <w:lang w:val="en-US" w:eastAsia="zh-CN"/>
          <w14:textFill>
            <w14:solidFill>
              <w14:schemeClr w14:val="tx1"/>
            </w14:solidFill>
          </w14:textFill>
        </w:rPr>
        <w:t>分区防渗措施</w:t>
      </w:r>
    </w:p>
    <w:p w14:paraId="673410EF">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（1）矿区污染防渗区划分</w:t>
      </w:r>
    </w:p>
    <w:p w14:paraId="66537BBF">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本项目采取分区防控措施，将厂区划分为重点防渗区、一般防渗区，除污染区外的其余区域均为非污染防治区，非污染防治区不需采取防渗措施。</w:t>
      </w:r>
    </w:p>
    <w:p w14:paraId="5C1AF6CE">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重点防渗区主要指位于地下、半地下的生产功能单元或</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其他</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易产生污染物质的场所，当污染物质泄漏后，不容易被及时发现和处理的区域，以及虽可被及时发现并处理，但污染物泄漏后污染状况较严重的生产功能单元。本项目重点污染防治区主要包括：生活污水处理设施</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、沉淀池、</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机修间</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、危废贮存点、油库</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等。</w:t>
      </w:r>
    </w:p>
    <w:p w14:paraId="171147D0">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一般防渗区主要指裸露于地面的生产功能单元，污染物质泄漏后，容易被及时发现和处理的区域，以及</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其他</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需采取必要防渗措施的水工构筑物等；本项目一般污染防治区主要包括可能产生废水及污染物泄漏的场地，具体为：</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工业场地、废石堆场</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、矿石临时堆场</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等。</w:t>
      </w:r>
    </w:p>
    <w:p w14:paraId="1D90CD4B">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简单防渗区主要包括办公生活区</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、道路</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等。</w:t>
      </w:r>
    </w:p>
    <w:p w14:paraId="466B65D2">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（2）全厂分区防渗措施</w:t>
      </w:r>
    </w:p>
    <w:p w14:paraId="754D6084">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地面防渗工程设计原则：</w:t>
      </w:r>
    </w:p>
    <w:p w14:paraId="1D1DE22B">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1）采用国际国内先进的防渗材料、技术和实施手段，确保工程建设对区域内地下水影响最小，确保地下水现有水体功能。</w:t>
      </w:r>
    </w:p>
    <w:p w14:paraId="7F5CAFF2">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2）坚持分区管理和控制原则，根据场址所在地的工程地质、水文地质条件和全厂可能发生泄漏的物料性质、排放量，参照相应标准要求有针对性</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地</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分区，并分别设计地面防渗层结构。</w:t>
      </w:r>
    </w:p>
    <w:p w14:paraId="445A11B4">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3）坚持“可视化”原则，在满足工程和防渗层结构标准要求的前提下，尽量在地表面实施防渗措施，便于泄漏物质的收集和及时发现破损的防渗层。</w:t>
      </w:r>
    </w:p>
    <w:p w14:paraId="74457020">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4）</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在</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可能泄漏危险废物的重点污染防治区设置检漏设施。</w:t>
      </w:r>
    </w:p>
    <w:p w14:paraId="6BF1B969">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5）防渗层上渗漏污染物和防渗层内渗漏污染物收集系统与</w:t>
      </w:r>
      <w:r>
        <w:rPr>
          <w:rFonts w:hint="default" w:ascii="Times New Roman" w:hAnsi="Times New Roman" w:eastAsia="宋体" w:cs="Times New Roman"/>
          <w:snapToGrid/>
          <w:color w:val="000000" w:themeColor="text1"/>
          <w:spacing w:val="0"/>
          <w:kern w:val="0"/>
          <w:position w:val="0"/>
          <w:sz w:val="24"/>
          <w:szCs w:val="24"/>
          <w:highlight w:val="none"/>
          <w:lang w:val="en-US" w:eastAsia="zh-Hans" w:bidi="ar"/>
          <w14:textFill>
            <w14:solidFill>
              <w14:schemeClr w14:val="tx1"/>
            </w14:solidFill>
          </w14:textFill>
        </w:rPr>
        <w:t>矿区</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“三废”处理措施统筹考虑，统一处理。</w:t>
      </w:r>
    </w:p>
    <w:p w14:paraId="02A37FF2">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本项目应划分为非污染区和污染区，污染区分为简单防渗区、一般防渗区和重点防渗区。本项目防渗分区划分及防渗等级见表</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6</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.2-1。</w:t>
      </w:r>
    </w:p>
    <w:p w14:paraId="5220BC88">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非污染区可不进行防渗处理，污染区则应按照不同分区要求，采取不同等级的防渗措施，并确保其可靠性和有效性。</w:t>
      </w:r>
    </w:p>
    <w:p w14:paraId="7E632CCF">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因项目所在区域土壤天然基础层渗透系数5.2×10</w:t>
      </w:r>
      <w:r>
        <w:rPr>
          <w:rFonts w:hint="eastAsia" w:cs="Times New Roman"/>
          <w:snapToGrid/>
          <w:color w:val="000000" w:themeColor="text1"/>
          <w:spacing w:val="0"/>
          <w:kern w:val="0"/>
          <w:position w:val="0"/>
          <w:sz w:val="24"/>
          <w:szCs w:val="24"/>
          <w:highlight w:val="none"/>
          <w:vertAlign w:val="superscript"/>
          <w:lang w:val="en-US" w:eastAsia="zh-CN" w:bidi="ar"/>
          <w14:textFill>
            <w14:solidFill>
              <w14:schemeClr w14:val="tx1"/>
            </w14:solidFill>
          </w14:textFill>
        </w:rPr>
        <w:t>-2</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~5.78×10</w:t>
      </w:r>
      <w:r>
        <w:rPr>
          <w:rFonts w:hint="eastAsia" w:cs="Times New Roman"/>
          <w:snapToGrid/>
          <w:color w:val="000000" w:themeColor="text1"/>
          <w:spacing w:val="0"/>
          <w:kern w:val="0"/>
          <w:position w:val="0"/>
          <w:sz w:val="24"/>
          <w:szCs w:val="24"/>
          <w:highlight w:val="none"/>
          <w:vertAlign w:val="superscript"/>
          <w:lang w:val="en-US" w:eastAsia="zh-CN" w:bidi="ar"/>
          <w14:textFill>
            <w14:solidFill>
              <w14:schemeClr w14:val="tx1"/>
            </w14:solidFill>
          </w14:textFill>
        </w:rPr>
        <w:t>-2</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，远大于1.0×10</w:t>
      </w:r>
      <w:r>
        <w:rPr>
          <w:rFonts w:hint="eastAsia" w:cs="Times New Roman"/>
          <w:snapToGrid/>
          <w:color w:val="000000" w:themeColor="text1"/>
          <w:spacing w:val="0"/>
          <w:kern w:val="0"/>
          <w:position w:val="0"/>
          <w:sz w:val="24"/>
          <w:szCs w:val="24"/>
          <w:highlight w:val="none"/>
          <w:vertAlign w:val="superscript"/>
          <w:lang w:val="en-US" w:eastAsia="zh-CN" w:bidi="ar"/>
          <w14:textFill>
            <w14:solidFill>
              <w14:schemeClr w14:val="tx1"/>
            </w14:solidFill>
          </w14:textFill>
        </w:rPr>
        <w:t>-5</w:t>
      </w:r>
      <w:r>
        <w:rPr>
          <w:rFonts w:hint="eastAsia" w:cs="Times New Roman"/>
          <w:snapToGrid/>
          <w:color w:val="000000" w:themeColor="text1"/>
          <w:spacing w:val="0"/>
          <w:kern w:val="0"/>
          <w:position w:val="0"/>
          <w:sz w:val="24"/>
          <w:szCs w:val="24"/>
          <w:highlight w:val="none"/>
          <w:vertAlign w:val="baseline"/>
          <w:lang w:val="en-US" w:eastAsia="zh-CN" w:bidi="ar"/>
          <w14:textFill>
            <w14:solidFill>
              <w14:schemeClr w14:val="tx1"/>
            </w14:solidFill>
          </w14:textFill>
        </w:rPr>
        <w:t>c</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m/s，故无法采用天然基础层作为防渗衬层，因此一般防渗区需采用改性压实粘土类衬层或具有同等以上隔水效力的其他材料防渗衬层，其防渗性能应至少相当于渗透系数为1.0×10</w:t>
      </w:r>
      <w:r>
        <w:rPr>
          <w:rFonts w:hint="eastAsia" w:cs="Times New Roman"/>
          <w:snapToGrid/>
          <w:color w:val="000000" w:themeColor="text1"/>
          <w:spacing w:val="0"/>
          <w:kern w:val="0"/>
          <w:position w:val="0"/>
          <w:sz w:val="24"/>
          <w:szCs w:val="24"/>
          <w:highlight w:val="none"/>
          <w:vertAlign w:val="superscript"/>
          <w:lang w:val="en-US" w:eastAsia="zh-CN" w:bidi="ar"/>
          <w14:textFill>
            <w14:solidFill>
              <w14:schemeClr w14:val="tx1"/>
            </w14:solidFill>
          </w14:textFill>
        </w:rPr>
        <w:t>-5</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cm/s且厚度为0.75m的天然基础层。</w:t>
      </w:r>
    </w:p>
    <w:p w14:paraId="3426519D">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本项目设计采取的各项防渗措施具体见表</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6</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.2-</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w:t>
      </w:r>
    </w:p>
    <w:p w14:paraId="76F6BD3E">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p>
    <w:p w14:paraId="442BF39A">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pPr>
    </w:p>
    <w:p w14:paraId="08036B66">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宋体" w:cs="Times New Roman"/>
          <w:b/>
          <w:bCs/>
          <w:snapToGrid/>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4"/>
          <w:highlight w:val="none"/>
          <w14:textFill>
            <w14:solidFill>
              <w14:schemeClr w14:val="tx1"/>
            </w14:solidFill>
          </w14:textFill>
        </w:rPr>
        <w:t>表</w:t>
      </w:r>
      <w:r>
        <w:rPr>
          <w:rFonts w:hint="eastAsia" w:cs="Times New Roman"/>
          <w:b/>
          <w:bCs/>
          <w:snapToGrid/>
          <w:color w:val="000000" w:themeColor="text1"/>
          <w:spacing w:val="0"/>
          <w:kern w:val="0"/>
          <w:position w:val="0"/>
          <w:sz w:val="24"/>
          <w:highlight w:val="none"/>
          <w:lang w:val="en-US" w:eastAsia="zh-CN"/>
          <w14:textFill>
            <w14:solidFill>
              <w14:schemeClr w14:val="tx1"/>
            </w14:solidFill>
          </w14:textFill>
        </w:rPr>
        <w:t>6</w:t>
      </w:r>
      <w:r>
        <w:rPr>
          <w:rFonts w:hint="default" w:ascii="Times New Roman" w:hAnsi="Times New Roman" w:eastAsia="宋体" w:cs="Times New Roman"/>
          <w:b/>
          <w:bCs/>
          <w:snapToGrid/>
          <w:color w:val="000000" w:themeColor="text1"/>
          <w:spacing w:val="0"/>
          <w:kern w:val="0"/>
          <w:position w:val="0"/>
          <w:sz w:val="24"/>
          <w:highlight w:val="none"/>
          <w14:textFill>
            <w14:solidFill>
              <w14:schemeClr w14:val="tx1"/>
            </w14:solidFill>
          </w14:textFill>
        </w:rPr>
        <w:t>.2-1    本项目污染区划分及防渗等级一览表</w:t>
      </w:r>
    </w:p>
    <w:tbl>
      <w:tblPr>
        <w:tblStyle w:val="8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883"/>
        <w:gridCol w:w="1871"/>
        <w:gridCol w:w="3483"/>
      </w:tblGrid>
      <w:tr w14:paraId="56231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752" w:type="pct"/>
            <w:vAlign w:val="center"/>
          </w:tcPr>
          <w:p w14:paraId="59031B3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highlight w:val="none"/>
                <w14:textFill>
                  <w14:solidFill>
                    <w14:schemeClr w14:val="tx1"/>
                  </w14:solidFill>
                </w14:textFill>
              </w:rPr>
              <w:t>防渗分区</w:t>
            </w:r>
          </w:p>
        </w:tc>
        <w:tc>
          <w:tcPr>
            <w:tcW w:w="1105" w:type="pct"/>
            <w:vAlign w:val="center"/>
          </w:tcPr>
          <w:p w14:paraId="0253839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highlight w:val="none"/>
                <w14:textFill>
                  <w14:solidFill>
                    <w14:schemeClr w14:val="tx1"/>
                  </w14:solidFill>
                </w14:textFill>
              </w:rPr>
              <w:t>定义</w:t>
            </w:r>
          </w:p>
        </w:tc>
        <w:tc>
          <w:tcPr>
            <w:tcW w:w="1098" w:type="pct"/>
            <w:vAlign w:val="center"/>
          </w:tcPr>
          <w:p w14:paraId="65FE149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highlight w:val="none"/>
                <w14:textFill>
                  <w14:solidFill>
                    <w14:schemeClr w14:val="tx1"/>
                  </w14:solidFill>
                </w14:textFill>
              </w:rPr>
              <w:t>厂内分区</w:t>
            </w:r>
          </w:p>
        </w:tc>
        <w:tc>
          <w:tcPr>
            <w:tcW w:w="2043" w:type="pct"/>
            <w:vAlign w:val="center"/>
          </w:tcPr>
          <w:p w14:paraId="2AF1D2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kern w:val="0"/>
                <w:position w:val="0"/>
                <w:sz w:val="21"/>
                <w:szCs w:val="21"/>
                <w:highlight w:val="none"/>
                <w14:textFill>
                  <w14:solidFill>
                    <w14:schemeClr w14:val="tx1"/>
                  </w14:solidFill>
                </w14:textFill>
              </w:rPr>
              <w:t>防渗等级</w:t>
            </w:r>
          </w:p>
        </w:tc>
      </w:tr>
      <w:tr w14:paraId="56F48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24722AB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重点防渗区</w:t>
            </w:r>
          </w:p>
        </w:tc>
        <w:tc>
          <w:tcPr>
            <w:tcW w:w="1105" w:type="pct"/>
            <w:vAlign w:val="center"/>
          </w:tcPr>
          <w:p w14:paraId="6287994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危害性大、毒性较大的生产装置区、物料储罐区、危险废物暂存区等</w:t>
            </w:r>
          </w:p>
        </w:tc>
        <w:tc>
          <w:tcPr>
            <w:tcW w:w="1871" w:type="dxa"/>
            <w:vAlign w:val="center"/>
          </w:tcPr>
          <w:p w14:paraId="6433D71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机修间</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、危废贮存点</w:t>
            </w: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、油库</w:t>
            </w:r>
          </w:p>
        </w:tc>
        <w:tc>
          <w:tcPr>
            <w:tcW w:w="2043" w:type="pct"/>
            <w:vAlign w:val="center"/>
          </w:tcPr>
          <w:p w14:paraId="1E9EE54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14:textFill>
                  <w14:solidFill>
                    <w14:schemeClr w14:val="tx1"/>
                  </w14:solidFill>
                </w14:textFill>
              </w:rPr>
            </w:pP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应满足防渗性能不应低于6.0m厚，</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渗透系数</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不大于</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1.0×10</w:t>
            </w:r>
            <w:r>
              <w:rPr>
                <w:rFonts w:hint="default" w:ascii="Times New Roman" w:hAnsi="Times New Roman" w:eastAsia="宋体" w:cs="Times New Roman"/>
                <w:snapToGrid/>
                <w:color w:val="000000" w:themeColor="text1"/>
                <w:spacing w:val="0"/>
                <w:kern w:val="0"/>
                <w:position w:val="0"/>
                <w:sz w:val="21"/>
                <w:szCs w:val="21"/>
                <w:highlight w:val="none"/>
                <w:vertAlign w:val="superscript"/>
                <w14:textFill>
                  <w14:solidFill>
                    <w14:schemeClr w14:val="tx1"/>
                  </w14:solidFill>
                </w14:textFill>
              </w:rPr>
              <w:t>-</w:t>
            </w:r>
            <w:r>
              <w:rPr>
                <w:rFonts w:hint="eastAsia" w:ascii="Times New Roman" w:hAnsi="Times New Roman"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cm/s</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的黏土防渗层的防渗性能，或参照《危险废物填埋污染控制标准》（GB18598-2019）执行</w:t>
            </w:r>
          </w:p>
        </w:tc>
      </w:tr>
      <w:tr w14:paraId="66F11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3468E26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一般防渗区</w:t>
            </w:r>
          </w:p>
        </w:tc>
        <w:tc>
          <w:tcPr>
            <w:tcW w:w="1105" w:type="pct"/>
            <w:vAlign w:val="center"/>
          </w:tcPr>
          <w:p w14:paraId="5CA32E2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无毒性或毒性小的生产装置区、装置区外管廊区</w:t>
            </w:r>
          </w:p>
        </w:tc>
        <w:tc>
          <w:tcPr>
            <w:tcW w:w="1871" w:type="dxa"/>
            <w:vAlign w:val="center"/>
          </w:tcPr>
          <w:p w14:paraId="0C1C7A9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生活污水处理设施</w:t>
            </w:r>
            <w:r>
              <w:rPr>
                <w:rFonts w:hint="eastAsia" w:cs="Times New Roman"/>
                <w:snapToGrid/>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工业场地、</w:t>
            </w:r>
            <w:r>
              <w:rPr>
                <w:rFonts w:hint="eastAsia" w:cs="Times New Roman"/>
                <w:snapToGrid/>
                <w:color w:val="000000" w:themeColor="text1"/>
                <w:spacing w:val="0"/>
                <w:kern w:val="0"/>
                <w:position w:val="0"/>
                <w:sz w:val="21"/>
                <w:szCs w:val="21"/>
                <w:highlight w:val="none"/>
                <w:lang w:eastAsia="zh-CN"/>
                <w14:textFill>
                  <w14:solidFill>
                    <w14:schemeClr w14:val="tx1"/>
                  </w14:solidFill>
                </w14:textFill>
              </w:rPr>
              <w:t>废石堆场</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w:t>
            </w:r>
            <w:r>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t>沉淀池</w:t>
            </w:r>
          </w:p>
        </w:tc>
        <w:tc>
          <w:tcPr>
            <w:tcW w:w="2043" w:type="pct"/>
            <w:vAlign w:val="center"/>
          </w:tcPr>
          <w:p w14:paraId="39B1137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t>《一般工业固体废物贮存和填埋污染控制标准》（GB18599-2020）</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Ⅰ类场标准相关要求进行建设，</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防渗性能不应低于1.5m厚，</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渗透系数</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为</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1.0×10</w:t>
            </w:r>
            <w:r>
              <w:rPr>
                <w:rFonts w:hint="default" w:ascii="Times New Roman" w:hAnsi="Times New Roman" w:eastAsia="宋体" w:cs="Times New Roman"/>
                <w:snapToGrid/>
                <w:color w:val="000000" w:themeColor="text1"/>
                <w:spacing w:val="0"/>
                <w:kern w:val="0"/>
                <w:position w:val="0"/>
                <w:sz w:val="21"/>
                <w:szCs w:val="21"/>
                <w:highlight w:val="none"/>
                <w:vertAlign w:val="superscript"/>
                <w14:textFill>
                  <w14:solidFill>
                    <w14:schemeClr w14:val="tx1"/>
                  </w14:solidFill>
                </w14:textFill>
              </w:rPr>
              <w:t>-</w:t>
            </w:r>
            <w:r>
              <w:rPr>
                <w:rFonts w:hint="eastAsia" w:cs="Times New Roman"/>
                <w:snapToGrid/>
                <w:color w:val="000000" w:themeColor="text1"/>
                <w:spacing w:val="0"/>
                <w:kern w:val="0"/>
                <w:position w:val="0"/>
                <w:sz w:val="21"/>
                <w:szCs w:val="21"/>
                <w:highlight w:val="none"/>
                <w:vertAlign w:val="superscript"/>
                <w:lang w:val="en-US" w:eastAsia="zh-CN"/>
                <w14:textFill>
                  <w14:solidFill>
                    <w14:schemeClr w14:val="tx1"/>
                  </w14:solidFill>
                </w14:textFill>
              </w:rPr>
              <w:t>5</w:t>
            </w: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cm/s</w:t>
            </w:r>
            <w:r>
              <w:rPr>
                <w:rFonts w:hint="eastAsia" w:ascii="Times New Roman" w:hAnsi="Times New Roman" w:cs="Times New Roman"/>
                <w:snapToGrid/>
                <w:color w:val="000000" w:themeColor="text1"/>
                <w:spacing w:val="0"/>
                <w:kern w:val="0"/>
                <w:position w:val="0"/>
                <w:sz w:val="21"/>
                <w:szCs w:val="21"/>
                <w:highlight w:val="none"/>
                <w:lang w:val="en-US" w:eastAsia="zh-CN"/>
                <w14:textFill>
                  <w14:solidFill>
                    <w14:schemeClr w14:val="tx1"/>
                  </w14:solidFill>
                </w14:textFill>
              </w:rPr>
              <w:t>的黏土层的防渗性能</w:t>
            </w:r>
          </w:p>
        </w:tc>
      </w:tr>
      <w:tr w14:paraId="5F0D7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7C25CBD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简单防渗区</w:t>
            </w:r>
          </w:p>
        </w:tc>
        <w:tc>
          <w:tcPr>
            <w:tcW w:w="1105" w:type="pct"/>
            <w:vAlign w:val="center"/>
          </w:tcPr>
          <w:p w14:paraId="2FFC99B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除污染区的其余区域</w:t>
            </w:r>
          </w:p>
        </w:tc>
        <w:tc>
          <w:tcPr>
            <w:tcW w:w="1871" w:type="dxa"/>
            <w:vAlign w:val="center"/>
          </w:tcPr>
          <w:p w14:paraId="6850F66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lang w:eastAsia="zh-CN"/>
                <w14:textFill>
                  <w14:solidFill>
                    <w14:schemeClr w14:val="tx1"/>
                  </w14:solidFill>
                </w14:textFill>
              </w:rPr>
              <w:t>办公生活区、道路</w:t>
            </w:r>
          </w:p>
        </w:tc>
        <w:tc>
          <w:tcPr>
            <w:tcW w:w="2043" w:type="pct"/>
            <w:vAlign w:val="center"/>
          </w:tcPr>
          <w:p w14:paraId="6497DBA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1"/>
                <w:szCs w:val="21"/>
                <w:highlight w:val="none"/>
                <w14:textFill>
                  <w14:solidFill>
                    <w14:schemeClr w14:val="tx1"/>
                  </w14:solidFill>
                </w14:textFill>
              </w:rPr>
              <w:t>进行地面硬化</w:t>
            </w:r>
          </w:p>
        </w:tc>
      </w:tr>
    </w:tbl>
    <w:p w14:paraId="76026BAB">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41C8C81E">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0E69EAC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3A599E7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37641F0C">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64991CCF">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0884A6FE">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32D3E1D9">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1BABC94A">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2FF6DAB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6FB2F93F">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691BC2C1">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713CD874">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6D9903FB">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30E7F586">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01ABE49C">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4D738551">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64615D18">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4386CFFF">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02EDB8FA">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olor w:val="000000" w:themeColor="text1"/>
          <w:highlight w:val="none"/>
          <w:lang w:val="en-US" w:eastAsia="zh-CN"/>
          <w14:textFill>
            <w14:solidFill>
              <w14:schemeClr w14:val="tx1"/>
            </w14:solidFill>
          </w14:textFill>
        </w:rPr>
      </w:pPr>
    </w:p>
    <w:p w14:paraId="304FD621">
      <w:pPr>
        <w:keepNext w:val="0"/>
        <w:keepLines w:val="0"/>
        <w:pageBreakBefore w:val="0"/>
        <w:widowControl w:val="0"/>
        <w:kinsoku/>
        <w:wordWrap/>
        <w:overflowPunct/>
        <w:topLinePunct w:val="0"/>
        <w:autoSpaceDE w:val="0"/>
        <w:autoSpaceDN/>
        <w:bidi w:val="0"/>
        <w:adjustRightInd/>
        <w:snapToGrid/>
        <w:spacing w:line="480" w:lineRule="exact"/>
        <w:jc w:val="center"/>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b/>
          <w:bCs/>
          <w:color w:val="000000" w:themeColor="text1"/>
          <w:sz w:val="24"/>
          <w:szCs w:val="24"/>
          <w:highlight w:val="none"/>
          <w:lang w:val="en-US" w:eastAsia="zh-CN"/>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6</w:t>
      </w:r>
      <w:r>
        <w:rPr>
          <w:rFonts w:hint="default"/>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lang w:val="en-US" w:eastAsia="zh-CN"/>
          <w14:textFill>
            <w14:solidFill>
              <w14:schemeClr w14:val="tx1"/>
            </w14:solidFill>
          </w14:textFill>
        </w:rPr>
        <w:t>2</w:t>
      </w:r>
      <w:r>
        <w:rPr>
          <w:rFonts w:hint="default"/>
          <w:b/>
          <w:bCs/>
          <w:color w:val="000000" w:themeColor="text1"/>
          <w:sz w:val="24"/>
          <w:szCs w:val="24"/>
          <w:highlight w:val="none"/>
          <w:lang w:val="en-US" w:eastAsia="zh-CN"/>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分区防渗</w:t>
      </w:r>
      <w:r>
        <w:rPr>
          <w:rFonts w:hint="default"/>
          <w:b/>
          <w:bCs/>
          <w:color w:val="000000" w:themeColor="text1"/>
          <w:sz w:val="24"/>
          <w:szCs w:val="24"/>
          <w:highlight w:val="none"/>
          <w:lang w:val="en-US" w:eastAsia="zh-CN"/>
          <w14:textFill>
            <w14:solidFill>
              <w14:schemeClr w14:val="tx1"/>
            </w14:solidFill>
          </w14:textFill>
        </w:rPr>
        <w:t>图</w:t>
      </w:r>
    </w:p>
    <w:p w14:paraId="7ECBE226">
      <w:pPr>
        <w:pStyle w:val="4"/>
        <w:spacing w:before="60" w:after="60" w:line="480" w:lineRule="exact"/>
        <w:rPr>
          <w:rFonts w:hint="eastAsia"/>
          <w:color w:val="000000" w:themeColor="text1"/>
          <w:kern w:val="2"/>
          <w14:textFill>
            <w14:solidFill>
              <w14:schemeClr w14:val="tx1"/>
            </w14:solidFill>
          </w14:textFill>
        </w:rPr>
      </w:pPr>
      <w:bookmarkStart w:id="595" w:name="_Toc19123"/>
      <w:bookmarkStart w:id="596" w:name="_Toc20789"/>
      <w:bookmarkStart w:id="597" w:name="_Toc381"/>
      <w:r>
        <w:rPr>
          <w:rFonts w:hint="eastAsia"/>
          <w:color w:val="000000" w:themeColor="text1"/>
          <w:kern w:val="2"/>
          <w14:textFill>
            <w14:solidFill>
              <w14:schemeClr w14:val="tx1"/>
            </w14:solidFill>
          </w14:textFill>
        </w:rPr>
        <w:t>6.2.</w:t>
      </w:r>
      <w:r>
        <w:rPr>
          <w:rFonts w:hint="eastAsia"/>
          <w:color w:val="000000" w:themeColor="text1"/>
          <w:kern w:val="2"/>
          <w:lang w:val="en-US" w:eastAsia="zh-CN"/>
          <w14:textFill>
            <w14:solidFill>
              <w14:schemeClr w14:val="tx1"/>
            </w14:solidFill>
          </w14:textFill>
        </w:rPr>
        <w:t>3</w:t>
      </w:r>
      <w:r>
        <w:rPr>
          <w:rFonts w:hint="eastAsia"/>
          <w:color w:val="000000" w:themeColor="text1"/>
          <w:kern w:val="2"/>
          <w14:textFill>
            <w14:solidFill>
              <w14:schemeClr w14:val="tx1"/>
            </w14:solidFill>
          </w14:textFill>
        </w:rPr>
        <w:t>噪声污染防治措施</w:t>
      </w:r>
      <w:bookmarkEnd w:id="595"/>
      <w:bookmarkEnd w:id="596"/>
      <w:bookmarkEnd w:id="597"/>
    </w:p>
    <w:p w14:paraId="61AA53D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井下凿岩、井下爆破作业点与地表井口的距离较远，其产生的噪声经岩石阻隔吸声降噪、空气、距离等自然衰减后，到达井口处的噪声值较低，不会对地表声环境产生影响。地面噪声源主要为工业场地的空压机和通风机等设备噪声，本项目对噪声的控制主要采取以下措施：</w:t>
      </w:r>
    </w:p>
    <w:p w14:paraId="32AAF7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（1）设计在总体布置时已考虑采掘场产生高噪声源的特点。工程设计时将产生高强声级的采掘场剥挖坑相对集中布置或者设在无人区一侧。同时充分利用地形地物对噪声传播起到遮挡作用；</w:t>
      </w:r>
    </w:p>
    <w:p w14:paraId="42B54AF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（2）各种机电产品选用时，除考虑满足生产工艺技术要求外，选型还必须考虑产品具备良好的声学特性（高效低噪），向供货制造设备厂方提出限制噪声要求；</w:t>
      </w:r>
    </w:p>
    <w:p w14:paraId="1799BA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（3）空压机基础选用高隔振系数材料，设计选用钢弹簧与橡胶复合串联式隔振基础，减少向楼板等支撑结构的传振；</w:t>
      </w:r>
    </w:p>
    <w:p w14:paraId="45722D3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（4）通风机房是矿井的强噪声源，未经处理直接扩散到室外，将对区域环境造成严重污染，设计在出风口处加隔声罩降低通风机房噪声影响</w:t>
      </w:r>
      <w:r>
        <w:rPr>
          <w:rFonts w:hint="eastAsia" w:cs="Times New Roman"/>
          <w:color w:val="000000" w:themeColor="text1"/>
          <w:sz w:val="24"/>
          <w:szCs w:val="24"/>
          <w:lang w:val="en-US" w:eastAsia="zh-CN"/>
          <w14:textFill>
            <w14:solidFill>
              <w14:schemeClr w14:val="tx1"/>
            </w14:solidFill>
          </w14:textFill>
        </w:rPr>
        <w:t>。</w:t>
      </w:r>
    </w:p>
    <w:p w14:paraId="0847826F">
      <w:pPr>
        <w:pStyle w:val="4"/>
        <w:spacing w:before="60" w:after="60" w:line="480" w:lineRule="exact"/>
        <w:rPr>
          <w:rFonts w:hint="eastAsia"/>
          <w:color w:val="000000" w:themeColor="text1"/>
          <w:kern w:val="2"/>
          <w14:textFill>
            <w14:solidFill>
              <w14:schemeClr w14:val="tx1"/>
            </w14:solidFill>
          </w14:textFill>
        </w:rPr>
      </w:pPr>
      <w:bookmarkStart w:id="598" w:name="_Toc32100"/>
      <w:bookmarkStart w:id="599" w:name="_Toc4490"/>
      <w:bookmarkStart w:id="600" w:name="_Toc18166"/>
      <w:bookmarkStart w:id="601" w:name="_Toc1292"/>
      <w:bookmarkStart w:id="602" w:name="_Toc1239"/>
      <w:r>
        <w:rPr>
          <w:rFonts w:hint="eastAsia"/>
          <w:color w:val="000000" w:themeColor="text1"/>
          <w:kern w:val="2"/>
          <w14:textFill>
            <w14:solidFill>
              <w14:schemeClr w14:val="tx1"/>
            </w14:solidFill>
          </w14:textFill>
        </w:rPr>
        <w:t>6.2.</w:t>
      </w:r>
      <w:r>
        <w:rPr>
          <w:rFonts w:hint="eastAsia"/>
          <w:color w:val="000000" w:themeColor="text1"/>
          <w:kern w:val="2"/>
          <w:lang w:val="en-US" w:eastAsia="zh-CN"/>
          <w14:textFill>
            <w14:solidFill>
              <w14:schemeClr w14:val="tx1"/>
            </w14:solidFill>
          </w14:textFill>
        </w:rPr>
        <w:t>4</w:t>
      </w:r>
      <w:r>
        <w:rPr>
          <w:rFonts w:hint="eastAsia"/>
          <w:color w:val="000000" w:themeColor="text1"/>
          <w:kern w:val="2"/>
          <w14:textFill>
            <w14:solidFill>
              <w14:schemeClr w14:val="tx1"/>
            </w14:solidFill>
          </w14:textFill>
        </w:rPr>
        <w:t>固体废物污染防治措施</w:t>
      </w:r>
      <w:bookmarkEnd w:id="598"/>
      <w:bookmarkEnd w:id="599"/>
      <w:bookmarkEnd w:id="600"/>
      <w:bookmarkEnd w:id="601"/>
      <w:bookmarkEnd w:id="602"/>
    </w:p>
    <w:p w14:paraId="217790C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（1）采矿废石</w:t>
      </w:r>
    </w:p>
    <w:p w14:paraId="69E7AA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矿山开采期间年产废石量13.97×10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t/a，矿山服务年限13.34年，服务年限期间共产生废石151.57×10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现有2处废石堆场（计划封场），均位于主竖井、副竖井工业广场南侧，总占地面积1.19hm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，总堆放量约3.83万m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。废石堆场1占地面积0.78hm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，堆高约4m，废渣石压实堆放，边坡角约30°，堆放量约2.51万m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。废石堆场2占地面积0.41hm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，堆高约4m，废渣石压实堆放，边坡角约30°，堆放量约1.32万m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。规划2处</w:t>
      </w:r>
      <w:r>
        <w:rPr>
          <w:rFonts w:hint="eastAsia" w:cs="Times New Roman"/>
          <w:color w:val="000000" w:themeColor="text1"/>
          <w:sz w:val="24"/>
          <w:szCs w:val="24"/>
          <w:lang w:val="en-US" w:eastAsia="zh-CN"/>
          <w14:textFill>
            <w14:solidFill>
              <w14:schemeClr w14:val="tx1"/>
            </w14:solidFill>
          </w14:textFill>
        </w:rPr>
        <w:t>废石堆场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位于矿区中部道路两侧，总占地面积5.36hm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前期基建及开采产生废石均堆放于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color w:val="000000" w:themeColor="text1"/>
          <w:sz w:val="24"/>
          <w:szCs w:val="28"/>
          <w:highlight w:val="none"/>
          <w14:textFill>
            <w14:solidFill>
              <w14:schemeClr w14:val="tx1"/>
            </w14:solidFill>
          </w14:textFill>
        </w:rPr>
        <w:t>待开采结束</w:t>
      </w:r>
      <w:r>
        <w:rPr>
          <w:rFonts w:hint="eastAsia"/>
          <w:color w:val="000000" w:themeColor="text1"/>
          <w:sz w:val="24"/>
          <w:szCs w:val="28"/>
          <w:highlight w:val="none"/>
          <w14:textFill>
            <w14:solidFill>
              <w14:schemeClr w14:val="tx1"/>
            </w14:solidFill>
          </w14:textFill>
        </w:rPr>
        <w:t>并稳沉</w:t>
      </w:r>
      <w:r>
        <w:rPr>
          <w:color w:val="000000" w:themeColor="text1"/>
          <w:sz w:val="24"/>
          <w:szCs w:val="28"/>
          <w:highlight w:val="none"/>
          <w14:textFill>
            <w14:solidFill>
              <w14:schemeClr w14:val="tx1"/>
            </w14:solidFill>
          </w14:textFill>
        </w:rPr>
        <w:t>后，将废石</w:t>
      </w:r>
      <w:r>
        <w:rPr>
          <w:rFonts w:hint="eastAsia"/>
          <w:color w:val="000000" w:themeColor="text1"/>
          <w:sz w:val="24"/>
          <w:szCs w:val="28"/>
          <w:highlight w:val="none"/>
          <w14:textFill>
            <w14:solidFill>
              <w14:schemeClr w14:val="tx1"/>
            </w14:solidFill>
          </w14:textFill>
        </w:rPr>
        <w:t>回填至采空区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629588B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参照《一般工业固体废物贮存和填埋污染控制标准》（GB18599-2020）对于第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1 \* ROMAN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类一般工业固体处置场所要求进行建设</w:t>
      </w:r>
      <w:r>
        <w:rPr>
          <w:rFonts w:hint="eastAsia" w:cs="Times New Roman"/>
          <w:color w:val="000000" w:themeColor="text1"/>
          <w:sz w:val="24"/>
          <w:szCs w:val="24"/>
          <w:lang w:val="en-US" w:eastAsia="zh-CN"/>
          <w14:textFill>
            <w14:solidFill>
              <w14:schemeClr w14:val="tx1"/>
            </w14:solidFill>
          </w14:textFill>
        </w:rPr>
        <w:t>。因废石堆场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天然基础层饱和渗透系数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cm/s，不能满足防渗要求，</w:t>
      </w:r>
      <w:r>
        <w:rPr>
          <w:rFonts w:hint="eastAsia" w:cs="Times New Roman"/>
          <w:color w:val="000000" w:themeColor="text1"/>
          <w:sz w:val="24"/>
          <w:szCs w:val="24"/>
          <w:lang w:val="en-US" w:eastAsia="zh-CN"/>
          <w14:textFill>
            <w14:solidFill>
              <w14:schemeClr w14:val="tx1"/>
            </w14:solidFill>
          </w14:textFill>
        </w:rPr>
        <w:t>故本次评价提出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采用改性压实粘土类衬层或具有同等以上隔水效力的其他材料防渗衬层，其防渗性能应至少相当于渗透系数为1.0×10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cm/s且厚度为0.75m的天然基础层。</w:t>
      </w:r>
    </w:p>
    <w:p w14:paraId="1E7A4B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废石属第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类一般工业固体废物，</w:t>
      </w:r>
      <w:r>
        <w:rPr>
          <w:rFonts w:hint="eastAsia" w:cs="Times New Roman"/>
          <w:color w:val="000000" w:themeColor="text1"/>
          <w:sz w:val="24"/>
          <w:szCs w:val="24"/>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《一般工业固体废物贮存和填埋污染控制标准》（GB18599-2020）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类一般工业固废矿山废石可在原矿开采区的矿井、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矿井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等采空区中充填或回填</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的要求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4F90A5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（2）沉淀污泥</w:t>
      </w:r>
    </w:p>
    <w:p w14:paraId="2279280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项目沉淀池产生的沉淀污泥暂存于废石堆场，定期回填于采空区或综合利用，不外排。</w:t>
      </w:r>
    </w:p>
    <w:p w14:paraId="3D137A0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（3）生活垃圾</w:t>
      </w:r>
    </w:p>
    <w:p w14:paraId="28F9AF6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本环评要求对矿区生活垃圾进行资源化、无害化和减量化处理，生活垃圾集中收集、集中处置，定期拉运至雅满苏镇生活垃圾填埋场填埋处置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18486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w:t>
      </w:r>
    </w:p>
    <w:p w14:paraId="72C3D6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产生的危险废物为</w:t>
      </w:r>
      <w:r>
        <w:rPr>
          <w:rFonts w:hint="eastAsia"/>
          <w:color w:val="000000" w:themeColor="text1"/>
          <w:sz w:val="24"/>
          <w:szCs w:val="24"/>
          <w14:textFill>
            <w14:solidFill>
              <w14:schemeClr w14:val="tx1"/>
            </w14:solidFill>
          </w14:textFill>
        </w:rPr>
        <w:t>废矿物油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代码为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HW08</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900-21</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、废油桶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代码为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HW08</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900-2</w:t>
      </w:r>
      <w:r>
        <w:rPr>
          <w:rFonts w:hint="eastAsia" w:cs="Times New Roman"/>
          <w:color w:val="000000" w:themeColor="text1"/>
          <w:sz w:val="24"/>
          <w:szCs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，环评要求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将上述危险废物统一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收集至</w:t>
      </w:r>
      <w:r>
        <w:rPr>
          <w:rFonts w:hint="eastAsia" w:cs="Times New Roman"/>
          <w:color w:val="000000" w:themeColor="text1"/>
          <w:sz w:val="24"/>
          <w:szCs w:val="24"/>
          <w:lang w:val="en-US" w:eastAsia="zh-CN"/>
          <w14:textFill>
            <w14:solidFill>
              <w14:schemeClr w14:val="tx1"/>
            </w14:solidFill>
          </w14:textFill>
        </w:rPr>
        <w:t>危废贮存点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，定期交由</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有资质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进行处置。</w:t>
      </w:r>
    </w:p>
    <w:p w14:paraId="7FB94C9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本项目按照《危险废物贮存污染控制标准》（GB18597-2023）相关要求建设面积为20m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w:t>
      </w:r>
      <w:r>
        <w:rPr>
          <w:rFonts w:hint="eastAsia" w:cs="Times New Roman"/>
          <w:color w:val="000000" w:themeColor="text1"/>
          <w:sz w:val="24"/>
          <w:szCs w:val="24"/>
          <w:lang w:val="en-US" w:eastAsia="zh-CN"/>
          <w14:textFill>
            <w14:solidFill>
              <w14:schemeClr w14:val="tx1"/>
            </w14:solidFill>
          </w14:textFill>
        </w:rPr>
        <w:t>危废贮存点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，且已按要求做防渗处理，可满足本项目危险废物贮存要求。</w:t>
      </w:r>
    </w:p>
    <w:p w14:paraId="2C94B6C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危险废物收集污染防治措施分析</w:t>
      </w:r>
    </w:p>
    <w:p w14:paraId="5E601E8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危险废物在收集时，应清楚废物的类别及主要</w:t>
      </w:r>
      <w:r>
        <w:rPr>
          <w:rFonts w:hint="eastAsia" w:cs="Times New Roman"/>
          <w:color w:val="000000" w:themeColor="text1"/>
          <w:sz w:val="24"/>
          <w:szCs w:val="24"/>
          <w:lang w:val="en-US" w:eastAsia="zh-CN"/>
          <w14:textFill>
            <w14:solidFill>
              <w14:schemeClr w14:val="tx1"/>
            </w14:solidFill>
          </w14:textFill>
        </w:rPr>
        <w:t>成分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以方便委托处理单位处理，根据危险废物的性质和形态，可采用不同大小和不同材质的容器进行包装，所有包装容器应足够安全，并经过周密检查，严防在装载、搬移或运输途中出现渗漏、溢出、抛洒或挥发等情况。对危险废物进行安全包装，并在包装的明显位置附上危险废物标签。</w:t>
      </w:r>
    </w:p>
    <w:p w14:paraId="61AA886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危险废物暂存污染防治措施分析</w:t>
      </w:r>
    </w:p>
    <w:p w14:paraId="76770EE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危险废物应尽快送往委托单位处理，不宜存放超过一年，</w:t>
      </w:r>
      <w:r>
        <w:rPr>
          <w:rFonts w:hint="eastAsia" w:cs="Times New Roman"/>
          <w:color w:val="000000" w:themeColor="text1"/>
          <w:sz w:val="24"/>
          <w:szCs w:val="24"/>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暂存执行《危险废物贮存污染控制标准》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GB18597-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中相关规定，项目</w:t>
      </w:r>
      <w:r>
        <w:rPr>
          <w:rFonts w:hint="eastAsia" w:cs="Times New Roman"/>
          <w:color w:val="000000" w:themeColor="text1"/>
          <w:sz w:val="24"/>
          <w:szCs w:val="24"/>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暂存应做到以下几点：</w:t>
      </w:r>
    </w:p>
    <w:p w14:paraId="2CE334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①基础必须防渗，防渗层为至少1</w:t>
      </w:r>
      <w:r>
        <w:rPr>
          <w:rFonts w:hint="eastAsia"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厚粘土层（渗透系数≤10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），或2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厚高密度聚乙烯，或至少2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厚的</w:t>
      </w:r>
      <w:r>
        <w:rPr>
          <w:rFonts w:hint="eastAsia" w:cs="Times New Roman"/>
          <w:color w:val="000000" w:themeColor="text1"/>
          <w:sz w:val="24"/>
          <w:szCs w:val="24"/>
          <w:lang w:val="en-US" w:eastAsia="zh-CN"/>
          <w14:textFill>
            <w14:solidFill>
              <w14:schemeClr w14:val="tx1"/>
            </w14:solidFill>
          </w14:textFill>
        </w:rPr>
        <w:t>其他人工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材料，渗透系数≤10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76BB77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②堆放危险废物的高度应根据地面承载能力确定。</w:t>
      </w:r>
    </w:p>
    <w:p w14:paraId="6956FD0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③衬里放在一个基础或底座上。</w:t>
      </w:r>
    </w:p>
    <w:p w14:paraId="547DE6D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④衬里要能够覆盖危险废物或其溶出物可能涉及的范围。</w:t>
      </w:r>
    </w:p>
    <w:p w14:paraId="2C00C7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⑤衬里材料与堆放危险废物相容。</w:t>
      </w:r>
    </w:p>
    <w:p w14:paraId="2D4765B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⑥在衬里上设计、建造浸出液收集清除系统。</w:t>
      </w:r>
    </w:p>
    <w:p w14:paraId="4880873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⑦应设计建造径流疏导系统，保证能防止25年一遇的暴雨不会流到危险废物堆里。</w:t>
      </w:r>
    </w:p>
    <w:p w14:paraId="3960D0F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⑧危险废物堆内设计雨水收集池，并能收集25年一遇的暴雨24小时降水量。</w:t>
      </w:r>
    </w:p>
    <w:p w14:paraId="435AEE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⑨危险废物堆要防风、防雨、防晒。</w:t>
      </w:r>
    </w:p>
    <w:p w14:paraId="54E42B6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⑩产生量大的危险废物可以散装方式堆放贮存在按上述要求设计的废物堆里。</w:t>
      </w:r>
    </w:p>
    <w:p w14:paraId="0803ADD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⑪不相容的危险废物不能堆放在一起。</w:t>
      </w:r>
    </w:p>
    <w:p w14:paraId="4E2687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⑫总贮存量不超过300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g（L）的危险废物要放入符合标准的容器内，加上标签，容器放入坚固的柜或箱中，柜或箱应设多个直径不</w:t>
      </w:r>
      <w:r>
        <w:rPr>
          <w:rFonts w:hint="eastAsia" w:cs="Times New Roman"/>
          <w:color w:val="000000" w:themeColor="text1"/>
          <w:sz w:val="24"/>
          <w:szCs w:val="24"/>
          <w:lang w:val="en-US" w:eastAsia="zh-CN"/>
          <w14:textFill>
            <w14:solidFill>
              <w14:schemeClr w14:val="tx1"/>
            </w14:solidFill>
          </w14:textFill>
        </w:rPr>
        <w:t>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于30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的排气孔。不相容危险废物要分别存放或存放在不渗透间隔分开的区域内，每个部分都应有防漏裙脚或储漏盘，防漏裙脚或储漏盘的材料要与危险废物相容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38391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危险废物贮存容器应满足：</w:t>
      </w:r>
    </w:p>
    <w:p w14:paraId="2C94FFC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使用符合标准的容器盛装危险废物；应定期对暂时贮存危险废物包装及设施进行检查，发现破损，及时采取措施清理更换；</w:t>
      </w:r>
    </w:p>
    <w:p w14:paraId="735044A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装载危险废物的容器及材质要满足相应的强度要求；</w:t>
      </w:r>
    </w:p>
    <w:p w14:paraId="4A99BC2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III、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装载危险废物的容器必须完好无损；</w:t>
      </w:r>
    </w:p>
    <w:p w14:paraId="1E00B1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IV、</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盛装危险废物的容器材质和衬里要与危险废物相容，不相互反应。</w:t>
      </w:r>
      <w:r>
        <w:rPr>
          <w:rFonts w:hint="eastAsia" w:cs="Times New Roman"/>
          <w:color w:val="000000" w:themeColor="text1"/>
          <w:sz w:val="24"/>
          <w:szCs w:val="24"/>
          <w:lang w:val="en-US" w:eastAsia="zh-CN"/>
          <w14:textFill>
            <w14:solidFill>
              <w14:schemeClr w14:val="tx1"/>
            </w14:solidFill>
          </w14:textFill>
        </w:rPr>
        <w:t>危废贮存点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必须按（GB15562.2）的规定设置警示标志，周围应设置围墙或</w:t>
      </w:r>
      <w:r>
        <w:rPr>
          <w:rFonts w:hint="eastAsia" w:cs="Times New Roman"/>
          <w:color w:val="000000" w:themeColor="text1"/>
          <w:sz w:val="24"/>
          <w:szCs w:val="24"/>
          <w:lang w:val="en-US" w:eastAsia="zh-CN"/>
          <w14:textFill>
            <w14:solidFill>
              <w14:schemeClr w14:val="tx1"/>
            </w14:solidFill>
          </w14:textFill>
        </w:rPr>
        <w:t>其他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防护栅栏，配备通讯设备、照明设施、安全防护服装及工具，并设有应急防护设施。</w:t>
      </w:r>
    </w:p>
    <w:p w14:paraId="1EC6C3D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不相容的危险废物分开存放，并设有隔离间隔。</w:t>
      </w:r>
    </w:p>
    <w:p w14:paraId="0C1593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VI、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建有防风、防晒、防雨设施以及消防设施。</w:t>
      </w:r>
    </w:p>
    <w:p w14:paraId="0BCCB1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危险废物的运输和转移污染防治措施分析</w:t>
      </w:r>
    </w:p>
    <w:p w14:paraId="3DFB2BF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对于危险废物的运输和转移，应根据</w:t>
      </w:r>
      <w:r>
        <w:rPr>
          <w:color w:val="000000" w:themeColor="text1"/>
          <w:sz w:val="24"/>
          <w:szCs w:val="32"/>
          <w14:textFill>
            <w14:solidFill>
              <w14:schemeClr w14:val="tx1"/>
            </w14:solidFill>
          </w14:textFill>
        </w:rPr>
        <w:t>《危险废物收集贮存运输技术规范》（HJ2025-2012）及《危险废物转移管理办法》（部令第23号）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的相关要求进行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4F1098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企业应按国家有关规定办理危险废物申报转移的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五联单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手续，并在贮运过程中严格执行危险化学品贮存、运输和监管的有关规定。产废单位在转移危险废物前，应当向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哈密市生态环境局</w:t>
      </w:r>
      <w:r>
        <w:rPr>
          <w:rFonts w:hint="eastAsia" w:cs="Times New Roman"/>
          <w:color w:val="000000" w:themeColor="text1"/>
          <w:sz w:val="24"/>
          <w:szCs w:val="24"/>
          <w:lang w:val="en-US" w:eastAsia="zh-CN"/>
          <w14:textFill>
            <w14:solidFill>
              <w14:schemeClr w14:val="tx1"/>
            </w14:solidFill>
          </w14:textFill>
        </w:rPr>
        <w:t>伊州分局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新疆维吾尔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自治区生态环境厅报送危险废物转移计划；经批准后，领取并填写危险废物转移联单。产废单位应当在危险废物转移前3日内报告移出地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生态环境主管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部门，并同时将预期到达时间报告</w:t>
      </w:r>
      <w:r>
        <w:rPr>
          <w:rFonts w:hint="eastAsia" w:cs="Times New Roman"/>
          <w:color w:val="000000" w:themeColor="text1"/>
          <w:sz w:val="24"/>
          <w:szCs w:val="24"/>
          <w:lang w:val="en-US" w:eastAsia="zh-CN"/>
          <w14:textFill>
            <w14:solidFill>
              <w14:schemeClr w14:val="tx1"/>
            </w14:solidFill>
          </w14:textFill>
        </w:rPr>
        <w:t>接收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生态环境主管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部门。</w:t>
      </w:r>
    </w:p>
    <w:p w14:paraId="42E3C6B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从事收集、利用处置危险废物经营活动的单位应当具备与其经营活动相应的资格，禁止产废单位将危险废物提供或者委托给无经营许可证的单位。</w:t>
      </w:r>
    </w:p>
    <w:p w14:paraId="4A3A5E3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III、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所有危险废物均应按类在专用密闭容器中储存，并按规定贴标签。不得混装，废物收集和封装容器应得到接收企业及</w:t>
      </w:r>
      <w:r>
        <w:rPr>
          <w:rFonts w:hint="eastAsia" w:cs="Times New Roman"/>
          <w:color w:val="000000" w:themeColor="text1"/>
          <w:sz w:val="24"/>
          <w:szCs w:val="24"/>
          <w:lang w:val="en-US" w:eastAsia="zh-CN"/>
          <w14:textFill>
            <w14:solidFill>
              <w14:schemeClr w14:val="tx1"/>
            </w14:solidFill>
          </w14:textFill>
        </w:rPr>
        <w:t>当地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生态环境部门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的认可。收集的危废应详细列出数量和成分，并填写有关材料。</w:t>
      </w:r>
    </w:p>
    <w:p w14:paraId="150AF1F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IV、</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应指定专人负责危废的收集、贮运管理工作，运输车辆的司机和押运人员应经专业培训。</w:t>
      </w:r>
    </w:p>
    <w:p w14:paraId="4AB6EA7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V、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14:paraId="2F24A90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4）危险废物委托处置的可行性分析</w:t>
      </w:r>
    </w:p>
    <w:p w14:paraId="7F9B714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本项目产生的危险废物经收集后暂存于</w:t>
      </w:r>
      <w:r>
        <w:rPr>
          <w:rFonts w:hint="eastAsia" w:cs="Times New Roman"/>
          <w:color w:val="000000" w:themeColor="text1"/>
          <w:sz w:val="24"/>
          <w:szCs w:val="24"/>
          <w:lang w:val="en-US" w:eastAsia="zh-CN"/>
          <w14:textFill>
            <w14:solidFill>
              <w14:schemeClr w14:val="tx1"/>
            </w14:solidFill>
          </w14:textFill>
        </w:rPr>
        <w:t>危废贮存点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，委托有资质的单位进行处置。</w:t>
      </w:r>
    </w:p>
    <w:p w14:paraId="7EC33CD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堆放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可行性分析</w:t>
      </w:r>
    </w:p>
    <w:p w14:paraId="0227C9E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周围设置了</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设置一条浆砌石结构、梯形断面的截洪沟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，保证洪水沿着截洪沟顺畅流走，以防雨水冲刷废石形成泥石流，下游修建拦挡坝，防止</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发生滑坡危险；同时要经常进行稳定性监测，避免事故的发生；废石临时堆存于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地面应硬化处置，严禁乱堆乱排，随意堆弃。对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建立检查维护制度，定期检查维护截洪沟等设施，发现有损坏可能或异常，应及时采取必要措施，以保障正常运行；加强监督管理，设置环境保护图形标志。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废石用于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尾矿库筑坝、铺路等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，并对场地平整，使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与周围地貌相协调，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废石堆置应满足《金属非金属矿山安全规程》要求，废石堆场不属于重大危险源。</w:t>
      </w:r>
    </w:p>
    <w:p w14:paraId="708CA91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因此，在落实上述固废处置措施后，固废对环境影响很小，固废处置措施可行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60D953B">
      <w:pPr>
        <w:pStyle w:val="4"/>
        <w:spacing w:before="60" w:after="60" w:line="480" w:lineRule="exact"/>
        <w:rPr>
          <w:rFonts w:hint="eastAsia"/>
          <w:color w:val="000000" w:themeColor="text1"/>
          <w:kern w:val="2"/>
          <w14:textFill>
            <w14:solidFill>
              <w14:schemeClr w14:val="tx1"/>
            </w14:solidFill>
          </w14:textFill>
        </w:rPr>
      </w:pPr>
      <w:bookmarkStart w:id="603" w:name="_Toc1275"/>
      <w:bookmarkStart w:id="604" w:name="_Toc26023"/>
      <w:bookmarkStart w:id="605" w:name="_Toc10425"/>
      <w:r>
        <w:rPr>
          <w:rFonts w:hint="eastAsia"/>
          <w:color w:val="000000" w:themeColor="text1"/>
          <w:kern w:val="2"/>
          <w14:textFill>
            <w14:solidFill>
              <w14:schemeClr w14:val="tx1"/>
            </w14:solidFill>
          </w14:textFill>
        </w:rPr>
        <w:t>6.2.</w:t>
      </w:r>
      <w:r>
        <w:rPr>
          <w:rFonts w:hint="eastAsia"/>
          <w:color w:val="000000" w:themeColor="text1"/>
          <w:kern w:val="2"/>
          <w:lang w:val="en-US" w:eastAsia="zh-CN"/>
          <w14:textFill>
            <w14:solidFill>
              <w14:schemeClr w14:val="tx1"/>
            </w14:solidFill>
          </w14:textFill>
        </w:rPr>
        <w:t>5</w:t>
      </w:r>
      <w:r>
        <w:rPr>
          <w:rFonts w:hint="eastAsia"/>
          <w:color w:val="000000" w:themeColor="text1"/>
          <w:kern w:val="2"/>
          <w14:textFill>
            <w14:solidFill>
              <w14:schemeClr w14:val="tx1"/>
            </w14:solidFill>
          </w14:textFill>
        </w:rPr>
        <w:t>土壤污染防治措施</w:t>
      </w:r>
      <w:bookmarkEnd w:id="603"/>
      <w:bookmarkEnd w:id="604"/>
      <w:bookmarkEnd w:id="605"/>
    </w:p>
    <w:p w14:paraId="00A4662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本项目土壤污染防治措施按照</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源头控制、过程防控和跟踪监控</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相结合的原则进行控制。</w:t>
      </w:r>
    </w:p>
    <w:p w14:paraId="50BE3785">
      <w:pPr>
        <w:pStyle w:val="5"/>
        <w:spacing w:before="0" w:after="0" w:line="480" w:lineRule="exact"/>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.2.5.1源头控制措施</w:t>
      </w:r>
    </w:p>
    <w:p w14:paraId="55FFD49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区土地利用类型为裸岩石砾地和戈壁，无基本农田。评价提出，对于土壤盐化加重区域以自然恢复为主，在局部区域土壤质量良好的地段，建设单位出资种植与项目区相适宜的植物，保证地表植被覆盖率不减少。</w:t>
      </w:r>
    </w:p>
    <w:p w14:paraId="3EFCCD9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本项目运营期废石暂时堆放于废石</w:t>
      </w:r>
      <w:r>
        <w:rPr>
          <w:rFonts w:hint="eastAsia" w:cs="Times New Roman"/>
          <w:color w:val="000000" w:themeColor="text1"/>
          <w:sz w:val="24"/>
          <w:szCs w:val="24"/>
          <w:lang w:val="en-US" w:eastAsia="zh-CN"/>
          <w14:textFill>
            <w14:solidFill>
              <w14:schemeClr w14:val="tx1"/>
            </w14:solidFill>
          </w14:textFill>
        </w:rPr>
        <w:t>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场内，</w:t>
      </w:r>
      <w:r>
        <w:rPr>
          <w:color w:val="000000" w:themeColor="text1"/>
          <w:sz w:val="24"/>
          <w:szCs w:val="28"/>
          <w:highlight w:val="none"/>
          <w14:textFill>
            <w14:solidFill>
              <w14:schemeClr w14:val="tx1"/>
            </w14:solidFill>
          </w14:textFill>
        </w:rPr>
        <w:t>待开采结束</w:t>
      </w:r>
      <w:r>
        <w:rPr>
          <w:rFonts w:hint="eastAsia"/>
          <w:color w:val="000000" w:themeColor="text1"/>
          <w:sz w:val="24"/>
          <w:szCs w:val="28"/>
          <w:highlight w:val="none"/>
          <w14:textFill>
            <w14:solidFill>
              <w14:schemeClr w14:val="tx1"/>
            </w14:solidFill>
          </w14:textFill>
        </w:rPr>
        <w:t>并稳沉</w:t>
      </w:r>
      <w:r>
        <w:rPr>
          <w:color w:val="000000" w:themeColor="text1"/>
          <w:sz w:val="24"/>
          <w:szCs w:val="28"/>
          <w:highlight w:val="none"/>
          <w14:textFill>
            <w14:solidFill>
              <w14:schemeClr w14:val="tx1"/>
            </w14:solidFill>
          </w14:textFill>
        </w:rPr>
        <w:t>后，将废石</w:t>
      </w:r>
      <w:r>
        <w:rPr>
          <w:rFonts w:hint="eastAsia"/>
          <w:color w:val="000000" w:themeColor="text1"/>
          <w:sz w:val="24"/>
          <w:szCs w:val="28"/>
          <w:highlight w:val="none"/>
          <w14:textFill>
            <w14:solidFill>
              <w14:schemeClr w14:val="tx1"/>
            </w14:solidFill>
          </w14:textFill>
        </w:rPr>
        <w:t>回填至采空区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；生活垃圾集中收集后定期运至雅满苏镇生活垃圾填埋场进行填埋处理；沉淀池底泥送至</w:t>
      </w:r>
      <w:r>
        <w:rPr>
          <w:rFonts w:hint="eastAsia" w:cs="Times New Roman"/>
          <w:color w:val="000000" w:themeColor="text1"/>
          <w:sz w:val="24"/>
          <w:szCs w:val="24"/>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暂存，后期用于矿山土地复垦；生活污水采用地埋式一体化污水处理装置处理后，灌溉期用于矿山绿化，非灌溉期将达标后的生活污水输送至选矿厂用于选矿生产；污水处理站底泥统一收集后定期拉运至雅满苏镇生活垃圾填埋场填埋处置；</w:t>
      </w:r>
      <w:r>
        <w:rPr>
          <w:rFonts w:hint="eastAsia"/>
          <w:color w:val="000000" w:themeColor="text1"/>
          <w:sz w:val="24"/>
          <w:szCs w:val="24"/>
          <w14:textFill>
            <w14:solidFill>
              <w14:schemeClr w14:val="tx1"/>
            </w14:solidFill>
          </w14:textFill>
        </w:rPr>
        <w:t>废矿物油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、废油桶暂存至</w:t>
      </w:r>
      <w:r>
        <w:rPr>
          <w:rFonts w:hint="eastAsia" w:cs="Times New Roman"/>
          <w:color w:val="000000" w:themeColor="text1"/>
          <w:sz w:val="24"/>
          <w:szCs w:val="24"/>
          <w:lang w:val="en-US" w:eastAsia="zh-CN"/>
          <w14:textFill>
            <w14:solidFill>
              <w14:schemeClr w14:val="tx1"/>
            </w14:solidFill>
          </w14:textFill>
        </w:rPr>
        <w:t>危废贮存点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，定期交由有资质的单位处置，以防固体废物对土壤环境造成污染。</w:t>
      </w:r>
    </w:p>
    <w:p w14:paraId="3D1216A9">
      <w:pPr>
        <w:pStyle w:val="5"/>
        <w:spacing w:before="0" w:after="0" w:line="480" w:lineRule="exact"/>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.2.5.2过程防控措施</w:t>
      </w:r>
    </w:p>
    <w:p w14:paraId="690322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污水处理后全部进行综合利用，不外排；固体废物得到妥善处置，不随意堆放。</w:t>
      </w:r>
    </w:p>
    <w:p w14:paraId="706E44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本环评提出对项目区的</w:t>
      </w:r>
      <w:r>
        <w:rPr>
          <w:rFonts w:hint="eastAsia" w:cs="Times New Roman"/>
          <w:color w:val="000000" w:themeColor="text1"/>
          <w:sz w:val="24"/>
          <w:szCs w:val="24"/>
          <w:lang w:val="en-US" w:eastAsia="zh-CN"/>
          <w14:textFill>
            <w14:solidFill>
              <w14:schemeClr w14:val="tx1"/>
            </w14:solidFill>
          </w14:textFill>
        </w:rPr>
        <w:t>危废贮存点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进行防渗处理，防渗层为至少1m厚粘土层（渗透系数≤10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cm/s），或2mm厚高密度聚乙烯，或至少2mm厚的</w:t>
      </w:r>
      <w:r>
        <w:rPr>
          <w:rFonts w:hint="eastAsia" w:cs="Times New Roman"/>
          <w:color w:val="000000" w:themeColor="text1"/>
          <w:sz w:val="24"/>
          <w:szCs w:val="24"/>
          <w:lang w:val="en-US" w:eastAsia="zh-CN"/>
          <w14:textFill>
            <w14:solidFill>
              <w14:schemeClr w14:val="tx1"/>
            </w14:solidFill>
          </w14:textFill>
        </w:rPr>
        <w:t>其他人工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材料，渗透系数≤10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w:t>
      </w:r>
    </w:p>
    <w:p w14:paraId="7BF379FD">
      <w:pPr>
        <w:pStyle w:val="5"/>
        <w:spacing w:before="0" w:after="0" w:line="480" w:lineRule="exact"/>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.2.5.3跟踪监测</w:t>
      </w:r>
    </w:p>
    <w:p w14:paraId="0180CE85">
      <w:pPr>
        <w:pStyle w:val="962"/>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eastAsia"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工业企业土壤和地下水自行监测技术指南（试行）</w:t>
      </w:r>
      <w:r>
        <w:rPr>
          <w:rFonts w:hint="eastAsia"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HJ1209-2021</w:t>
      </w:r>
      <w:r>
        <w:rPr>
          <w:rFonts w:hint="eastAsia"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项目特点及评价等级确定，本次</w:t>
      </w:r>
      <w:r>
        <w:rPr>
          <w:rFonts w:hint="eastAsia" w:eastAsia="宋体" w:cs="Times New Roman"/>
          <w:color w:val="000000" w:themeColor="text1"/>
          <w:sz w:val="24"/>
          <w:szCs w:val="24"/>
          <w:highlight w:val="none"/>
          <w:lang w:val="en-US" w:eastAsia="zh-CN"/>
          <w14:textFill>
            <w14:solidFill>
              <w14:schemeClr w14:val="tx1"/>
            </w14:solidFill>
          </w14:textFill>
        </w:rPr>
        <w:t>评价要求</w:t>
      </w:r>
      <w:r>
        <w:rPr>
          <w:rFonts w:hint="default" w:ascii="Times New Roman" w:hAnsi="Times New Roman" w:eastAsia="宋体" w:cs="Times New Roman"/>
          <w:color w:val="000000" w:themeColor="text1"/>
          <w:sz w:val="24"/>
          <w:szCs w:val="24"/>
          <w:highlight w:val="none"/>
          <w14:textFill>
            <w14:solidFill>
              <w14:schemeClr w14:val="tx1"/>
            </w14:solidFill>
          </w14:textFill>
        </w:rPr>
        <w:t>对</w:t>
      </w:r>
      <w:r>
        <w:rPr>
          <w:rFonts w:hint="eastAsia" w:eastAsia="宋体" w:cs="Times New Roman"/>
          <w:color w:val="000000" w:themeColor="text1"/>
          <w:sz w:val="24"/>
          <w:szCs w:val="24"/>
          <w:highlight w:val="none"/>
          <w:lang w:val="en-US" w:eastAsia="zh-CN"/>
          <w14:textFill>
            <w14:solidFill>
              <w14:schemeClr w14:val="tx1"/>
            </w14:solidFill>
          </w14:textFill>
        </w:rPr>
        <w:t>项目区</w:t>
      </w:r>
      <w:r>
        <w:rPr>
          <w:rFonts w:hint="default" w:ascii="Times New Roman" w:hAnsi="Times New Roman" w:eastAsia="宋体" w:cs="Times New Roman"/>
          <w:color w:val="000000" w:themeColor="text1"/>
          <w:sz w:val="24"/>
          <w:szCs w:val="24"/>
          <w:highlight w:val="none"/>
          <w14:textFill>
            <w14:solidFill>
              <w14:schemeClr w14:val="tx1"/>
            </w14:solidFill>
          </w14:textFill>
        </w:rPr>
        <w:t>土壤进行跟踪监测，具体设置如下：</w:t>
      </w:r>
    </w:p>
    <w:p w14:paraId="1772E7D3">
      <w:pPr>
        <w:pStyle w:val="962"/>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（1）监测点位设置</w:t>
      </w:r>
    </w:p>
    <w:p w14:paraId="1348D9C1">
      <w:pPr>
        <w:pStyle w:val="962"/>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eastAsia="宋体" w:cs="Times New Roman"/>
          <w:color w:val="000000" w:themeColor="text1"/>
          <w:sz w:val="24"/>
          <w:szCs w:val="24"/>
          <w:highlight w:val="none"/>
          <w:lang w:val="en-US" w:eastAsia="zh-CN"/>
          <w14:textFill>
            <w14:solidFill>
              <w14:schemeClr w14:val="tx1"/>
            </w14:solidFill>
          </w14:textFill>
        </w:rPr>
        <w:t>共设置3个土壤监测点，其中在1号废石堆场、2号废石堆场下风向最大落地浓度点处各设置1个土壤监测点，在矿区周边地势低洼处设置1个土壤监测点。</w:t>
      </w:r>
    </w:p>
    <w:p w14:paraId="65B33159">
      <w:pPr>
        <w:pStyle w:val="962"/>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（2）监测指标</w:t>
      </w:r>
    </w:p>
    <w:p w14:paraId="57B90CB8">
      <w:pPr>
        <w:pStyle w:val="962"/>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pH、含盐量及砷、镉、铜、铅、汞、镍、六价铬、锌等</w:t>
      </w:r>
      <w:r>
        <w:rPr>
          <w:rFonts w:hint="eastAsia" w:hAnsi="Times New Roman" w:cs="Times New Roman"/>
          <w:color w:val="000000" w:themeColor="text1"/>
          <w:lang w:eastAsia="zh-CN"/>
          <w14:textFill>
            <w14:solidFill>
              <w14:schemeClr w14:val="tx1"/>
            </w14:solidFill>
          </w14:textFill>
        </w:rPr>
        <w:t>。</w:t>
      </w:r>
    </w:p>
    <w:p w14:paraId="62BBD6C2">
      <w:pPr>
        <w:pStyle w:val="962"/>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（3）监测要求</w:t>
      </w:r>
    </w:p>
    <w:p w14:paraId="4AB38E41">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在必要时可开展跟踪监测，取得监测数据要向社会公开，接受公众监督。</w:t>
      </w:r>
    </w:p>
    <w:p w14:paraId="41A6828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lang w:eastAsia="zh-CN"/>
          <w14:textFill>
            <w14:solidFill>
              <w14:schemeClr w14:val="tx1"/>
            </w14:solidFill>
          </w14:textFill>
        </w:rPr>
      </w:pPr>
      <w:r>
        <w:rPr>
          <w:rFonts w:cs="Times New Roman"/>
          <w:color w:val="000000" w:themeColor="text1"/>
          <w:sz w:val="24"/>
          <w:szCs w:val="24"/>
          <w14:textFill>
            <w14:solidFill>
              <w14:schemeClr w14:val="tx1"/>
            </w14:solidFill>
          </w14:textFill>
        </w:rPr>
        <w:t>综上，本项目各监测点土壤监测指标均不超标，低于GB36600-2018第二类建设用地筛选值。本项目设置有完善的生产回水系统，重点区域均采取有效的防渗措施，能有效降低对土壤的污染影响。此外，本项目评价范围及周边区域均为工业用地，无土壤环境敏感目标，区域总体土壤污染敏感度较低。本项目在落实土壤保护措施的前提下，项目建设对厂区及周围土壤环境的影响可接受。</w:t>
      </w:r>
    </w:p>
    <w:p w14:paraId="1211C4E7">
      <w:pPr>
        <w:pStyle w:val="4"/>
        <w:spacing w:before="60" w:after="60" w:line="480" w:lineRule="exact"/>
        <w:rPr>
          <w:color w:val="000000" w:themeColor="text1"/>
          <w:kern w:val="2"/>
          <w14:textFill>
            <w14:solidFill>
              <w14:schemeClr w14:val="tx1"/>
            </w14:solidFill>
          </w14:textFill>
        </w:rPr>
      </w:pPr>
      <w:bookmarkStart w:id="606" w:name="_Toc11083"/>
      <w:r>
        <w:rPr>
          <w:rFonts w:hint="eastAsia"/>
          <w:color w:val="000000" w:themeColor="text1"/>
          <w:kern w:val="2"/>
          <w14:textFill>
            <w14:solidFill>
              <w14:schemeClr w14:val="tx1"/>
            </w14:solidFill>
          </w14:textFill>
        </w:rPr>
        <w:t>6.2.7</w:t>
      </w:r>
      <w:r>
        <w:rPr>
          <w:color w:val="000000" w:themeColor="text1"/>
          <w:kern w:val="2"/>
          <w14:textFill>
            <w14:solidFill>
              <w14:schemeClr w14:val="tx1"/>
            </w14:solidFill>
          </w14:textFill>
        </w:rPr>
        <w:t>生态环境保护措施及生态恢复建设</w:t>
      </w:r>
      <w:bookmarkEnd w:id="606"/>
    </w:p>
    <w:p w14:paraId="4A3891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依据《矿山生态环境保护与恢复治理技术规范（试行）》（HJ651-2013）要求进行</w:t>
      </w:r>
      <w:r>
        <w:rPr>
          <w:rFonts w:hint="eastAsia"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的生态恢复建设。</w:t>
      </w:r>
    </w:p>
    <w:p w14:paraId="0D2A1C7D">
      <w:pPr>
        <w:pStyle w:val="5"/>
        <w:spacing w:before="0" w:after="0" w:line="480" w:lineRule="exact"/>
        <w:ind w:firstLine="48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6.2.7</w:t>
      </w:r>
      <w:r>
        <w:rPr>
          <w:rFonts w:ascii="Times New Roman" w:hAnsi="Times New Roman"/>
          <w:color w:val="000000" w:themeColor="text1"/>
          <w14:textFill>
            <w14:solidFill>
              <w14:schemeClr w14:val="tx1"/>
            </w14:solidFill>
          </w14:textFill>
        </w:rPr>
        <w:t>.1矿山生态保护与恢复</w:t>
      </w:r>
      <w:r>
        <w:rPr>
          <w:rFonts w:hint="eastAsia" w:ascii="Times New Roman" w:hAnsi="Times New Roman"/>
          <w:color w:val="000000" w:themeColor="text1"/>
          <w:lang w:eastAsia="zh-CN"/>
          <w14:textFill>
            <w14:solidFill>
              <w14:schemeClr w14:val="tx1"/>
            </w14:solidFill>
          </w14:textFill>
        </w:rPr>
        <w:t>治理的一般要求</w:t>
      </w:r>
    </w:p>
    <w:p w14:paraId="110F5C2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矿山生态保护与恢复治理的一般要求见表6.2</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7EB5521A">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表6.2-</w:t>
      </w: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矿山保护与恢复治理的一般要求</w:t>
      </w:r>
    </w:p>
    <w:tbl>
      <w:tblPr>
        <w:tblStyle w:val="79"/>
        <w:tblW w:w="85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922"/>
        <w:gridCol w:w="3868"/>
      </w:tblGrid>
      <w:tr w14:paraId="074FA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tcBorders>
              <w:tl2br w:val="nil"/>
              <w:tr2bl w:val="nil"/>
            </w:tcBorders>
            <w:noWrap w:val="0"/>
            <w:vAlign w:val="center"/>
          </w:tcPr>
          <w:p w14:paraId="3DDD9E2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3922" w:type="dxa"/>
            <w:tcBorders>
              <w:tl2br w:val="nil"/>
              <w:tr2bl w:val="nil"/>
            </w:tcBorders>
            <w:noWrap w:val="0"/>
            <w:vAlign w:val="center"/>
          </w:tcPr>
          <w:p w14:paraId="2E895DD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保护与恢复治理要求</w:t>
            </w:r>
          </w:p>
        </w:tc>
        <w:tc>
          <w:tcPr>
            <w:tcW w:w="3868" w:type="dxa"/>
            <w:tcBorders>
              <w:tl2br w:val="nil"/>
              <w:tr2bl w:val="nil"/>
            </w:tcBorders>
            <w:noWrap w:val="0"/>
            <w:vAlign w:val="center"/>
          </w:tcPr>
          <w:p w14:paraId="40F7742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符合情况</w:t>
            </w:r>
          </w:p>
        </w:tc>
      </w:tr>
      <w:tr w14:paraId="7EB29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Borders>
              <w:tl2br w:val="nil"/>
              <w:tr2bl w:val="nil"/>
            </w:tcBorders>
            <w:noWrap w:val="0"/>
            <w:vAlign w:val="center"/>
          </w:tcPr>
          <w:p w14:paraId="3AA1548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3922" w:type="dxa"/>
            <w:tcBorders>
              <w:tl2br w:val="nil"/>
              <w:tr2bl w:val="nil"/>
            </w:tcBorders>
            <w:noWrap w:val="0"/>
            <w:vAlign w:val="center"/>
          </w:tcPr>
          <w:p w14:paraId="6E46B8FA">
            <w:pPr>
              <w:keepNext w:val="0"/>
              <w:keepLines w:val="0"/>
              <w:suppressLineNumbers w:val="0"/>
              <w:spacing w:before="0" w:beforeAutospacing="0" w:after="0" w:afterAutospacing="0" w:line="360" w:lineRule="exact"/>
              <w:ind w:left="0" w:right="0" w:firstLine="0" w:firstLineChars="0"/>
              <w:jc w:val="both"/>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禁止在依法划定的自然保护区、风景名胜区、森林公园、饮用水水源保护区、文物古迹所在地、地质遗迹保护区、基本农田保护区等重要生态保护地以及其他法律法规规定的禁采区域内采矿。</w:t>
            </w:r>
          </w:p>
        </w:tc>
        <w:tc>
          <w:tcPr>
            <w:tcW w:w="3868" w:type="dxa"/>
            <w:tcBorders>
              <w:tl2br w:val="nil"/>
              <w:tr2bl w:val="nil"/>
            </w:tcBorders>
            <w:noWrap w:val="0"/>
            <w:vAlign w:val="center"/>
          </w:tcPr>
          <w:p w14:paraId="1339080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本项目不涉及</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自然保护区、风景名胜区、森林公园、饮用水水源保护区、文物古迹所在地、地质遗迹保护区、基本农田保护区等重要生态保护地及其他法律法规规定的禁采区</w:t>
            </w: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w:t>
            </w:r>
          </w:p>
        </w:tc>
      </w:tr>
      <w:tr w14:paraId="230CE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tcBorders>
              <w:tl2br w:val="nil"/>
              <w:tr2bl w:val="nil"/>
            </w:tcBorders>
            <w:noWrap w:val="0"/>
            <w:vAlign w:val="center"/>
          </w:tcPr>
          <w:p w14:paraId="6C8D765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w:t>
            </w:r>
          </w:p>
        </w:tc>
        <w:tc>
          <w:tcPr>
            <w:tcW w:w="3922" w:type="dxa"/>
            <w:tcBorders>
              <w:tl2br w:val="nil"/>
              <w:tr2bl w:val="nil"/>
            </w:tcBorders>
            <w:noWrap w:val="0"/>
            <w:vAlign w:val="center"/>
          </w:tcPr>
          <w:p w14:paraId="004C5368">
            <w:pPr>
              <w:keepNext w:val="0"/>
              <w:keepLines w:val="0"/>
              <w:suppressLineNumbers w:val="0"/>
              <w:spacing w:before="0" w:beforeAutospacing="0" w:after="0" w:afterAutospacing="0" w:line="360" w:lineRule="exact"/>
              <w:ind w:left="0" w:right="0" w:firstLine="0" w:firstLineChars="0"/>
              <w:jc w:val="both"/>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矿产资源开发活动应符合国家和区域主体功能区规划、生态功能区划、生态环境保护规划的要求，采取有效预防和保护措施，避免或减轻矿产资源开发活动造成的生态破坏和环境污染。</w:t>
            </w:r>
          </w:p>
        </w:tc>
        <w:tc>
          <w:tcPr>
            <w:tcW w:w="3868" w:type="dxa"/>
            <w:tcBorders>
              <w:tl2br w:val="nil"/>
              <w:tr2bl w:val="nil"/>
            </w:tcBorders>
            <w:noWrap w:val="0"/>
            <w:vAlign w:val="center"/>
          </w:tcPr>
          <w:p w14:paraId="56720C5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符合</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国家和区域主体功能区规划、生态功能区划、生态环境保护规划的要求</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建设单位</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将按本次评价要求开展相关预防和保护措施。</w:t>
            </w:r>
          </w:p>
        </w:tc>
      </w:tr>
      <w:tr w14:paraId="4B3DB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tcBorders>
              <w:tl2br w:val="nil"/>
              <w:tr2bl w:val="nil"/>
            </w:tcBorders>
            <w:noWrap w:val="0"/>
            <w:vAlign w:val="center"/>
          </w:tcPr>
          <w:p w14:paraId="21FADD9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w:t>
            </w:r>
          </w:p>
        </w:tc>
        <w:tc>
          <w:tcPr>
            <w:tcW w:w="3922" w:type="dxa"/>
            <w:tcBorders>
              <w:tl2br w:val="nil"/>
              <w:tr2bl w:val="nil"/>
            </w:tcBorders>
            <w:noWrap w:val="0"/>
            <w:vAlign w:val="center"/>
          </w:tcPr>
          <w:p w14:paraId="706606F6">
            <w:pPr>
              <w:keepNext w:val="0"/>
              <w:keepLines w:val="0"/>
              <w:suppressLineNumbers w:val="0"/>
              <w:spacing w:before="0" w:beforeAutospacing="0" w:after="0" w:afterAutospacing="0" w:line="360" w:lineRule="exact"/>
              <w:ind w:left="0" w:right="0" w:firstLine="0" w:firstLineChars="0"/>
              <w:jc w:val="both"/>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3868" w:type="dxa"/>
            <w:tcBorders>
              <w:tl2br w:val="nil"/>
              <w:tr2bl w:val="nil"/>
            </w:tcBorders>
            <w:noWrap w:val="0"/>
            <w:vAlign w:val="center"/>
          </w:tcPr>
          <w:p w14:paraId="05CBE3F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r>
              <w:rPr>
                <w:rFonts w:hint="eastAsia" w:cs="Times New Roman"/>
                <w:color w:val="000000" w:themeColor="text1"/>
                <w:kern w:val="0"/>
                <w:sz w:val="21"/>
                <w:szCs w:val="21"/>
                <w:highlight w:val="none"/>
                <w:lang w:val="en-US" w:eastAsia="zh-CN"/>
                <w14:textFill>
                  <w14:solidFill>
                    <w14:schemeClr w14:val="tx1"/>
                  </w14:solidFill>
                </w14:textFill>
              </w:rPr>
              <w:t>。建设单位将按照本次评价要求，</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根据矿山生态环境保护与恢复治理的重点任务，合理确定矿山生态保护与恢复治理分区，优化矿区生产与生活空间格局。采用新技术、新方法、新工艺提高矿山生态环境保护和恢复治理水平。</w:t>
            </w:r>
          </w:p>
        </w:tc>
      </w:tr>
      <w:tr w14:paraId="34C69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Borders>
              <w:tl2br w:val="nil"/>
              <w:tr2bl w:val="nil"/>
            </w:tcBorders>
            <w:noWrap w:val="0"/>
            <w:vAlign w:val="center"/>
          </w:tcPr>
          <w:p w14:paraId="6F3943D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w:t>
            </w:r>
          </w:p>
        </w:tc>
        <w:tc>
          <w:tcPr>
            <w:tcW w:w="3922" w:type="dxa"/>
            <w:tcBorders>
              <w:tl2br w:val="nil"/>
              <w:tr2bl w:val="nil"/>
            </w:tcBorders>
            <w:noWrap w:val="0"/>
            <w:vAlign w:val="center"/>
          </w:tcPr>
          <w:p w14:paraId="040089DC">
            <w:pPr>
              <w:keepNext w:val="0"/>
              <w:keepLines w:val="0"/>
              <w:suppressLineNumbers w:val="0"/>
              <w:spacing w:before="0" w:beforeAutospacing="0" w:after="0" w:afterAutospacing="0" w:line="360" w:lineRule="exact"/>
              <w:ind w:left="0" w:right="0" w:firstLine="0" w:firstLineChars="0"/>
              <w:jc w:val="both"/>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所有矿山企业均应对照本标准各项要求，编制实施矿山生态环境保护与恢复治理方案。</w:t>
            </w:r>
          </w:p>
        </w:tc>
        <w:tc>
          <w:tcPr>
            <w:tcW w:w="3868" w:type="dxa"/>
            <w:tcBorders>
              <w:tl2br w:val="nil"/>
              <w:tr2bl w:val="nil"/>
            </w:tcBorders>
            <w:noWrap w:val="0"/>
            <w:vAlign w:val="center"/>
          </w:tcPr>
          <w:p w14:paraId="097D136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r>
              <w:rPr>
                <w:rFonts w:hint="eastAsia" w:cs="Times New Roman"/>
                <w:color w:val="000000" w:themeColor="text1"/>
                <w:kern w:val="0"/>
                <w:sz w:val="21"/>
                <w:szCs w:val="21"/>
                <w:highlight w:val="none"/>
                <w:lang w:val="en-US" w:eastAsia="zh-CN"/>
                <w14:textFill>
                  <w14:solidFill>
                    <w14:schemeClr w14:val="tx1"/>
                  </w14:solidFill>
                </w14:textFill>
              </w:rPr>
              <w:t>。建设单位将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对照本标准各项要求，编制实施矿山生态环境保护与恢复治理方案。</w:t>
            </w:r>
          </w:p>
        </w:tc>
      </w:tr>
      <w:tr w14:paraId="35E46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Borders>
              <w:tl2br w:val="nil"/>
              <w:tr2bl w:val="nil"/>
            </w:tcBorders>
            <w:noWrap w:val="0"/>
            <w:vAlign w:val="center"/>
          </w:tcPr>
          <w:p w14:paraId="0F08F59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w:t>
            </w:r>
          </w:p>
        </w:tc>
        <w:tc>
          <w:tcPr>
            <w:tcW w:w="3922" w:type="dxa"/>
            <w:tcBorders>
              <w:tl2br w:val="nil"/>
              <w:tr2bl w:val="nil"/>
            </w:tcBorders>
            <w:noWrap w:val="0"/>
            <w:vAlign w:val="center"/>
          </w:tcPr>
          <w:p w14:paraId="1CE0135E">
            <w:pPr>
              <w:keepNext w:val="0"/>
              <w:keepLines w:val="0"/>
              <w:suppressLineNumbers w:val="0"/>
              <w:spacing w:before="0" w:beforeAutospacing="0" w:after="0" w:afterAutospacing="0" w:line="360" w:lineRule="exact"/>
              <w:ind w:left="0" w:right="0" w:firstLine="0" w:firstLineChars="0"/>
              <w:jc w:val="both"/>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3868" w:type="dxa"/>
            <w:tcBorders>
              <w:tl2br w:val="nil"/>
              <w:tr2bl w:val="nil"/>
            </w:tcBorders>
            <w:noWrap w:val="0"/>
            <w:vAlign w:val="center"/>
          </w:tcPr>
          <w:p w14:paraId="632073F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恢复治理后的各类场地安全稳定，对人类和动植物不造成威胁；对周边环境不产生污染；与周边自然环境和景观相协调；恢复土地基本功能，因地制宜实现土地可持续利用；区域整体生态功能得到保护和恢复。</w:t>
            </w:r>
          </w:p>
        </w:tc>
      </w:tr>
    </w:tbl>
    <w:p w14:paraId="5287CF7A">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6.2.7</w:t>
      </w:r>
      <w:r>
        <w:rPr>
          <w:b/>
          <w:bCs/>
          <w:color w:val="000000" w:themeColor="text1"/>
          <w:sz w:val="24"/>
          <w:szCs w:val="28"/>
          <w14:textFill>
            <w14:solidFill>
              <w14:schemeClr w14:val="tx1"/>
            </w14:solidFill>
          </w14:textFill>
        </w:rPr>
        <w:t>.</w:t>
      </w:r>
      <w:r>
        <w:rPr>
          <w:rFonts w:hint="eastAsia"/>
          <w:b/>
          <w:bCs/>
          <w:color w:val="000000" w:themeColor="text1"/>
          <w:sz w:val="24"/>
          <w:szCs w:val="28"/>
          <w14:textFill>
            <w14:solidFill>
              <w14:schemeClr w14:val="tx1"/>
            </w14:solidFill>
          </w14:textFill>
        </w:rPr>
        <w:t>2</w:t>
      </w:r>
      <w:r>
        <w:rPr>
          <w:b/>
          <w:bCs/>
          <w:color w:val="000000" w:themeColor="text1"/>
          <w:sz w:val="24"/>
          <w:szCs w:val="28"/>
          <w14:textFill>
            <w14:solidFill>
              <w14:schemeClr w14:val="tx1"/>
            </w14:solidFill>
          </w14:textFill>
        </w:rPr>
        <w:t>矿山生态保护措施</w:t>
      </w:r>
    </w:p>
    <w:p w14:paraId="38678E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（1）限定车辆行驶路线，尽量在原有道路范围内行驶，禁止私开便道碾压破坏非施工区域原始地貌。</w:t>
      </w:r>
    </w:p>
    <w:p w14:paraId="606E52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（2）矿山开采应在矿区范围及各种采矿活动的可能影响区进行例行生物多样性现状调查，保护矿山生物多样性。减少开采、废石和运输等活动对动物及植物的破坏和扰动。</w:t>
      </w:r>
    </w:p>
    <w:p w14:paraId="23290F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（3）废石堆场设置防护围栏和悬挂多种文字的警示牌，表土采取“三分一恢复”，采取防洪、排水、边坡防护、工程拦挡等水土保持措施；经常进行稳定性监测，避免事故的发生；采取“先拦后弃”，现有工程</w:t>
      </w:r>
      <w:r>
        <w:rPr>
          <w:rFonts w:hint="eastAsia" w:ascii="Times New Roman" w:hAnsi="Times New Roman" w:eastAsia="宋体" w:cs="Times New Roman"/>
          <w:color w:val="000000" w:themeColor="text1"/>
          <w:sz w:val="24"/>
          <w:szCs w:val="24"/>
          <w:lang w:eastAsia="zh-CN"/>
          <w14:textFill>
            <w14:solidFill>
              <w14:schemeClr w14:val="tx1"/>
            </w14:solidFill>
          </w14:textFill>
        </w:rPr>
        <w:t>应</w:t>
      </w:r>
      <w:r>
        <w:rPr>
          <w:rFonts w:hint="default" w:ascii="Times New Roman" w:hAnsi="Times New Roman" w:eastAsia="宋体" w:cs="Times New Roman"/>
          <w:color w:val="000000" w:themeColor="text1"/>
          <w:sz w:val="24"/>
          <w:szCs w:val="24"/>
          <w14:textFill>
            <w14:solidFill>
              <w14:schemeClr w14:val="tx1"/>
            </w14:solidFill>
          </w14:textFill>
        </w:rPr>
        <w:t>按规范修筑拦石坝和截洪沟，做好边坡防护和废石稳定工作，定期对废石堆场拦渣坝进行巡检，及时发现隐患并安全处置；加强监督管理，在废石滚落范围内不允许修建道路和建筑物，竖警示牌。</w:t>
      </w:r>
    </w:p>
    <w:p w14:paraId="189D7BB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沿预测塌陷区外围设置铁丝围栏、警示牌，派专人定期对采空区地表岩体移动范围进行地面变形监测，矿区出现地面塌陷时，待其稳定后及时采用废石回填地面塌陷坑。塌陷区恢复治理应综合考虑景观恢复、生态功能恢复及水土流失控制，根据塌陷区稳定性采用生态环境恢复治理措施，按照《土地复垦技术标准（试行）》相关要求恢复沉陷区的土地用途和生态功能。</w:t>
      </w:r>
    </w:p>
    <w:p w14:paraId="6E6460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矿区地面塌陷时的回填工程措施是：①采用挖掘机挖装、自卸卡车将拟建废渣石堆放场内废石及拆除的建筑垃圾运输至塌陷坑附近；②使用装载机将废渣石铲运到塌陷坑内，采用分层回填，并逐层夯实，每层回填厚度不得超过0.5</w:t>
      </w:r>
      <w:r>
        <w:rPr>
          <w:rFonts w:hint="eastAsia" w:cs="Times New Roman"/>
          <w:color w:val="000000" w:themeColor="text1"/>
          <w:sz w:val="24"/>
          <w:szCs w:val="24"/>
          <w:lang w:eastAsia="zh-CN"/>
          <w14:textFill>
            <w14:solidFill>
              <w14:schemeClr w14:val="tx1"/>
            </w14:solidFill>
          </w14:textFill>
        </w:rPr>
        <w:t>m</w:t>
      </w:r>
      <w:r>
        <w:rPr>
          <w:rFonts w:hint="default" w:ascii="Times New Roman" w:hAnsi="Times New Roman" w:eastAsia="宋体" w:cs="Times New Roman"/>
          <w:color w:val="000000" w:themeColor="text1"/>
          <w:sz w:val="24"/>
          <w:szCs w:val="24"/>
          <w14:textFill>
            <w14:solidFill>
              <w14:schemeClr w14:val="tx1"/>
            </w14:solidFill>
          </w14:textFill>
        </w:rPr>
        <w:t>；③回填废石至设计标高后，采用装载机按照设计标高和坡度对回填区进行土地平整，使各地块的地面坡度与周边地形地貌相协调。</w:t>
      </w:r>
    </w:p>
    <w:p w14:paraId="58608E5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采空区监测内容：矿山生产期间，在采空区范围设置地形沉降监测点，对地下开拓采矿巷道及采矿工程的进展情况进行监测，监测的项目包括地表变形、地下变形、采空区范围、开采深度、采空区顶底状况等。</w:t>
      </w:r>
    </w:p>
    <w:p w14:paraId="6EFC10C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地质环境</w:t>
      </w:r>
      <w:r>
        <w:rPr>
          <w:rFonts w:hint="eastAsia" w:cs="Times New Roman"/>
          <w:color w:val="000000" w:themeColor="text1"/>
          <w:sz w:val="24"/>
          <w:szCs w:val="24"/>
          <w:lang w:eastAsia="zh-CN"/>
          <w14:textFill>
            <w14:solidFill>
              <w14:schemeClr w14:val="tx1"/>
            </w14:solidFill>
          </w14:textFill>
        </w:rPr>
        <w:t>治理</w:t>
      </w:r>
      <w:r>
        <w:rPr>
          <w:rFonts w:hint="default" w:ascii="Times New Roman" w:hAnsi="Times New Roman" w:eastAsia="宋体" w:cs="Times New Roman"/>
          <w:color w:val="000000" w:themeColor="text1"/>
          <w:sz w:val="24"/>
          <w:szCs w:val="24"/>
          <w14:textFill>
            <w14:solidFill>
              <w14:schemeClr w14:val="tx1"/>
            </w14:solidFill>
          </w14:textFill>
        </w:rPr>
        <w:t>工程部署见图6.2-</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14:paraId="215DD6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为保护区域生物多样性，建设单位应高度重视区域水资源的保护工作，同时对矿区进行合理绿化；禁止猎杀野生动物，严禁破坏占地范围外的植被，尤其是保护动植物</w:t>
      </w:r>
      <w:r>
        <w:rPr>
          <w:rFonts w:hint="default" w:ascii="Times New Roman" w:hAnsi="Times New Roman" w:eastAsia="宋体" w:cs="Times New Roman"/>
          <w:color w:val="000000" w:themeColor="text1"/>
          <w:sz w:val="24"/>
          <w:szCs w:val="24"/>
          <w14:textFill>
            <w14:solidFill>
              <w14:schemeClr w14:val="tx1"/>
            </w14:solidFill>
          </w14:textFill>
        </w:rPr>
        <w:t>。</w:t>
      </w:r>
    </w:p>
    <w:p w14:paraId="20F5956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）采矿区尽量减少人为扰动，爆破应选择每天温度相对较低的时段进行。</w:t>
      </w:r>
    </w:p>
    <w:p w14:paraId="394387A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）对现有井下巷道进行加固、支护等措施，防止坍塌。</w:t>
      </w:r>
    </w:p>
    <w:p w14:paraId="31355EF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）应建立环境监测与灾害应急预警机制，设置专门机构，配备专职管理人员和监测人员。具体要求如下</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551EECD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a）对生产废水、</w:t>
      </w:r>
      <w:r>
        <w:rPr>
          <w:rFonts w:hint="eastAsia" w:ascii="Times New Roman" w:hAnsi="Times New Roman" w:eastAsia="宋体" w:cs="Times New Roman"/>
          <w:color w:val="000000" w:themeColor="text1"/>
          <w:sz w:val="24"/>
          <w:szCs w:val="24"/>
          <w:lang w:eastAsia="zh-CN"/>
          <w14:textFill>
            <w14:solidFill>
              <w14:schemeClr w14:val="tx1"/>
            </w14:solidFill>
          </w14:textFill>
        </w:rPr>
        <w:t>噪声</w:t>
      </w:r>
      <w:r>
        <w:rPr>
          <w:rFonts w:hint="default" w:ascii="Times New Roman" w:hAnsi="Times New Roman" w:eastAsia="宋体" w:cs="Times New Roman"/>
          <w:color w:val="000000" w:themeColor="text1"/>
          <w:sz w:val="24"/>
          <w:szCs w:val="24"/>
          <w14:textFill>
            <w14:solidFill>
              <w14:schemeClr w14:val="tx1"/>
            </w14:solidFill>
          </w14:textFill>
        </w:rPr>
        <w:t>等污染源和污染物实行动态监测，并做好环保处置应急预案。</w:t>
      </w:r>
    </w:p>
    <w:p w14:paraId="0B03C4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b）开采中和开采后应建立、健全长效监测机制，对土地复垦区稳定性与质量进行动态监测。</w:t>
      </w:r>
    </w:p>
    <w:p w14:paraId="5C7D482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eastAsia="宋体"/>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c）应对矿山边坡、地压监测，实现露天边坡、深部地压动态显现监测，防止地质灾害发生。</w:t>
      </w:r>
    </w:p>
    <w:p w14:paraId="1498C098">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6.2.7.</w:t>
      </w:r>
      <w:r>
        <w:rPr>
          <w:rFonts w:hint="eastAsia"/>
          <w:b/>
          <w:bCs/>
          <w:color w:val="000000" w:themeColor="text1"/>
          <w:sz w:val="24"/>
          <w:szCs w:val="28"/>
          <w14:textFill>
            <w14:solidFill>
              <w14:schemeClr w14:val="tx1"/>
            </w14:solidFill>
          </w14:textFill>
        </w:rPr>
        <w:t>3</w:t>
      </w:r>
      <w:r>
        <w:rPr>
          <w:b/>
          <w:bCs/>
          <w:color w:val="000000" w:themeColor="text1"/>
          <w:sz w:val="24"/>
          <w:szCs w:val="28"/>
          <w14:textFill>
            <w14:solidFill>
              <w14:schemeClr w14:val="tx1"/>
            </w14:solidFill>
          </w14:textFill>
        </w:rPr>
        <w:t>防沙治沙措施</w:t>
      </w:r>
    </w:p>
    <w:p w14:paraId="72021E02">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根据生态功能区划查询，项目属于防沙固沙功能区，</w:t>
      </w:r>
      <w:r>
        <w:rPr>
          <w:rFonts w:hint="eastAsia" w:eastAsia="宋体"/>
          <w:color w:val="000000" w:themeColor="text1"/>
          <w:lang w:eastAsia="zh-CN"/>
          <w14:textFill>
            <w14:solidFill>
              <w14:schemeClr w14:val="tx1"/>
            </w14:solidFill>
          </w14:textFill>
        </w:rPr>
        <w:t>因此</w:t>
      </w:r>
      <w:r>
        <w:rPr>
          <w:rFonts w:eastAsia="宋体"/>
          <w:color w:val="000000" w:themeColor="text1"/>
          <w14:textFill>
            <w14:solidFill>
              <w14:schemeClr w14:val="tx1"/>
            </w14:solidFill>
          </w14:textFill>
        </w:rPr>
        <w:t>在项目施工期、运营期及服务期满等阶段，均应加强防沙治沙措施的实施，防止土地沙化。</w:t>
      </w:r>
    </w:p>
    <w:p w14:paraId="2599842F">
      <w:pPr>
        <w:pStyle w:val="962"/>
        <w:spacing w:line="480" w:lineRule="exact"/>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1、制定方案的原则与目标</w:t>
      </w:r>
    </w:p>
    <w:p w14:paraId="591D121A">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制定方案的原则：①科学性、前瞻性与可行性相结合；②定性目标与定量指标相结合；③注重生态效益与关注民生、发展产业相结合；④节约用水和合理用水相结合；⑤坚持因地制宜的原则。</w:t>
      </w:r>
    </w:p>
    <w:p w14:paraId="4221B4CE">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制定方案的目标：通过工程建设及后期运营，维持现有区域植被覆盖度，沙化土地扩展趋势得到遏制，区域生态环境显著改善。</w:t>
      </w:r>
    </w:p>
    <w:p w14:paraId="53AC3EED">
      <w:pPr>
        <w:pStyle w:val="962"/>
        <w:spacing w:line="480" w:lineRule="exact"/>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2、工程措施</w:t>
      </w:r>
    </w:p>
    <w:p w14:paraId="6242B90F">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①严格依法坚持封禁保护，加强管理，严禁不合理利用土地、草地等资源行为，避免沙区植被资源遭到破坏。为了提高矿区植被的覆盖率，选择乔、灌、草相结合，且抗旱能力强的植被进行人工封沙种草。</w:t>
      </w:r>
    </w:p>
    <w:p w14:paraId="18016F40">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②由于冬季风力较强，加上干燥的气候条件以及地表覆盖的植被较少，风沙较大。建设单位要重视防沙固沙工作，有效利用周围的环境条件，如在风沙区域增设沙障、固定沙丘，避免沙丘随大风肆意扩散，减少沙土的扩散范围。</w:t>
      </w:r>
    </w:p>
    <w:p w14:paraId="60257350">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③对现有植被加大保护力度。对现有植被资源加强保护，将其作为土壤沙漠化治理工作的重中之重，原生植被具有较强的防风固沙作用，必须加大保护力度。</w:t>
      </w:r>
    </w:p>
    <w:p w14:paraId="3718749B">
      <w:pPr>
        <w:pStyle w:val="962"/>
        <w:spacing w:line="480" w:lineRule="exact"/>
        <w:ind w:firstLine="480"/>
        <w:rPr>
          <w:rFonts w:eastAsia="宋体"/>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t>本项目</w:t>
      </w:r>
      <w:r>
        <w:rPr>
          <w:rFonts w:eastAsia="宋体"/>
          <w:color w:val="000000" w:themeColor="text1"/>
          <w14:textFill>
            <w14:solidFill>
              <w14:schemeClr w14:val="tx1"/>
            </w14:solidFill>
          </w14:textFill>
        </w:rPr>
        <w:t>不涉及物理、化学固沙及其他机械固沙措施。</w:t>
      </w:r>
    </w:p>
    <w:p w14:paraId="76AA8AF0">
      <w:pPr>
        <w:pStyle w:val="962"/>
        <w:spacing w:line="480" w:lineRule="exact"/>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w:t>
      </w:r>
      <w:r>
        <w:rPr>
          <w:rFonts w:eastAsia="宋体"/>
          <w:color w:val="000000" w:themeColor="text1"/>
          <w14:textFill>
            <w14:solidFill>
              <w14:schemeClr w14:val="tx1"/>
            </w14:solidFill>
          </w14:textFill>
        </w:rPr>
        <w:t>、植物措施</w:t>
      </w:r>
    </w:p>
    <w:p w14:paraId="2629AC74">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施工过程中，对于管线工程（如涉及），尽可能在植被覆盖度高的地段采取人工开挖，局部降低作业带宽度，减少对植被的破坏。</w:t>
      </w:r>
    </w:p>
    <w:p w14:paraId="05A11581">
      <w:pPr>
        <w:pStyle w:val="962"/>
        <w:spacing w:line="480" w:lineRule="exact"/>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4</w:t>
      </w:r>
      <w:r>
        <w:rPr>
          <w:rFonts w:eastAsia="宋体"/>
          <w:color w:val="000000" w:themeColor="text1"/>
          <w14:textFill>
            <w14:solidFill>
              <w14:schemeClr w14:val="tx1"/>
            </w14:solidFill>
          </w14:textFill>
        </w:rPr>
        <w:t>、其他措施</w:t>
      </w:r>
    </w:p>
    <w:p w14:paraId="78E609C3">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（1）严格控制工业活动范围，严禁乱碾乱轧，避免对项目占地范围外的区域造成扰动。</w:t>
      </w:r>
    </w:p>
    <w:p w14:paraId="11A06739">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（2）优化施工组织，缩短施工时间，施工作业时应分段作业，开挖的土方应分层开挖、分层堆放、分层回填，避免在风天气作业，以免造成土壤风蚀影响。</w:t>
      </w:r>
    </w:p>
    <w:p w14:paraId="57529F1B">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（3）施工结束后对场地进行清理、平整并压实，场地实施场地硬化，避免水土流失影响。</w:t>
      </w:r>
    </w:p>
    <w:p w14:paraId="45DAB464">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（4）严禁破坏占地范围外的植被。</w:t>
      </w:r>
    </w:p>
    <w:p w14:paraId="57BE57A5">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（5）严禁在大风天气进行土方作业。粉状材料及临时土方等在堆场应采取覆盖防尘布，逸散性材料运输采用篷布遮盖，减少施工扬尘产生量和起沙量。</w:t>
      </w:r>
    </w:p>
    <w:p w14:paraId="5B0915ED">
      <w:pPr>
        <w:pStyle w:val="962"/>
        <w:spacing w:line="480" w:lineRule="exact"/>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针对施工机械及运输车辆，提出如下措施：施工期间应划定施工活动范围，严格控制和管理运输车辆及重型机械的运行线路和范围，不得离开运输道路随意行驶，由专人负责，以防破坏土壤和植被，加剧土地荒漠化。</w:t>
      </w:r>
    </w:p>
    <w:p w14:paraId="7A800CF5">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6.2.7.</w:t>
      </w:r>
      <w:r>
        <w:rPr>
          <w:rFonts w:hint="eastAsia"/>
          <w:b/>
          <w:bCs/>
          <w:color w:val="000000" w:themeColor="text1"/>
          <w:sz w:val="24"/>
          <w:szCs w:val="28"/>
          <w14:textFill>
            <w14:solidFill>
              <w14:schemeClr w14:val="tx1"/>
            </w14:solidFill>
          </w14:textFill>
        </w:rPr>
        <w:t>4</w:t>
      </w:r>
      <w:r>
        <w:rPr>
          <w:b/>
          <w:bCs/>
          <w:color w:val="000000" w:themeColor="text1"/>
          <w:sz w:val="24"/>
          <w:szCs w:val="28"/>
          <w14:textFill>
            <w14:solidFill>
              <w14:schemeClr w14:val="tx1"/>
            </w14:solidFill>
          </w14:textFill>
        </w:rPr>
        <w:t>采</w:t>
      </w:r>
      <w:r>
        <w:rPr>
          <w:rFonts w:hint="eastAsia"/>
          <w:b/>
          <w:bCs/>
          <w:color w:val="000000" w:themeColor="text1"/>
          <w:sz w:val="24"/>
          <w:szCs w:val="28"/>
          <w:lang w:eastAsia="zh-CN"/>
          <w14:textFill>
            <w14:solidFill>
              <w14:schemeClr w14:val="tx1"/>
            </w14:solidFill>
          </w14:textFill>
        </w:rPr>
        <w:t>区</w:t>
      </w:r>
      <w:r>
        <w:rPr>
          <w:b/>
          <w:bCs/>
          <w:color w:val="000000" w:themeColor="text1"/>
          <w:sz w:val="24"/>
          <w:szCs w:val="28"/>
          <w14:textFill>
            <w14:solidFill>
              <w14:schemeClr w14:val="tx1"/>
            </w14:solidFill>
          </w14:textFill>
        </w:rPr>
        <w:t>生态恢复</w:t>
      </w:r>
    </w:p>
    <w:p w14:paraId="0F4857EF">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采</w:t>
      </w:r>
      <w:r>
        <w:rPr>
          <w:rFonts w:hint="eastAsia"/>
          <w:color w:val="000000" w:themeColor="text1"/>
          <w:kern w:val="0"/>
          <w:sz w:val="24"/>
          <w:lang w:eastAsia="zh-CN"/>
          <w14:textFill>
            <w14:solidFill>
              <w14:schemeClr w14:val="tx1"/>
            </w14:solidFill>
          </w14:textFill>
        </w:rPr>
        <w:t>区</w:t>
      </w:r>
      <w:r>
        <w:rPr>
          <w:color w:val="000000" w:themeColor="text1"/>
          <w:kern w:val="0"/>
          <w:sz w:val="24"/>
          <w14:textFill>
            <w14:solidFill>
              <w14:schemeClr w14:val="tx1"/>
            </w14:solidFill>
          </w14:textFill>
        </w:rPr>
        <w:t>应平整、回填后进行生态恢复，并与周边地表景观相协调，恢复后的采场进行土地资源再利用时，在坡度、土层厚度、稳定性、土壤环境安全性等方面应满足相关用地要求。</w:t>
      </w:r>
    </w:p>
    <w:p w14:paraId="1EAAC758">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6.2.7</w:t>
      </w:r>
      <w:r>
        <w:rPr>
          <w:b/>
          <w:bCs/>
          <w:color w:val="000000" w:themeColor="text1"/>
          <w:sz w:val="24"/>
          <w:szCs w:val="28"/>
          <w14:textFill>
            <w14:solidFill>
              <w14:schemeClr w14:val="tx1"/>
            </w14:solidFill>
          </w14:textFill>
        </w:rPr>
        <w:t>.</w:t>
      </w:r>
      <w:r>
        <w:rPr>
          <w:rFonts w:hint="eastAsia"/>
          <w:b/>
          <w:bCs/>
          <w:color w:val="000000" w:themeColor="text1"/>
          <w:sz w:val="24"/>
          <w:szCs w:val="28"/>
          <w14:textFill>
            <w14:solidFill>
              <w14:schemeClr w14:val="tx1"/>
            </w14:solidFill>
          </w14:textFill>
        </w:rPr>
        <w:t>5废石堆场</w:t>
      </w:r>
      <w:r>
        <w:rPr>
          <w:b/>
          <w:bCs/>
          <w:color w:val="000000" w:themeColor="text1"/>
          <w:sz w:val="24"/>
          <w:szCs w:val="28"/>
          <w14:textFill>
            <w14:solidFill>
              <w14:schemeClr w14:val="tx1"/>
            </w14:solidFill>
          </w14:textFill>
        </w:rPr>
        <w:t>生态恢复</w:t>
      </w:r>
    </w:p>
    <w:p w14:paraId="78CE05BA">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（1）岩土排弃要求</w:t>
      </w:r>
    </w:p>
    <w:p w14:paraId="27D87B7F">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合理安排岩土排弃次序</w:t>
      </w:r>
      <w:r>
        <w:rPr>
          <w:rFonts w:hint="eastAsia"/>
          <w:color w:val="000000" w:themeColor="text1"/>
          <w:kern w:val="0"/>
          <w:sz w:val="24"/>
          <w14:textFill>
            <w14:solidFill>
              <w14:schemeClr w14:val="tx1"/>
            </w14:solidFill>
          </w14:textFill>
        </w:rPr>
        <w:t>。项目区生态环境较好，矿区施工前应</w:t>
      </w:r>
      <w:r>
        <w:rPr>
          <w:color w:val="000000" w:themeColor="text1"/>
          <w:kern w:val="0"/>
          <w:sz w:val="24"/>
          <w14:textFill>
            <w14:solidFill>
              <w14:schemeClr w14:val="tx1"/>
            </w14:solidFill>
          </w14:textFill>
        </w:rPr>
        <w:t>将有利于植被恢复的</w:t>
      </w:r>
      <w:r>
        <w:rPr>
          <w:rFonts w:hint="eastAsia"/>
          <w:color w:val="000000" w:themeColor="text1"/>
          <w:kern w:val="0"/>
          <w:sz w:val="24"/>
          <w14:textFill>
            <w14:solidFill>
              <w14:schemeClr w14:val="tx1"/>
            </w14:solidFill>
          </w14:textFill>
        </w:rPr>
        <w:t>表土集中堆存，用于后期生态恢复</w:t>
      </w:r>
      <w:r>
        <w:rPr>
          <w:color w:val="000000" w:themeColor="text1"/>
          <w:kern w:val="0"/>
          <w:sz w:val="24"/>
          <w14:textFill>
            <w14:solidFill>
              <w14:schemeClr w14:val="tx1"/>
            </w14:solidFill>
          </w14:textFill>
        </w:rPr>
        <w:t>。</w:t>
      </w:r>
    </w:p>
    <w:p w14:paraId="230E0800">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（2）废石堆场水土保持与稳定性要求</w:t>
      </w:r>
    </w:p>
    <w:p w14:paraId="7A629504">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①废石堆场基底坡度大于</w:t>
      </w:r>
      <w:r>
        <w:rPr>
          <w:color w:val="000000" w:themeColor="text1"/>
          <w:sz w:val="24"/>
          <w14:textFill>
            <w14:solidFill>
              <w14:schemeClr w14:val="tx1"/>
            </w14:solidFill>
          </w14:textFill>
        </w:rPr>
        <w:t>1：5</w:t>
      </w:r>
      <w:r>
        <w:rPr>
          <w:color w:val="000000" w:themeColor="text1"/>
          <w:kern w:val="0"/>
          <w:sz w:val="24"/>
          <w14:textFill>
            <w14:solidFill>
              <w14:schemeClr w14:val="tx1"/>
            </w14:solidFill>
          </w14:textFill>
        </w:rPr>
        <w:t>时，应将地基削成阶梯状。</w:t>
      </w:r>
    </w:p>
    <w:p w14:paraId="4414AE7D">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②废石堆场设置完整的排水系统，及防洪和排水设施。</w:t>
      </w:r>
    </w:p>
    <w:p w14:paraId="0D5F9758">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③对废石堆场应采取坡脚防护或拦碴工程。</w:t>
      </w:r>
    </w:p>
    <w:p w14:paraId="2DE53493">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w:t>
      </w:r>
      <w:r>
        <w:rPr>
          <w:rFonts w:hint="eastAsia"/>
          <w:color w:val="000000" w:themeColor="text1"/>
          <w:kern w:val="0"/>
          <w:sz w:val="24"/>
          <w14:textFill>
            <w14:solidFill>
              <w14:schemeClr w14:val="tx1"/>
            </w14:solidFill>
          </w14:textFill>
        </w:rPr>
        <w:t>废石堆场</w:t>
      </w:r>
      <w:r>
        <w:rPr>
          <w:color w:val="000000" w:themeColor="text1"/>
          <w:kern w:val="0"/>
          <w:sz w:val="24"/>
          <w14:textFill>
            <w14:solidFill>
              <w14:schemeClr w14:val="tx1"/>
            </w14:solidFill>
          </w14:textFill>
        </w:rPr>
        <w:t>植被恢复</w:t>
      </w:r>
    </w:p>
    <w:p w14:paraId="14A09C3C">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①充分利用工程前收集的表土覆盖于</w:t>
      </w:r>
      <w:r>
        <w:rPr>
          <w:rFonts w:hint="eastAsia"/>
          <w:color w:val="000000" w:themeColor="text1"/>
          <w:kern w:val="0"/>
          <w:sz w:val="24"/>
          <w14:textFill>
            <w14:solidFill>
              <w14:schemeClr w14:val="tx1"/>
            </w14:solidFill>
          </w14:textFill>
        </w:rPr>
        <w:t>废石堆场</w:t>
      </w:r>
      <w:r>
        <w:rPr>
          <w:color w:val="000000" w:themeColor="text1"/>
          <w:kern w:val="0"/>
          <w:sz w:val="24"/>
          <w14:textFill>
            <w14:solidFill>
              <w14:schemeClr w14:val="tx1"/>
            </w14:solidFill>
          </w14:textFill>
        </w:rPr>
        <w:t>表层，覆盖土层厚度根据植被恢复类型和场地用途确定。</w:t>
      </w:r>
    </w:p>
    <w:p w14:paraId="0BE1AFA5">
      <w:pPr>
        <w:spacing w:line="48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②不具备植被恢复条件的地方，应采用砂石等材料覆盖，防止风蚀。</w:t>
      </w:r>
    </w:p>
    <w:p w14:paraId="1C3CFCEC">
      <w:pPr>
        <w:spacing w:line="480" w:lineRule="exact"/>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矿区施工期</w:t>
      </w:r>
      <w:r>
        <w:rPr>
          <w:color w:val="000000" w:themeColor="text1"/>
          <w:kern w:val="0"/>
          <w:sz w:val="24"/>
          <w14:textFill>
            <w14:solidFill>
              <w14:schemeClr w14:val="tx1"/>
            </w14:solidFill>
          </w14:textFill>
        </w:rPr>
        <w:t>废石集中堆放在</w:t>
      </w:r>
      <w:r>
        <w:rPr>
          <w:rFonts w:hint="eastAsia"/>
          <w:color w:val="000000" w:themeColor="text1"/>
          <w:kern w:val="0"/>
          <w:sz w:val="24"/>
          <w14:textFill>
            <w14:solidFill>
              <w14:schemeClr w14:val="tx1"/>
            </w14:solidFill>
          </w14:textFill>
        </w:rPr>
        <w:t>矿区废石堆场，运营期废石</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全部拉运至废石</w:t>
      </w:r>
      <w:r>
        <w:rPr>
          <w:rFonts w:hint="eastAsia" w:cs="Times New Roman"/>
          <w:snapToGrid/>
          <w:color w:val="000000" w:themeColor="text1"/>
          <w:spacing w:val="0"/>
          <w:kern w:val="0"/>
          <w:position w:val="0"/>
          <w:sz w:val="24"/>
          <w:szCs w:val="24"/>
          <w:highlight w:val="none"/>
          <w:lang w:val="en-US" w:eastAsia="zh-CN" w:bidi="ar"/>
          <w14:textFill>
            <w14:solidFill>
              <w14:schemeClr w14:val="tx1"/>
            </w14:solidFill>
          </w14:textFill>
        </w:rPr>
        <w:t>堆</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场，待开采结束并稳沉后，将废石回填至采空区</w:t>
      </w:r>
      <w:r>
        <w:rPr>
          <w:rFonts w:hint="eastAsia"/>
          <w:color w:val="000000" w:themeColor="text1"/>
          <w:kern w:val="0"/>
          <w:sz w:val="24"/>
          <w14:textFill>
            <w14:solidFill>
              <w14:schemeClr w14:val="tx1"/>
            </w14:solidFill>
          </w14:textFill>
        </w:rPr>
        <w:t>。</w:t>
      </w:r>
      <w:r>
        <w:rPr>
          <w:color w:val="000000" w:themeColor="text1"/>
          <w:kern w:val="0"/>
          <w:sz w:val="24"/>
          <w:lang w:val="zh-CN"/>
          <w14:textFill>
            <w14:solidFill>
              <w14:schemeClr w14:val="tx1"/>
            </w14:solidFill>
          </w14:textFill>
        </w:rPr>
        <w:t>堆放作业时严格执行《金属非金属矿山排土场安全生产规则》（AQ2005-2005）。</w:t>
      </w:r>
      <w:r>
        <w:rPr>
          <w:rFonts w:hint="eastAsia" w:ascii="Times New Roman" w:hAnsi="Times New Roman" w:eastAsia="宋体" w:cs="Times New Roman"/>
          <w:snapToGrid/>
          <w:color w:val="000000" w:themeColor="text1"/>
          <w:spacing w:val="0"/>
          <w:kern w:val="0"/>
          <w:position w:val="0"/>
          <w:sz w:val="24"/>
          <w:szCs w:val="24"/>
          <w:highlight w:val="none"/>
          <w:lang w:val="en-US" w:eastAsia="zh-CN" w:bidi="ar"/>
          <w14:textFill>
            <w14:solidFill>
              <w14:schemeClr w14:val="tx1"/>
            </w14:solidFill>
          </w14:textFill>
        </w:rPr>
        <w:t>废石回填至采空区后，将废石堆场</w:t>
      </w:r>
      <w:r>
        <w:rPr>
          <w:color w:val="000000" w:themeColor="text1"/>
          <w:kern w:val="0"/>
          <w:sz w:val="24"/>
          <w:lang w:val="zh-CN"/>
          <w14:textFill>
            <w14:solidFill>
              <w14:schemeClr w14:val="tx1"/>
            </w14:solidFill>
          </w14:textFill>
        </w:rPr>
        <w:t>进行平整，覆土后恢复植被</w:t>
      </w:r>
      <w:r>
        <w:rPr>
          <w:rFonts w:hint="eastAsia"/>
          <w:color w:val="000000" w:themeColor="text1"/>
          <w:kern w:val="0"/>
          <w:sz w:val="24"/>
          <w:lang w:val="zh-CN"/>
          <w14:textFill>
            <w14:solidFill>
              <w14:schemeClr w14:val="tx1"/>
            </w14:solidFill>
          </w14:textFill>
        </w:rPr>
        <w:t>，</w:t>
      </w:r>
      <w:r>
        <w:rPr>
          <w:color w:val="000000" w:themeColor="text1"/>
          <w:kern w:val="0"/>
          <w:sz w:val="24"/>
          <w:lang w:val="zh-CN"/>
          <w14:textFill>
            <w14:solidFill>
              <w14:schemeClr w14:val="tx1"/>
            </w14:solidFill>
          </w14:textFill>
        </w:rPr>
        <w:t>使</w:t>
      </w:r>
      <w:r>
        <w:rPr>
          <w:rFonts w:hint="eastAsia"/>
          <w:color w:val="000000" w:themeColor="text1"/>
          <w:kern w:val="0"/>
          <w:sz w:val="24"/>
          <w14:textFill>
            <w14:solidFill>
              <w14:schemeClr w14:val="tx1"/>
            </w14:solidFill>
          </w14:textFill>
        </w:rPr>
        <w:t>废石堆场</w:t>
      </w:r>
      <w:r>
        <w:rPr>
          <w:color w:val="000000" w:themeColor="text1"/>
          <w:kern w:val="0"/>
          <w:sz w:val="24"/>
          <w:lang w:val="zh-CN"/>
          <w14:textFill>
            <w14:solidFill>
              <w14:schemeClr w14:val="tx1"/>
            </w14:solidFill>
          </w14:textFill>
        </w:rPr>
        <w:t>与周围地貌相协调，废石综合回用率达</w:t>
      </w:r>
      <w:r>
        <w:rPr>
          <w:color w:val="000000" w:themeColor="text1"/>
          <w:kern w:val="0"/>
          <w:sz w:val="24"/>
          <w14:textFill>
            <w14:solidFill>
              <w14:schemeClr w14:val="tx1"/>
            </w14:solidFill>
          </w14:textFill>
        </w:rPr>
        <w:t>100%</w:t>
      </w:r>
      <w:r>
        <w:rPr>
          <w:color w:val="000000" w:themeColor="text1"/>
          <w:kern w:val="0"/>
          <w:sz w:val="24"/>
          <w:lang w:val="zh-CN"/>
          <w14:textFill>
            <w14:solidFill>
              <w14:schemeClr w14:val="tx1"/>
            </w14:solidFill>
          </w14:textFill>
        </w:rPr>
        <w:t>，满足</w:t>
      </w:r>
      <w:r>
        <w:rPr>
          <w:rFonts w:hint="eastAsia"/>
          <w:color w:val="000000" w:themeColor="text1"/>
          <w:kern w:val="0"/>
          <w:sz w:val="24"/>
          <w:lang w:val="zh-CN"/>
          <w14:textFill>
            <w14:solidFill>
              <w14:schemeClr w14:val="tx1"/>
            </w14:solidFill>
          </w14:textFill>
        </w:rPr>
        <w:t>《新疆维吾尔自治区重点行业生态环境准入条件（2024年）》</w:t>
      </w:r>
      <w:r>
        <w:rPr>
          <w:color w:val="000000" w:themeColor="text1"/>
          <w:kern w:val="0"/>
          <w:sz w:val="24"/>
          <w:lang w:val="zh-CN"/>
          <w14:textFill>
            <w14:solidFill>
              <w14:schemeClr w14:val="tx1"/>
            </w14:solidFill>
          </w14:textFill>
        </w:rPr>
        <w:t>相关要求。</w:t>
      </w:r>
    </w:p>
    <w:p w14:paraId="27678563">
      <w:pPr>
        <w:keepNext/>
        <w:keepLines/>
        <w:spacing w:line="480" w:lineRule="exact"/>
        <w:ind w:firstLine="482" w:firstLineChars="200"/>
        <w:outlineLvl w:val="3"/>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6.2.7</w:t>
      </w:r>
      <w:r>
        <w:rPr>
          <w:b/>
          <w:bCs/>
          <w:color w:val="000000" w:themeColor="text1"/>
          <w:sz w:val="24"/>
          <w:szCs w:val="28"/>
          <w14:textFill>
            <w14:solidFill>
              <w14:schemeClr w14:val="tx1"/>
            </w14:solidFill>
          </w14:textFill>
        </w:rPr>
        <w:t>.6矿山</w:t>
      </w:r>
      <w:r>
        <w:rPr>
          <w:rFonts w:hint="eastAsia"/>
          <w:b/>
          <w:bCs/>
          <w:color w:val="000000" w:themeColor="text1"/>
          <w:sz w:val="24"/>
          <w:szCs w:val="28"/>
          <w14:textFill>
            <w14:solidFill>
              <w14:schemeClr w14:val="tx1"/>
            </w14:solidFill>
          </w14:textFill>
        </w:rPr>
        <w:t>道路</w:t>
      </w:r>
      <w:r>
        <w:rPr>
          <w:b/>
          <w:bCs/>
          <w:color w:val="000000" w:themeColor="text1"/>
          <w:sz w:val="24"/>
          <w:szCs w:val="28"/>
          <w14:textFill>
            <w14:solidFill>
              <w14:schemeClr w14:val="tx1"/>
            </w14:solidFill>
          </w14:textFill>
        </w:rPr>
        <w:t>生态恢复</w:t>
      </w:r>
    </w:p>
    <w:p w14:paraId="3CA55F6D">
      <w:pPr>
        <w:pStyle w:val="962"/>
        <w:spacing w:line="480" w:lineRule="exact"/>
        <w:ind w:firstLine="480"/>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矿区道路使用期间，有条件的地区应对道路两侧进行绿化。道路绿化应以乡土树</w:t>
      </w:r>
      <w:r>
        <w:rPr>
          <w:rFonts w:hint="eastAsia" w:eastAsia="宋体"/>
          <w:color w:val="000000" w:themeColor="text1"/>
          <w:kern w:val="0"/>
          <w:lang w:eastAsia="zh-CN"/>
          <w14:textFill>
            <w14:solidFill>
              <w14:schemeClr w14:val="tx1"/>
            </w14:solidFill>
          </w14:textFill>
        </w:rPr>
        <w:t>（</w:t>
      </w:r>
      <w:r>
        <w:rPr>
          <w:rFonts w:hint="eastAsia" w:eastAsia="宋体"/>
          <w:color w:val="000000" w:themeColor="text1"/>
          <w:kern w:val="0"/>
          <w14:textFill>
            <w14:solidFill>
              <w14:schemeClr w14:val="tx1"/>
            </w14:solidFill>
          </w14:textFill>
        </w:rPr>
        <w:t>草</w:t>
      </w:r>
      <w:r>
        <w:rPr>
          <w:rFonts w:hint="eastAsia" w:eastAsia="宋体"/>
          <w:color w:val="000000" w:themeColor="text1"/>
          <w:kern w:val="0"/>
          <w:lang w:eastAsia="zh-CN"/>
          <w14:textFill>
            <w14:solidFill>
              <w14:schemeClr w14:val="tx1"/>
            </w14:solidFill>
          </w14:textFill>
        </w:rPr>
        <w:t>）</w:t>
      </w:r>
      <w:r>
        <w:rPr>
          <w:rFonts w:hint="eastAsia" w:eastAsia="宋体"/>
          <w:color w:val="000000" w:themeColor="text1"/>
          <w:kern w:val="0"/>
          <w14:textFill>
            <w14:solidFill>
              <w14:schemeClr w14:val="tx1"/>
            </w14:solidFill>
          </w14:textFill>
        </w:rPr>
        <w:t>种为主，选择适应性强、防尘效果好、护坡功能强的植物种。本项目道路两侧不具备绿化条件。</w:t>
      </w:r>
    </w:p>
    <w:p w14:paraId="5A0178E6">
      <w:pPr>
        <w:pStyle w:val="3"/>
        <w:jc w:val="left"/>
        <w:rPr>
          <w:rFonts w:hint="eastAsia" w:eastAsia="宋体"/>
          <w:bCs/>
          <w:color w:val="000000" w:themeColor="text1"/>
          <w:kern w:val="2"/>
          <w:szCs w:val="32"/>
          <w:lang w:eastAsia="zh-CN"/>
          <w14:textFill>
            <w14:solidFill>
              <w14:schemeClr w14:val="tx1"/>
            </w14:solidFill>
          </w14:textFill>
        </w:rPr>
      </w:pPr>
      <w:bookmarkStart w:id="607" w:name="_Toc10382"/>
      <w:bookmarkStart w:id="608" w:name="_Toc10560"/>
      <w:bookmarkStart w:id="609" w:name="_Toc6470"/>
      <w:bookmarkStart w:id="610" w:name="_Toc6454"/>
      <w:bookmarkStart w:id="611" w:name="_Toc111767566"/>
      <w:bookmarkStart w:id="612" w:name="_Toc14652"/>
      <w:r>
        <w:rPr>
          <w:rFonts w:hint="eastAsia"/>
          <w:bCs/>
          <w:color w:val="000000" w:themeColor="text1"/>
          <w:kern w:val="2"/>
          <w:szCs w:val="32"/>
          <w14:textFill>
            <w14:solidFill>
              <w14:schemeClr w14:val="tx1"/>
            </w14:solidFill>
          </w14:textFill>
        </w:rPr>
        <w:t>6.3闭矿</w:t>
      </w:r>
      <w:bookmarkEnd w:id="607"/>
      <w:bookmarkEnd w:id="608"/>
      <w:bookmarkEnd w:id="609"/>
      <w:bookmarkEnd w:id="610"/>
      <w:bookmarkEnd w:id="611"/>
      <w:r>
        <w:rPr>
          <w:rFonts w:hint="eastAsia"/>
          <w:bCs/>
          <w:color w:val="000000" w:themeColor="text1"/>
          <w:kern w:val="2"/>
          <w:szCs w:val="32"/>
          <w:lang w:eastAsia="zh-CN"/>
          <w14:textFill>
            <w14:solidFill>
              <w14:schemeClr w14:val="tx1"/>
            </w14:solidFill>
          </w14:textFill>
        </w:rPr>
        <w:t>后生态恢复建设</w:t>
      </w:r>
      <w:bookmarkEnd w:id="612"/>
    </w:p>
    <w:p w14:paraId="2ECA0709">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按照边开采边恢复、终止采矿活动时必须完成恢复治理的原则，要做到预防为主，针对存在的问题，</w:t>
      </w:r>
      <w:r>
        <w:rPr>
          <w:rFonts w:hint="eastAsia" w:ascii="宋体" w:hAnsi="宋体" w:cs="宋体"/>
          <w:color w:val="000000" w:themeColor="text1"/>
          <w:sz w:val="24"/>
          <w:szCs w:val="24"/>
          <w:lang w:eastAsia="zh-CN"/>
          <w14:textFill>
            <w14:solidFill>
              <w14:schemeClr w14:val="tx1"/>
            </w14:solidFill>
          </w14:textFill>
        </w:rPr>
        <w:t>制定</w:t>
      </w:r>
      <w:r>
        <w:rPr>
          <w:rFonts w:hint="eastAsia" w:ascii="宋体" w:hAnsi="宋体" w:eastAsia="宋体" w:cs="宋体"/>
          <w:color w:val="000000" w:themeColor="text1"/>
          <w:sz w:val="24"/>
          <w:szCs w:val="24"/>
          <w14:textFill>
            <w14:solidFill>
              <w14:schemeClr w14:val="tx1"/>
            </w14:solidFill>
          </w14:textFill>
        </w:rPr>
        <w:t>预防措施，对生产中出现的问题要及时采取相应的措施予以解决，达到防灾、减灾的目的。</w:t>
      </w:r>
    </w:p>
    <w:p w14:paraId="64706E8A">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矿山开采闭坑后必须按照矿山安全、水土保持、地质恢复、环境保护工作的有关规定拆除无用的地面建筑物，在塌陷趋于稳定后进行回填处理，将废石堆场进行推平、压实、表层覆盖大粒径废石，恢复受破坏的地形地貌景观、恢复原土地利用状态</w:t>
      </w:r>
      <w:r>
        <w:rPr>
          <w:rFonts w:hint="eastAsia" w:ascii="宋体" w:hAnsi="宋体" w:cs="宋体"/>
          <w:color w:val="000000" w:themeColor="text1"/>
          <w:sz w:val="24"/>
          <w:szCs w:val="24"/>
          <w:lang w:eastAsia="zh-CN"/>
          <w14:textFill>
            <w14:solidFill>
              <w14:schemeClr w14:val="tx1"/>
            </w14:solidFill>
          </w14:textFill>
        </w:rPr>
        <w:t>。</w:t>
      </w:r>
    </w:p>
    <w:p w14:paraId="66E1C3B1">
      <w:pPr>
        <w:pStyle w:val="4"/>
        <w:spacing w:before="60" w:after="60" w:line="480" w:lineRule="exact"/>
        <w:rPr>
          <w:rFonts w:hint="eastAsia" w:eastAsia="宋体"/>
          <w:color w:val="000000" w:themeColor="text1"/>
          <w:kern w:val="2"/>
          <w:lang w:eastAsia="zh-CN"/>
          <w14:textFill>
            <w14:solidFill>
              <w14:schemeClr w14:val="tx1"/>
            </w14:solidFill>
          </w14:textFill>
        </w:rPr>
      </w:pPr>
      <w:r>
        <w:rPr>
          <w:rFonts w:hint="eastAsia"/>
          <w:color w:val="000000" w:themeColor="text1"/>
          <w:kern w:val="2"/>
          <w14:textFill>
            <w14:solidFill>
              <w14:schemeClr w14:val="tx1"/>
            </w14:solidFill>
          </w14:textFill>
        </w:rPr>
        <w:t>6.</w:t>
      </w:r>
      <w:r>
        <w:rPr>
          <w:rFonts w:hint="eastAsia"/>
          <w:color w:val="000000" w:themeColor="text1"/>
          <w:kern w:val="2"/>
          <w:lang w:val="en-US" w:eastAsia="zh-CN"/>
          <w14:textFill>
            <w14:solidFill>
              <w14:schemeClr w14:val="tx1"/>
            </w14:solidFill>
          </w14:textFill>
        </w:rPr>
        <w:t>3.1</w:t>
      </w:r>
      <w:r>
        <w:rPr>
          <w:rFonts w:hint="eastAsia"/>
          <w:color w:val="000000" w:themeColor="text1"/>
          <w:kern w:val="2"/>
          <w:lang w:eastAsia="zh-CN"/>
          <w14:textFill>
            <w14:solidFill>
              <w14:schemeClr w14:val="tx1"/>
            </w14:solidFill>
          </w14:textFill>
        </w:rPr>
        <w:t>闭矿后</w:t>
      </w:r>
      <w:r>
        <w:rPr>
          <w:color w:val="000000" w:themeColor="text1"/>
          <w:kern w:val="2"/>
          <w14:textFill>
            <w14:solidFill>
              <w14:schemeClr w14:val="tx1"/>
            </w14:solidFill>
          </w14:textFill>
        </w:rPr>
        <w:t>生态恢复</w:t>
      </w:r>
      <w:r>
        <w:rPr>
          <w:rFonts w:hint="eastAsia"/>
          <w:color w:val="000000" w:themeColor="text1"/>
          <w:kern w:val="2"/>
          <w:lang w:eastAsia="zh-CN"/>
          <w14:textFill>
            <w14:solidFill>
              <w14:schemeClr w14:val="tx1"/>
            </w14:solidFill>
          </w14:textFill>
        </w:rPr>
        <w:t>方案</w:t>
      </w:r>
    </w:p>
    <w:p w14:paraId="122E8643">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生态恢复方案原则</w:t>
      </w:r>
    </w:p>
    <w:p w14:paraId="58AFC84A">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①</w:t>
      </w:r>
      <w:r>
        <w:rPr>
          <w:rFonts w:hint="default" w:ascii="Times New Roman" w:hAnsi="Times New Roman" w:cs="Times New Roman" w:eastAsiaTheme="minorEastAsia"/>
          <w:color w:val="000000" w:themeColor="text1"/>
          <w:sz w:val="24"/>
          <w:szCs w:val="24"/>
          <w14:textFill>
            <w14:solidFill>
              <w14:schemeClr w14:val="tx1"/>
            </w14:solidFill>
          </w14:textFill>
        </w:rPr>
        <w:t>矿山企业要遵循在开发中保护、在保护中开发的理念，坚持“边开采、边治理”的原则，从源头上控制生态环境的破坏，减少对生态环境影响。对矿产资源开发造成的生态功能破坏和环境污染，通过生物、工程和管理措施及时开展恢复治理。</w:t>
      </w:r>
    </w:p>
    <w:p w14:paraId="396D64F0">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②</w:t>
      </w:r>
      <w:r>
        <w:rPr>
          <w:rFonts w:hint="default" w:ascii="Times New Roman" w:hAnsi="Times New Roman" w:cs="Times New Roman" w:eastAsiaTheme="minorEastAsia"/>
          <w:color w:val="000000" w:themeColor="text1"/>
          <w:sz w:val="24"/>
          <w:szCs w:val="24"/>
          <w14:textFill>
            <w14:solidFill>
              <w14:schemeClr w14:val="tx1"/>
            </w14:solidFill>
          </w14:textFill>
        </w:rPr>
        <w:t>根据矿山所处的区域、自然地理条件、生态恢复与环境治理的技术经济条件，按“整体生态功能恢复”和“景观相似性”原则，宜耕则耕、宜林则林、宜草则草、宜景建景、注重成效，因地制宜采取切实可行的恢复治理措施，恢复矿区整体生态功能</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14:paraId="18E7B403">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③</w:t>
      </w:r>
      <w:r>
        <w:rPr>
          <w:rFonts w:hint="default" w:ascii="Times New Roman" w:hAnsi="Times New Roman" w:cs="Times New Roman" w:eastAsiaTheme="minorEastAsia"/>
          <w:color w:val="000000" w:themeColor="text1"/>
          <w:sz w:val="24"/>
          <w:szCs w:val="24"/>
          <w14:textFill>
            <w14:solidFill>
              <w14:schemeClr w14:val="tx1"/>
            </w14:solidFill>
          </w14:textFill>
        </w:rPr>
        <w:t>坚持科学性、前瞻性和实用性相统一的原则，鼓励广泛应用新技术、新方法，选择适宜的保护与治理方案，努力提高矿山生态环境保护和恢复治理成效和水平。</w:t>
      </w:r>
    </w:p>
    <w:p w14:paraId="37AA8621">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）治理措施</w:t>
      </w:r>
    </w:p>
    <w:p w14:paraId="4720AB64">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t>矿床开采过程中采出大量的矿石和岩石，必然会出现一定范围的采空区将破坏采矿场地范围内的土地，使这部分土地失去原先的用途</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同时对采矿场范围外的土地利用也会带来严重的危害。根据国务院</w:t>
      </w:r>
      <w:r>
        <w:rPr>
          <w:rFonts w:hint="eastAsia" w:ascii="Times New Roman" w:hAnsi="Times New Roman" w:cs="Times New Roman"/>
          <w:color w:val="000000" w:themeColor="text1"/>
          <w:sz w:val="24"/>
          <w:szCs w:val="24"/>
          <w:lang w:eastAsia="zh-CN"/>
          <w14:textFill>
            <w14:solidFill>
              <w14:schemeClr w14:val="tx1"/>
            </w14:solidFill>
          </w14:textFill>
        </w:rPr>
        <w:t>发</w:t>
      </w:r>
      <w:r>
        <w:rPr>
          <w:rFonts w:hint="default" w:ascii="Times New Roman" w:hAnsi="Times New Roman" w:eastAsia="宋体" w:cs="Times New Roman"/>
          <w:color w:val="000000" w:themeColor="text1"/>
          <w:sz w:val="24"/>
          <w:szCs w:val="24"/>
          <w14:textFill>
            <w14:solidFill>
              <w14:schemeClr w14:val="tx1"/>
            </w14:solidFill>
          </w14:textFill>
        </w:rPr>
        <w:t>布</w:t>
      </w:r>
      <w:r>
        <w:rPr>
          <w:rFonts w:hint="eastAsia" w:ascii="Times New Roman" w:hAnsi="Times New Roman" w:cs="Times New Roman"/>
          <w:color w:val="000000" w:themeColor="text1"/>
          <w:sz w:val="24"/>
          <w:szCs w:val="24"/>
          <w:lang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《土地复垦条例》，制定了“谁损毁、谁复垦”的原则。因此，必须做到生产期间尽可能不断地恢复被破坏的土地，消除各种污染源的危害，在采矿结束后</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即矿山服务期满后</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对被遗弃的土地进行全面的恢复工作。</w:t>
      </w:r>
    </w:p>
    <w:p w14:paraId="0EF08BC7">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t>根据采矿地质条件、发展远景及当地具体情况，制定矿山地恢复计划该计划要纳入矿山设计中的开采、排弃计划，其内容包括利用土地的方式、采矿恢复方法、回填岩石顺序等，且与生产建设统一规划，边开采边恢复。</w:t>
      </w:r>
    </w:p>
    <w:p w14:paraId="1057A220">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t>预留足够资金用于完成闭矿工作。闭矿后的资金问题是该期环境影响的关键，其资金来源于开发利用该区域的生产企业。因此，企业对闭矿后的环境保护承担完全义务，在采矿运营阶段，应对闭矿后的环保资金预提，留足环保治理费用，用</w:t>
      </w:r>
      <w:r>
        <w:rPr>
          <w:rFonts w:hint="eastAsia" w:cs="Times New Roman"/>
          <w:color w:val="000000" w:themeColor="text1"/>
          <w:sz w:val="24"/>
          <w:szCs w:val="24"/>
          <w:lang w:val="en-US" w:eastAsia="zh-CN"/>
          <w14:textFill>
            <w14:solidFill>
              <w14:schemeClr w14:val="tx1"/>
            </w14:solidFill>
          </w14:textFill>
        </w:rPr>
        <w:t>于</w:t>
      </w:r>
      <w:r>
        <w:rPr>
          <w:rFonts w:hint="default" w:ascii="Times New Roman" w:hAnsi="Times New Roman" w:eastAsia="宋体" w:cs="Times New Roman"/>
          <w:color w:val="000000" w:themeColor="text1"/>
          <w:sz w:val="24"/>
          <w:szCs w:val="24"/>
          <w14:textFill>
            <w14:solidFill>
              <w14:schemeClr w14:val="tx1"/>
            </w14:solidFill>
          </w14:textFill>
        </w:rPr>
        <w:t>矿山开采期满后的生态工程建设工作，使被挖损的和堆填的土地恢复其本来功能，使矿山开发对区域生态的影响控制在一定的范围内，保持区域生态环境的平衡。具体额度</w:t>
      </w:r>
      <w:r>
        <w:rPr>
          <w:rFonts w:hint="eastAsia" w:cs="Times New Roman"/>
          <w:color w:val="000000" w:themeColor="text1"/>
          <w:sz w:val="24"/>
          <w:szCs w:val="24"/>
          <w:lang w:val="en-US" w:eastAsia="zh-CN"/>
          <w14:textFill>
            <w14:solidFill>
              <w14:schemeClr w14:val="tx1"/>
            </w14:solidFill>
          </w14:textFill>
        </w:rPr>
        <w:t>由</w:t>
      </w:r>
      <w:r>
        <w:rPr>
          <w:rFonts w:hint="default" w:ascii="Times New Roman" w:hAnsi="Times New Roman" w:eastAsia="宋体" w:cs="Times New Roman"/>
          <w:color w:val="000000" w:themeColor="text1"/>
          <w:sz w:val="24"/>
          <w:szCs w:val="24"/>
          <w14:textFill>
            <w14:solidFill>
              <w14:schemeClr w14:val="tx1"/>
            </w14:solidFill>
          </w14:textFill>
        </w:rPr>
        <w:t>设计部门</w:t>
      </w:r>
      <w:r>
        <w:rPr>
          <w:rFonts w:hint="eastAsia" w:cs="Times New Roman"/>
          <w:color w:val="000000" w:themeColor="text1"/>
          <w:sz w:val="24"/>
          <w:szCs w:val="24"/>
          <w:lang w:eastAsia="zh-CN"/>
          <w14:textFill>
            <w14:solidFill>
              <w14:schemeClr w14:val="tx1"/>
            </w14:solidFill>
          </w14:textFill>
        </w:rPr>
        <w:t>审核</w:t>
      </w:r>
      <w:r>
        <w:rPr>
          <w:rFonts w:hint="default" w:ascii="Times New Roman" w:hAnsi="Times New Roman" w:eastAsia="宋体" w:cs="Times New Roman"/>
          <w:color w:val="000000" w:themeColor="text1"/>
          <w:sz w:val="24"/>
          <w:szCs w:val="24"/>
          <w14:textFill>
            <w14:solidFill>
              <w14:schemeClr w14:val="tx1"/>
            </w14:solidFill>
          </w14:textFill>
        </w:rPr>
        <w:t>。预留资金应设立专用账户，由相关部门监督使用。</w:t>
      </w:r>
    </w:p>
    <w:p w14:paraId="0A248BCB">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④</w:t>
      </w:r>
      <w:r>
        <w:rPr>
          <w:rFonts w:hint="default" w:ascii="Times New Roman" w:hAnsi="Times New Roman" w:eastAsia="宋体" w:cs="Times New Roman"/>
          <w:color w:val="000000" w:themeColor="text1"/>
          <w:sz w:val="24"/>
          <w:szCs w:val="24"/>
          <w14:textFill>
            <w14:solidFill>
              <w14:schemeClr w14:val="tx1"/>
            </w14:solidFill>
          </w14:textFill>
        </w:rPr>
        <w:t>加强矿山的管理，矿山的生态恢复是采掘行业环境保护工作的重要内容之一，企业领导一定要将矿山的生态恢复工作落到实处。首先要制定生态补偿设计方案、实施计划和进度安排，并给予资金上的保证。其次是建立相应的监督管理制度，负责生态恢复计划的落实，对生态恢复的效果及时进行检查和总结推广成绩，改正不足。</w:t>
      </w:r>
    </w:p>
    <w:p w14:paraId="5756A09A">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⑤</w:t>
      </w:r>
      <w:r>
        <w:rPr>
          <w:rFonts w:hint="default" w:ascii="Times New Roman" w:hAnsi="Times New Roman" w:eastAsia="宋体" w:cs="Times New Roman"/>
          <w:color w:val="000000" w:themeColor="text1"/>
          <w:sz w:val="24"/>
          <w:szCs w:val="24"/>
          <w14:textFill>
            <w14:solidFill>
              <w14:schemeClr w14:val="tx1"/>
            </w14:solidFill>
          </w14:textFill>
        </w:rPr>
        <w:t>矿山恢复费用，《土地复垦条例》第十五条指出</w:t>
      </w:r>
      <w:r>
        <w:rPr>
          <w:rFonts w:hint="eastAsia" w:ascii="Times New Roman" w:hAnsi="Times New Roman" w:cs="Times New Roman"/>
          <w:color w:val="000000" w:themeColor="text1"/>
          <w:sz w:val="24"/>
          <w:szCs w:val="24"/>
          <w:lang w:eastAsia="zh-CN"/>
          <w14:textFill>
            <w14:solidFill>
              <w14:schemeClr w14:val="tx1"/>
            </w14:solidFill>
          </w14:textFill>
        </w:rPr>
        <w:t>：土地</w:t>
      </w:r>
      <w:r>
        <w:rPr>
          <w:rFonts w:hint="default" w:ascii="Times New Roman" w:hAnsi="Times New Roman" w:eastAsia="宋体" w:cs="Times New Roman"/>
          <w:color w:val="000000" w:themeColor="text1"/>
          <w:sz w:val="24"/>
          <w:szCs w:val="24"/>
          <w14:textFill>
            <w14:solidFill>
              <w14:schemeClr w14:val="tx1"/>
            </w14:solidFill>
          </w14:textFill>
        </w:rPr>
        <w:t>复垦义务人应当将</w:t>
      </w:r>
      <w:r>
        <w:rPr>
          <w:rFonts w:hint="eastAsia" w:ascii="Times New Roman" w:hAnsi="Times New Roman" w:cs="Times New Roman"/>
          <w:color w:val="000000" w:themeColor="text1"/>
          <w:sz w:val="24"/>
          <w:szCs w:val="24"/>
          <w:lang w:eastAsia="zh-CN"/>
          <w14:textFill>
            <w14:solidFill>
              <w14:schemeClr w14:val="tx1"/>
            </w14:solidFill>
          </w14:textFill>
        </w:rPr>
        <w:t>土</w:t>
      </w:r>
      <w:r>
        <w:rPr>
          <w:rFonts w:hint="default" w:ascii="Times New Roman" w:hAnsi="Times New Roman" w:eastAsia="宋体" w:cs="Times New Roman"/>
          <w:color w:val="000000" w:themeColor="text1"/>
          <w:sz w:val="24"/>
          <w:szCs w:val="24"/>
          <w14:textFill>
            <w14:solidFill>
              <w14:schemeClr w14:val="tx1"/>
            </w14:solidFill>
          </w14:textFill>
        </w:rPr>
        <w:t>地复垦费用列入生产成本或者建设项目总投资。</w:t>
      </w:r>
    </w:p>
    <w:p w14:paraId="21F22933">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⑥矿山工业</w:t>
      </w:r>
      <w:r>
        <w:rPr>
          <w:rFonts w:hint="default" w:ascii="Times New Roman" w:hAnsi="Times New Roman" w:eastAsia="宋体" w:cs="Times New Roman"/>
          <w:color w:val="000000" w:themeColor="text1"/>
          <w:sz w:val="24"/>
          <w:szCs w:val="24"/>
          <w14:textFill>
            <w14:solidFill>
              <w14:schemeClr w14:val="tx1"/>
            </w14:solidFill>
          </w14:textFill>
        </w:rPr>
        <w:t>场地使用</w:t>
      </w:r>
      <w:r>
        <w:rPr>
          <w:rFonts w:hint="eastAsia" w:ascii="Times New Roman" w:hAnsi="Times New Roman" w:cs="Times New Roman"/>
          <w:color w:val="000000" w:themeColor="text1"/>
          <w:sz w:val="24"/>
          <w:szCs w:val="24"/>
          <w:lang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厂房</w:t>
      </w:r>
      <w:r>
        <w:rPr>
          <w:rFonts w:hint="eastAsia" w:ascii="Times New Roman" w:hAnsi="Times New Roman" w:cs="Times New Roman"/>
          <w:color w:val="000000" w:themeColor="text1"/>
          <w:sz w:val="24"/>
          <w:szCs w:val="24"/>
          <w:lang w:eastAsia="zh-CN"/>
          <w14:textFill>
            <w14:solidFill>
              <w14:schemeClr w14:val="tx1"/>
            </w14:solidFill>
          </w14:textFill>
        </w:rPr>
        <w:t>、生活区设施、管线等各项建（构）筑</w:t>
      </w:r>
      <w:r>
        <w:rPr>
          <w:rFonts w:hint="eastAsia" w:cs="Times New Roman"/>
          <w:color w:val="000000" w:themeColor="text1"/>
          <w:sz w:val="24"/>
          <w:szCs w:val="24"/>
          <w:lang w:eastAsia="zh-CN"/>
          <w14:textFill>
            <w14:solidFill>
              <w14:schemeClr w14:val="tx1"/>
            </w14:solidFill>
          </w14:textFill>
        </w:rPr>
        <w:t>物和基</w:t>
      </w:r>
      <w:r>
        <w:rPr>
          <w:rFonts w:hint="default" w:ascii="Times New Roman" w:hAnsi="Times New Roman" w:eastAsia="宋体" w:cs="Times New Roman"/>
          <w:color w:val="000000" w:themeColor="text1"/>
          <w:sz w:val="24"/>
          <w:szCs w:val="24"/>
          <w14:textFill>
            <w14:solidFill>
              <w14:schemeClr w14:val="tx1"/>
            </w14:solidFill>
          </w14:textFill>
        </w:rPr>
        <w:t>础设施应全部拆除，并进行景观和植被恢复，应开展污染场地调查、风险评估与修复治理。具体拆除类别如下</w:t>
      </w:r>
      <w:r>
        <w:rPr>
          <w:rFonts w:hint="eastAsia" w:ascii="Times New Roman" w:hAnsi="Times New Roman" w:cs="Times New Roman"/>
          <w:color w:val="000000" w:themeColor="text1"/>
          <w:sz w:val="24"/>
          <w:szCs w:val="24"/>
          <w:lang w:eastAsia="zh-CN"/>
          <w14:textFill>
            <w14:solidFill>
              <w14:schemeClr w14:val="tx1"/>
            </w14:solidFill>
          </w14:textFill>
        </w:rPr>
        <w:t>：</w:t>
      </w:r>
    </w:p>
    <w:p w14:paraId="2055E482">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拆除无后期需要的建</w:t>
      </w:r>
      <w:r>
        <w:rPr>
          <w:rFonts w:hint="eastAsia" w:ascii="Times New Roman" w:hAnsi="Times New Roman" w:cs="Times New Roman"/>
          <w:color w:val="000000" w:themeColor="text1"/>
          <w:sz w:val="24"/>
          <w:szCs w:val="24"/>
          <w:lang w:eastAsia="zh-CN"/>
          <w14:textFill>
            <w14:solidFill>
              <w14:schemeClr w14:val="tx1"/>
            </w14:solidFill>
          </w14:textFill>
        </w:rPr>
        <w:t>（构）</w:t>
      </w:r>
      <w:r>
        <w:rPr>
          <w:rFonts w:hint="default" w:ascii="Times New Roman" w:hAnsi="Times New Roman" w:eastAsia="宋体" w:cs="Times New Roman"/>
          <w:color w:val="000000" w:themeColor="text1"/>
          <w:sz w:val="24"/>
          <w:szCs w:val="24"/>
          <w14:textFill>
            <w14:solidFill>
              <w14:schemeClr w14:val="tx1"/>
            </w14:solidFill>
          </w14:textFill>
        </w:rPr>
        <w:t>筑物</w:t>
      </w:r>
      <w:r>
        <w:rPr>
          <w:rFonts w:hint="eastAsia" w:ascii="Times New Roman" w:hAnsi="Times New Roman" w:cs="Times New Roman"/>
          <w:color w:val="000000" w:themeColor="text1"/>
          <w:sz w:val="24"/>
          <w:szCs w:val="24"/>
          <w:lang w:eastAsia="zh-CN"/>
          <w14:textFill>
            <w14:solidFill>
              <w14:schemeClr w14:val="tx1"/>
            </w14:solidFill>
          </w14:textFill>
        </w:rPr>
        <w:t>；</w:t>
      </w:r>
    </w:p>
    <w:p w14:paraId="48525F0D">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将拆除产生的建筑垃圾等排至废石</w:t>
      </w:r>
      <w:r>
        <w:rPr>
          <w:rFonts w:hint="eastAsia" w:ascii="Times New Roman" w:hAnsi="Times New Roman" w:cs="Times New Roman"/>
          <w:color w:val="000000" w:themeColor="text1"/>
          <w:sz w:val="24"/>
          <w:szCs w:val="24"/>
          <w:lang w:eastAsia="zh-CN"/>
          <w14:textFill>
            <w14:solidFill>
              <w14:schemeClr w14:val="tx1"/>
            </w14:solidFill>
          </w14:textFill>
        </w:rPr>
        <w:t>堆</w:t>
      </w:r>
      <w:r>
        <w:rPr>
          <w:rFonts w:hint="default" w:ascii="Times New Roman" w:hAnsi="Times New Roman" w:eastAsia="宋体" w:cs="Times New Roman"/>
          <w:color w:val="000000" w:themeColor="text1"/>
          <w:sz w:val="24"/>
          <w:szCs w:val="24"/>
          <w14:textFill>
            <w14:solidFill>
              <w14:schemeClr w14:val="tx1"/>
            </w14:solidFill>
          </w14:textFill>
        </w:rPr>
        <w:t>场</w:t>
      </w:r>
      <w:r>
        <w:rPr>
          <w:rFonts w:hint="eastAsia" w:ascii="Times New Roman" w:hAnsi="Times New Roman" w:cs="Times New Roman"/>
          <w:color w:val="000000" w:themeColor="text1"/>
          <w:sz w:val="24"/>
          <w:szCs w:val="24"/>
          <w:lang w:eastAsia="zh-CN"/>
          <w14:textFill>
            <w14:solidFill>
              <w14:schemeClr w14:val="tx1"/>
            </w14:solidFill>
          </w14:textFill>
        </w:rPr>
        <w:t>；</w:t>
      </w:r>
    </w:p>
    <w:p w14:paraId="664C235E">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拆除矿山所有生产、生活设施，全场整理，自然恢复植被</w:t>
      </w:r>
      <w:r>
        <w:rPr>
          <w:rFonts w:hint="eastAsia" w:ascii="Times New Roman" w:hAnsi="Times New Roman" w:cs="Times New Roman"/>
          <w:color w:val="000000" w:themeColor="text1"/>
          <w:sz w:val="24"/>
          <w:szCs w:val="24"/>
          <w:lang w:eastAsia="zh-CN"/>
          <w14:textFill>
            <w14:solidFill>
              <w14:schemeClr w14:val="tx1"/>
            </w14:solidFill>
          </w14:textFill>
        </w:rPr>
        <w:t>。</w:t>
      </w:r>
    </w:p>
    <w:p w14:paraId="0901506F">
      <w:pPr>
        <w:pStyle w:val="29"/>
        <w:keepNext w:val="0"/>
        <w:keepLines w:val="0"/>
        <w:pageBreakBefore w:val="0"/>
        <w:widowControl/>
        <w:numPr>
          <w:ilvl w:val="0"/>
          <w:numId w:val="0"/>
        </w:numPr>
        <w:kinsoku/>
        <w:wordWrap/>
        <w:overflowPunct/>
        <w:topLinePunct w:val="0"/>
        <w:autoSpaceDE/>
        <w:autoSpaceDN/>
        <w:bidi w:val="0"/>
        <w:adjustRightInd/>
        <w:snapToGrid/>
        <w:spacing w:after="0" w:line="480" w:lineRule="exact"/>
        <w:ind w:firstLine="480" w:firstLineChars="200"/>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⑦</w:t>
      </w:r>
      <w:r>
        <w:rPr>
          <w:rFonts w:hint="default" w:ascii="Times New Roman" w:hAnsi="Times New Roman" w:eastAsia="宋体" w:cs="Times New Roman"/>
          <w:color w:val="000000" w:themeColor="text1"/>
          <w:sz w:val="24"/>
          <w:szCs w:val="24"/>
          <w14:textFill>
            <w14:solidFill>
              <w14:schemeClr w14:val="tx1"/>
            </w14:solidFill>
          </w14:textFill>
        </w:rPr>
        <w:t>闭矿后及时进行环境恢复治理</w:t>
      </w:r>
      <w:r>
        <w:rPr>
          <w:rFonts w:hint="eastAsia" w:cs="Times New Roman"/>
          <w:color w:val="000000" w:themeColor="text1"/>
          <w:sz w:val="24"/>
          <w:szCs w:val="24"/>
          <w:lang w:eastAsia="zh-CN"/>
          <w14:textFill>
            <w14:solidFill>
              <w14:schemeClr w14:val="tx1"/>
            </w14:solidFill>
          </w14:textFill>
        </w:rPr>
        <w:t>和土</w:t>
      </w:r>
      <w:r>
        <w:rPr>
          <w:rFonts w:hint="default" w:ascii="Times New Roman" w:hAnsi="Times New Roman" w:eastAsia="宋体" w:cs="Times New Roman"/>
          <w:color w:val="000000" w:themeColor="text1"/>
          <w:sz w:val="24"/>
          <w:szCs w:val="24"/>
          <w14:textFill>
            <w14:solidFill>
              <w14:schemeClr w14:val="tx1"/>
            </w14:solidFill>
          </w14:textFill>
        </w:rPr>
        <w:t>地恢复工作</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尽可能恢复矿区环境</w:t>
      </w:r>
      <w:r>
        <w:rPr>
          <w:rFonts w:hint="eastAsia" w:cs="Times New Roman"/>
          <w:color w:val="000000" w:themeColor="text1"/>
          <w:sz w:val="24"/>
          <w:szCs w:val="24"/>
          <w:lang w:eastAsia="zh-CN"/>
          <w14:textFill>
            <w14:solidFill>
              <w14:schemeClr w14:val="tx1"/>
            </w14:solidFill>
          </w14:textFill>
        </w:rPr>
        <w:t>和土</w:t>
      </w:r>
      <w:r>
        <w:rPr>
          <w:rFonts w:hint="default" w:ascii="Times New Roman" w:hAnsi="Times New Roman" w:eastAsia="宋体" w:cs="Times New Roman"/>
          <w:color w:val="000000" w:themeColor="text1"/>
          <w:sz w:val="24"/>
          <w:szCs w:val="24"/>
          <w14:textFill>
            <w14:solidFill>
              <w14:schemeClr w14:val="tx1"/>
            </w14:solidFill>
          </w14:textFill>
        </w:rPr>
        <w:t>地使用功能，保持矿山环境与周边生态环境相协调</w:t>
      </w:r>
      <w:r>
        <w:rPr>
          <w:rFonts w:hint="eastAsia" w:ascii="宋体" w:hAnsi="宋体" w:eastAsia="宋体" w:cs="宋体"/>
          <w:color w:val="000000" w:themeColor="text1"/>
          <w:sz w:val="24"/>
          <w:szCs w:val="24"/>
          <w:lang w:eastAsia="zh-CN"/>
          <w14:textFill>
            <w14:solidFill>
              <w14:schemeClr w14:val="tx1"/>
            </w14:solidFill>
          </w14:textFill>
        </w:rPr>
        <w:t>。</w:t>
      </w:r>
    </w:p>
    <w:p w14:paraId="5160189B">
      <w:pPr>
        <w:pStyle w:val="2"/>
        <w:pageBreakBefore w:val="0"/>
        <w:numPr>
          <w:ilvl w:val="0"/>
          <w:numId w:val="0"/>
        </w:numPr>
        <w:wordWrap/>
        <w:topLinePunct w:val="0"/>
        <w:autoSpaceDE w:val="0"/>
        <w:bidi w:val="0"/>
        <w:spacing w:before="180" w:beforeLines="-2147483648" w:beforeAutospacing="0" w:after="180" w:afterLines="-2147483648" w:afterAutospacing="0" w:line="720" w:lineRule="exact"/>
        <w:ind w:left="0" w:firstLine="0" w:firstLineChars="0"/>
        <w:rPr>
          <w:rFonts w:hint="eastAsia" w:cs="Times New Roman"/>
          <w:bCs/>
          <w:color w:val="000000" w:themeColor="text1"/>
          <w:sz w:val="36"/>
          <w:szCs w:val="44"/>
          <w:highlight w:val="none"/>
          <w:lang w:val="en-US" w:eastAsia="zh-CN"/>
          <w14:textFill>
            <w14:solidFill>
              <w14:schemeClr w14:val="tx1"/>
            </w14:solidFill>
          </w14:textFill>
        </w:rPr>
        <w:sectPr>
          <w:footerReference r:id="rId32" w:type="default"/>
          <w:footerReference r:id="rId33"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63CF15E">
      <w:pPr>
        <w:pStyle w:val="2"/>
        <w:pageBreakBefore w:val="0"/>
        <w:numPr>
          <w:ilvl w:val="0"/>
          <w:numId w:val="0"/>
        </w:numPr>
        <w:wordWrap/>
        <w:topLinePunct w:val="0"/>
        <w:autoSpaceDE w:val="0"/>
        <w:bidi w:val="0"/>
        <w:spacing w:before="180" w:beforeLines="-2147483648" w:beforeAutospacing="0" w:after="180" w:afterLines="-2147483648" w:afterAutospacing="0" w:line="720" w:lineRule="exact"/>
        <w:ind w:left="0" w:firstLine="0" w:firstLineChars="0"/>
        <w:rPr>
          <w:rFonts w:hint="default" w:ascii="Times New Roman" w:hAnsi="Times New Roman" w:eastAsia="宋体" w:cs="Times New Roman"/>
          <w:bCs/>
          <w:color w:val="000000" w:themeColor="text1"/>
          <w:sz w:val="36"/>
          <w:szCs w:val="44"/>
          <w:highlight w:val="none"/>
          <w:lang w:val="en-US" w:eastAsia="zh-CN"/>
          <w14:textFill>
            <w14:solidFill>
              <w14:schemeClr w14:val="tx1"/>
            </w14:solidFill>
          </w14:textFill>
        </w:rPr>
      </w:pPr>
      <w:bookmarkStart w:id="613" w:name="_Toc16834"/>
      <w:r>
        <w:rPr>
          <w:rFonts w:hint="eastAsia" w:cs="Times New Roman"/>
          <w:bCs/>
          <w:color w:val="000000" w:themeColor="text1"/>
          <w:sz w:val="36"/>
          <w:szCs w:val="44"/>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 w:val="36"/>
          <w:szCs w:val="44"/>
          <w:highlight w:val="none"/>
          <w:lang w:val="en-US" w:eastAsia="zh-CN"/>
          <w14:textFill>
            <w14:solidFill>
              <w14:schemeClr w14:val="tx1"/>
            </w14:solidFill>
          </w14:textFill>
        </w:rPr>
        <w:t>环境</w:t>
      </w:r>
      <w:r>
        <w:rPr>
          <w:rFonts w:hint="eastAsia" w:cs="Times New Roman"/>
          <w:bCs/>
          <w:color w:val="000000" w:themeColor="text1"/>
          <w:sz w:val="36"/>
          <w:szCs w:val="44"/>
          <w:highlight w:val="none"/>
          <w:lang w:val="en-US" w:eastAsia="zh-CN"/>
          <w14:textFill>
            <w14:solidFill>
              <w14:schemeClr w14:val="tx1"/>
            </w14:solidFill>
          </w14:textFill>
        </w:rPr>
        <w:t>影响</w:t>
      </w:r>
      <w:r>
        <w:rPr>
          <w:rFonts w:hint="default" w:ascii="Times New Roman" w:hAnsi="Times New Roman" w:eastAsia="宋体" w:cs="Times New Roman"/>
          <w:bCs/>
          <w:color w:val="000000" w:themeColor="text1"/>
          <w:sz w:val="36"/>
          <w:szCs w:val="44"/>
          <w:highlight w:val="none"/>
          <w:lang w:val="en-US" w:eastAsia="zh-CN"/>
          <w14:textFill>
            <w14:solidFill>
              <w14:schemeClr w14:val="tx1"/>
            </w14:solidFill>
          </w14:textFill>
        </w:rPr>
        <w:t>经济损益分析</w:t>
      </w:r>
      <w:bookmarkEnd w:id="613"/>
    </w:p>
    <w:p w14:paraId="1DC0E336">
      <w:pPr>
        <w:keepNext w:val="0"/>
        <w:keepLines w:val="0"/>
        <w:pageBreakBefore w:val="0"/>
        <w:widowControl w:val="0"/>
        <w:kinsoku/>
        <w:wordWrap/>
        <w:overflowPunct/>
        <w:topLinePunct w:val="0"/>
        <w:autoSpaceDE w:val="0"/>
        <w:autoSpaceDN/>
        <w:bidi w:val="0"/>
        <w:adjustRightInd/>
        <w:snapToGrid/>
        <w:spacing w:line="480" w:lineRule="exact"/>
        <w:ind w:firstLine="480"/>
        <w:textAlignment w:val="auto"/>
        <w:outlineLvl w:val="9"/>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环境经济损益分析是要对项目的社会效益、经济效益和环境效益进行分析，揭示三效益的依存关系，分析本项目既可发展经济又能实现环境保护的双重目的，使三效益协调统一，走可持续发展道路，即在发展经济的同时保护好环境，从而促进社会的稳定。</w:t>
      </w:r>
    </w:p>
    <w:p w14:paraId="4BCAE97B">
      <w:pPr>
        <w:pStyle w:val="3"/>
        <w:pageBreakBefore w:val="0"/>
        <w:numPr>
          <w:ilvl w:val="0"/>
          <w:numId w:val="0"/>
        </w:numPr>
        <w:wordWrap/>
        <w:topLinePunct w:val="0"/>
        <w:autoSpaceDE w:val="0"/>
        <w:bidi w:val="0"/>
        <w:spacing w:beforeLines="-2147483648" w:beforeAutospacing="0" w:afterLines="-2147483648" w:afterAutospacing="0"/>
        <w:rPr>
          <w:rFonts w:hint="default" w:ascii="Times New Roman" w:hAnsi="Times New Roman" w:eastAsia="宋体" w:cs="Times New Roman"/>
          <w:bCs/>
          <w:color w:val="000000" w:themeColor="text1"/>
          <w:szCs w:val="32"/>
          <w:highlight w:val="none"/>
          <w14:textFill>
            <w14:solidFill>
              <w14:schemeClr w14:val="tx1"/>
            </w14:solidFill>
          </w14:textFill>
        </w:rPr>
      </w:pPr>
      <w:bookmarkStart w:id="614" w:name="_Toc15671"/>
      <w:bookmarkStart w:id="615" w:name="_Toc421722177"/>
      <w:bookmarkStart w:id="616" w:name="_Toc482784717"/>
      <w:bookmarkStart w:id="617" w:name="_Toc82493571"/>
      <w:bookmarkStart w:id="618" w:name="_Toc21493"/>
      <w:bookmarkStart w:id="619" w:name="_Toc82493758"/>
      <w:bookmarkStart w:id="620" w:name="_Toc2627"/>
      <w:bookmarkStart w:id="621" w:name="_Toc318298676"/>
      <w:bookmarkStart w:id="622" w:name="_Toc3450"/>
      <w:bookmarkStart w:id="623" w:name="_Toc203469737"/>
      <w:bookmarkStart w:id="624" w:name="_Toc11286"/>
      <w:bookmarkStart w:id="625" w:name="_Toc18370"/>
      <w:bookmarkStart w:id="626" w:name="_Toc5706"/>
      <w:bookmarkStart w:id="627" w:name="_Toc83724510"/>
      <w:bookmarkStart w:id="628" w:name="_Toc118343952"/>
      <w:bookmarkStart w:id="629" w:name="_Toc211248390"/>
      <w:bookmarkStart w:id="630" w:name="_Toc24193"/>
      <w:bookmarkStart w:id="631" w:name="_Toc492457098"/>
      <w:bookmarkStart w:id="632" w:name="_Toc20866"/>
      <w:bookmarkStart w:id="633" w:name="_Toc8341"/>
      <w:bookmarkStart w:id="634" w:name="_Toc117162065"/>
      <w:bookmarkStart w:id="635" w:name="_Toc10714"/>
      <w:bookmarkStart w:id="636" w:name="_Toc20504"/>
      <w:r>
        <w:rPr>
          <w:rFonts w:hint="eastAsia" w:cs="Times New Roman"/>
          <w:bCs/>
          <w:color w:val="000000" w:themeColor="text1"/>
          <w:szCs w:val="32"/>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Cs w:val="32"/>
          <w:highlight w:val="none"/>
          <w14:textFill>
            <w14:solidFill>
              <w14:schemeClr w14:val="tx1"/>
            </w14:solidFill>
          </w14:textFill>
        </w:rPr>
        <w:t>.1社会效益分析</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2FC0282B">
      <w:pPr>
        <w:keepNext w:val="0"/>
        <w:keepLines w:val="0"/>
        <w:pageBreakBefore w:val="0"/>
        <w:widowControl w:val="0"/>
        <w:kinsoku/>
        <w:wordWrap/>
        <w:overflowPunct/>
        <w:topLinePunct w:val="0"/>
        <w:autoSpaceDE w:val="0"/>
        <w:autoSpaceDN/>
        <w:bidi w:val="0"/>
        <w:adjustRightInd/>
        <w:snapToGrid/>
        <w:spacing w:line="480" w:lineRule="exact"/>
        <w:ind w:firstLine="480"/>
        <w:textAlignment w:val="auto"/>
        <w:outlineLvl w:val="9"/>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项目</w:t>
      </w:r>
      <w:r>
        <w:rPr>
          <w:rFonts w:hint="eastAsia" w:cs="Times New Roman"/>
          <w:color w:val="000000" w:themeColor="text1"/>
          <w:kern w:val="0"/>
          <w:sz w:val="24"/>
          <w:highlight w:val="none"/>
          <w:lang w:val="zh-CN" w:eastAsia="zh-CN"/>
          <w14:textFill>
            <w14:solidFill>
              <w14:schemeClr w14:val="tx1"/>
            </w14:solidFill>
          </w14:textFill>
        </w:rPr>
        <w:t>运营</w:t>
      </w: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期，产生的社会效益主要表现为以下几个方面：</w:t>
      </w:r>
    </w:p>
    <w:p w14:paraId="31F65E7A">
      <w:pPr>
        <w:keepNext w:val="0"/>
        <w:keepLines w:val="0"/>
        <w:pageBreakBefore w:val="0"/>
        <w:widowControl w:val="0"/>
        <w:kinsoku/>
        <w:wordWrap/>
        <w:overflowPunct/>
        <w:topLinePunct w:val="0"/>
        <w:autoSpaceDE w:val="0"/>
        <w:autoSpaceDN/>
        <w:bidi w:val="0"/>
        <w:adjustRightInd/>
        <w:snapToGrid/>
        <w:spacing w:line="480" w:lineRule="exact"/>
        <w:ind w:firstLine="480"/>
        <w:textAlignment w:val="auto"/>
        <w:outlineLvl w:val="9"/>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（1）可充分利用当地矿物资源，符合国家的产业政策，促进地区经济的可持续发展。</w:t>
      </w:r>
    </w:p>
    <w:p w14:paraId="05F3A394">
      <w:pPr>
        <w:keepNext w:val="0"/>
        <w:keepLines w:val="0"/>
        <w:pageBreakBefore w:val="0"/>
        <w:widowControl w:val="0"/>
        <w:kinsoku/>
        <w:wordWrap/>
        <w:overflowPunct/>
        <w:topLinePunct w:val="0"/>
        <w:autoSpaceDE w:val="0"/>
        <w:autoSpaceDN/>
        <w:bidi w:val="0"/>
        <w:adjustRightInd/>
        <w:snapToGrid/>
        <w:spacing w:line="480" w:lineRule="exact"/>
        <w:ind w:firstLine="480"/>
        <w:textAlignment w:val="auto"/>
        <w:outlineLvl w:val="9"/>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（2）项目投产后，对临时性劳动力的需求增加，为当地的居民就业提供了机会，也为当地发展交通运输和第三产业提供了契机。</w:t>
      </w:r>
    </w:p>
    <w:p w14:paraId="55FB2EFB">
      <w:pPr>
        <w:keepNext w:val="0"/>
        <w:keepLines w:val="0"/>
        <w:pageBreakBefore w:val="0"/>
        <w:widowControl w:val="0"/>
        <w:kinsoku/>
        <w:wordWrap/>
        <w:overflowPunct/>
        <w:topLinePunct w:val="0"/>
        <w:autoSpaceDE w:val="0"/>
        <w:autoSpaceDN/>
        <w:bidi w:val="0"/>
        <w:adjustRightInd/>
        <w:snapToGrid/>
        <w:spacing w:line="480" w:lineRule="exact"/>
        <w:ind w:firstLine="480"/>
        <w:textAlignment w:val="auto"/>
        <w:outlineLvl w:val="9"/>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总之，项目的建设对改善当地居民的生活水平有着深远的意义。因此，本项目具有较好的社会效益。</w:t>
      </w:r>
    </w:p>
    <w:p w14:paraId="76775F79">
      <w:pPr>
        <w:pStyle w:val="3"/>
        <w:pageBreakBefore w:val="0"/>
        <w:numPr>
          <w:ilvl w:val="0"/>
          <w:numId w:val="0"/>
        </w:numPr>
        <w:wordWrap/>
        <w:topLinePunct w:val="0"/>
        <w:autoSpaceDE w:val="0"/>
        <w:bidi w:val="0"/>
        <w:spacing w:beforeLines="-2147483648" w:beforeAutospacing="0" w:afterLines="-2147483648" w:afterAutospacing="0"/>
        <w:rPr>
          <w:rFonts w:hint="default" w:ascii="Times New Roman" w:hAnsi="Times New Roman" w:eastAsia="宋体" w:cs="Times New Roman"/>
          <w:bCs/>
          <w:color w:val="000000" w:themeColor="text1"/>
          <w:szCs w:val="32"/>
          <w:highlight w:val="none"/>
          <w14:textFill>
            <w14:solidFill>
              <w14:schemeClr w14:val="tx1"/>
            </w14:solidFill>
          </w14:textFill>
        </w:rPr>
      </w:pPr>
      <w:bookmarkStart w:id="637" w:name="_Toc203469738"/>
      <w:bookmarkStart w:id="638" w:name="_Toc6988"/>
      <w:bookmarkStart w:id="639" w:name="_Toc6911"/>
      <w:bookmarkStart w:id="640" w:name="_Toc82493759"/>
      <w:bookmarkStart w:id="641" w:name="_Toc4684"/>
      <w:bookmarkStart w:id="642" w:name="_Toc15845"/>
      <w:bookmarkStart w:id="643" w:name="_Toc32718"/>
      <w:bookmarkStart w:id="644" w:name="_Toc82493572"/>
      <w:bookmarkStart w:id="645" w:name="_Toc421722178"/>
      <w:bookmarkStart w:id="646" w:name="_Toc83724511"/>
      <w:bookmarkStart w:id="647" w:name="_Toc211248391"/>
      <w:bookmarkStart w:id="648" w:name="_Toc318298677"/>
      <w:bookmarkStart w:id="649" w:name="_Toc30400"/>
      <w:bookmarkStart w:id="650" w:name="_Toc14362"/>
      <w:bookmarkStart w:id="651" w:name="_Toc19977"/>
      <w:bookmarkStart w:id="652" w:name="_Toc22163"/>
      <w:bookmarkStart w:id="653" w:name="_Toc482784718"/>
      <w:bookmarkStart w:id="654" w:name="_Toc492457099"/>
      <w:bookmarkStart w:id="655" w:name="_Toc25213"/>
      <w:bookmarkStart w:id="656" w:name="_Toc32343"/>
      <w:bookmarkStart w:id="657" w:name="_Toc11306"/>
      <w:r>
        <w:rPr>
          <w:rFonts w:hint="eastAsia" w:cs="Times New Roman"/>
          <w:bCs/>
          <w:color w:val="000000" w:themeColor="text1"/>
          <w:szCs w:val="32"/>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Cs w:val="32"/>
          <w:highlight w:val="none"/>
          <w14:textFill>
            <w14:solidFill>
              <w14:schemeClr w14:val="tx1"/>
            </w14:solidFill>
          </w14:textFill>
        </w:rPr>
        <w:t>.2经济效益分析</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75E86FB5">
      <w:pPr>
        <w:pStyle w:val="756"/>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bookmarkStart w:id="658" w:name="_Toc117162067"/>
      <w:bookmarkStart w:id="659" w:name="_Toc82493760"/>
      <w:bookmarkStart w:id="660" w:name="_Toc203469739"/>
      <w:bookmarkStart w:id="661" w:name="_Toc118343954"/>
      <w:bookmarkStart w:id="662" w:name="_Toc211248392"/>
      <w:bookmarkStart w:id="663" w:name="_Toc83724512"/>
      <w:bookmarkStart w:id="664" w:name="_Toc82493573"/>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采矿工程</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总投资</w:t>
      </w:r>
      <w:r>
        <w:rPr>
          <w:rFonts w:hint="eastAsia" w:cs="Times New Roman"/>
          <w:color w:val="000000" w:themeColor="text1"/>
          <w:sz w:val="24"/>
          <w:szCs w:val="24"/>
          <w:highlight w:val="none"/>
          <w:lang w:val="en-US" w:eastAsia="zh-CN"/>
          <w14:textFill>
            <w14:solidFill>
              <w14:schemeClr w14:val="tx1"/>
            </w14:solidFill>
          </w14:textFill>
        </w:rPr>
        <w:t>10333.89</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万元，</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开采规模60</w:t>
      </w:r>
      <w:r>
        <w:rPr>
          <w:rFonts w:hint="default" w:ascii="Times New Roman" w:hAnsi="Times New Roman" w:eastAsia="宋体" w:cs="Times New Roman"/>
          <w:color w:val="000000" w:themeColor="text1"/>
          <w:sz w:val="24"/>
          <w:szCs w:val="24"/>
          <w:highlight w:val="none"/>
          <w14:textFill>
            <w14:solidFill>
              <w14:schemeClr w14:val="tx1"/>
            </w14:solidFill>
          </w14:textFill>
        </w:rPr>
        <w:t>万t/a</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。企业在产品销售方面是完全可以得到满足的，会取得良好的经济效益。</w:t>
      </w:r>
    </w:p>
    <w:p w14:paraId="4839BE7B">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项目建设资金为企业自筹资金，盈利能力指标详见表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7.2-1。</w:t>
      </w:r>
    </w:p>
    <w:p w14:paraId="062C35FA">
      <w:pPr>
        <w:keepNext w:val="0"/>
        <w:keepLines w:val="0"/>
        <w:pageBreakBefore w:val="0"/>
        <w:widowControl w:val="0"/>
        <w:kinsoku/>
        <w:wordWrap/>
        <w:overflowPunct/>
        <w:topLinePunct w:val="0"/>
        <w:autoSpaceDE w:val="0"/>
        <w:autoSpaceDN/>
        <w:bidi w:val="0"/>
        <w:adjustRightInd/>
        <w:snapToGrid/>
        <w:spacing w:line="480" w:lineRule="exact"/>
        <w:jc w:val="center"/>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2"/>
          <w:highlight w:val="none"/>
          <w:lang w:val="zh-CN" w:eastAsia="zh-CN" w:bidi="ar-SA"/>
          <w14:textFill>
            <w14:solidFill>
              <w14:schemeClr w14:val="tx1"/>
            </w14:solidFill>
          </w14:textFill>
        </w:rPr>
        <w:t>表</w:t>
      </w:r>
      <w:r>
        <w:rPr>
          <w:rFonts w:hint="eastAsia" w:cs="Times New Roman"/>
          <w:b/>
          <w:bCs/>
          <w:color w:val="000000" w:themeColor="text1"/>
          <w:kern w:val="2"/>
          <w:sz w:val="24"/>
          <w:szCs w:val="22"/>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.2-1</w:t>
      </w:r>
      <w:r>
        <w:rPr>
          <w:rFonts w:hint="default" w:ascii="Times New Roman" w:hAnsi="Times New Roman" w:eastAsia="宋体" w:cs="Times New Roman"/>
          <w:b/>
          <w:bCs/>
          <w:color w:val="000000" w:themeColor="text1"/>
          <w:kern w:val="2"/>
          <w:sz w:val="24"/>
          <w:szCs w:val="22"/>
          <w:highlight w:val="none"/>
          <w:lang w:val="zh-CN" w:eastAsia="zh-CN" w:bidi="ar-SA"/>
          <w14:textFill>
            <w14:solidFill>
              <w14:schemeClr w14:val="tx1"/>
            </w14:solidFill>
          </w14:textFill>
        </w:rPr>
        <w:t xml:space="preserve">    项目盈利能力指标表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470"/>
        <w:gridCol w:w="779"/>
        <w:gridCol w:w="1304"/>
        <w:gridCol w:w="1536"/>
        <w:gridCol w:w="1616"/>
      </w:tblGrid>
      <w:tr w14:paraId="2A0E2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78" w:type="pct"/>
            <w:tcBorders>
              <w:tl2br w:val="nil"/>
              <w:tr2bl w:val="nil"/>
            </w:tcBorders>
            <w:vAlign w:val="center"/>
          </w:tcPr>
          <w:p w14:paraId="4BD623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449" w:type="pct"/>
            <w:tcBorders>
              <w:tl2br w:val="nil"/>
              <w:tr2bl w:val="nil"/>
            </w:tcBorders>
            <w:vAlign w:val="center"/>
          </w:tcPr>
          <w:p w14:paraId="2BB430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指标名称</w:t>
            </w:r>
          </w:p>
        </w:tc>
        <w:tc>
          <w:tcPr>
            <w:tcW w:w="457" w:type="pct"/>
            <w:tcBorders>
              <w:tl2br w:val="nil"/>
              <w:tr2bl w:val="nil"/>
            </w:tcBorders>
            <w:vAlign w:val="center"/>
          </w:tcPr>
          <w:p w14:paraId="47434F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1666" w:type="pct"/>
            <w:gridSpan w:val="2"/>
            <w:tcBorders>
              <w:tl2br w:val="nil"/>
              <w:tr2bl w:val="nil"/>
            </w:tcBorders>
            <w:vAlign w:val="center"/>
          </w:tcPr>
          <w:p w14:paraId="4FB78CF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指   标</w:t>
            </w:r>
          </w:p>
        </w:tc>
        <w:tc>
          <w:tcPr>
            <w:tcW w:w="948" w:type="pct"/>
            <w:tcBorders>
              <w:tl2br w:val="nil"/>
              <w:tr2bl w:val="nil"/>
            </w:tcBorders>
            <w:vAlign w:val="center"/>
          </w:tcPr>
          <w:p w14:paraId="356B9C2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备 注</w:t>
            </w:r>
          </w:p>
        </w:tc>
      </w:tr>
      <w:tr w14:paraId="0DECD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78" w:type="pct"/>
            <w:tcBorders>
              <w:tl2br w:val="nil"/>
              <w:tr2bl w:val="nil"/>
            </w:tcBorders>
            <w:vAlign w:val="center"/>
          </w:tcPr>
          <w:p w14:paraId="69D8A35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449" w:type="pct"/>
            <w:tcBorders>
              <w:tl2br w:val="nil"/>
              <w:tr2bl w:val="nil"/>
            </w:tcBorders>
            <w:vAlign w:val="center"/>
          </w:tcPr>
          <w:p w14:paraId="7052C9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投资净利润率</w:t>
            </w:r>
          </w:p>
        </w:tc>
        <w:tc>
          <w:tcPr>
            <w:tcW w:w="457" w:type="pct"/>
            <w:tcBorders>
              <w:tl2br w:val="nil"/>
              <w:tr2bl w:val="nil"/>
            </w:tcBorders>
            <w:vAlign w:val="center"/>
          </w:tcPr>
          <w:p w14:paraId="0FC6A49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666" w:type="pct"/>
            <w:gridSpan w:val="2"/>
            <w:tcBorders>
              <w:tl2br w:val="nil"/>
              <w:tr2bl w:val="nil"/>
            </w:tcBorders>
            <w:vAlign w:val="center"/>
          </w:tcPr>
          <w:p w14:paraId="296EE7AB">
            <w:pPr>
              <w:pStyle w:val="679"/>
              <w:keepNext w:val="0"/>
              <w:keepLines w:val="0"/>
              <w:pageBreakBefore w:val="0"/>
              <w:suppressLineNumbers w:val="0"/>
              <w:wordWrap/>
              <w:topLinePunct w:val="0"/>
              <w:autoSpaceDE w:val="0"/>
              <w:bidi w:val="0"/>
              <w:spacing w:before="46" w:after="0" w:afterAutospacing="0" w:line="240" w:lineRule="auto"/>
              <w:ind w:left="0" w:leftChars="0" w:right="1" w:rightChars="0" w:firstLine="0" w:firstLineChars="0"/>
              <w:jc w:val="center"/>
              <w:rPr>
                <w:rFonts w:hint="default" w:ascii="Times New Roman" w:hAnsi="Times New Roman" w:eastAsia="宋体" w:cs="Times New Roman"/>
                <w:color w:val="000000" w:themeColor="text1"/>
                <w:kern w:val="144"/>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9.28</w:t>
            </w:r>
          </w:p>
        </w:tc>
        <w:tc>
          <w:tcPr>
            <w:tcW w:w="948" w:type="pct"/>
            <w:tcBorders>
              <w:tl2br w:val="nil"/>
              <w:tr2bl w:val="nil"/>
            </w:tcBorders>
            <w:vAlign w:val="center"/>
          </w:tcPr>
          <w:p w14:paraId="6B5FEE7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平均</w:t>
            </w:r>
          </w:p>
        </w:tc>
      </w:tr>
      <w:tr w14:paraId="41B85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78" w:type="pct"/>
            <w:tcBorders>
              <w:tl2br w:val="nil"/>
              <w:tr2bl w:val="nil"/>
            </w:tcBorders>
            <w:vAlign w:val="center"/>
          </w:tcPr>
          <w:p w14:paraId="5A6004E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449" w:type="pct"/>
            <w:tcBorders>
              <w:tl2br w:val="nil"/>
              <w:tr2bl w:val="nil"/>
            </w:tcBorders>
            <w:vAlign w:val="center"/>
          </w:tcPr>
          <w:p w14:paraId="516CB27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总投资收益率</w:t>
            </w:r>
          </w:p>
        </w:tc>
        <w:tc>
          <w:tcPr>
            <w:tcW w:w="457" w:type="pct"/>
            <w:tcBorders>
              <w:tl2br w:val="nil"/>
              <w:tr2bl w:val="nil"/>
            </w:tcBorders>
            <w:vAlign w:val="center"/>
          </w:tcPr>
          <w:p w14:paraId="5BE35A0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666" w:type="pct"/>
            <w:gridSpan w:val="2"/>
            <w:tcBorders>
              <w:tl2br w:val="nil"/>
              <w:tr2bl w:val="nil"/>
            </w:tcBorders>
            <w:vAlign w:val="center"/>
          </w:tcPr>
          <w:p w14:paraId="25F09ECA">
            <w:pPr>
              <w:pStyle w:val="679"/>
              <w:keepNext w:val="0"/>
              <w:keepLines w:val="0"/>
              <w:pageBreakBefore w:val="0"/>
              <w:suppressLineNumbers w:val="0"/>
              <w:wordWrap/>
              <w:topLinePunct w:val="0"/>
              <w:autoSpaceDE w:val="0"/>
              <w:bidi w:val="0"/>
              <w:spacing w:before="46"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144"/>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12.37</w:t>
            </w:r>
          </w:p>
        </w:tc>
        <w:tc>
          <w:tcPr>
            <w:tcW w:w="948" w:type="pct"/>
            <w:tcBorders>
              <w:tl2br w:val="nil"/>
              <w:tr2bl w:val="nil"/>
            </w:tcBorders>
            <w:vAlign w:val="center"/>
          </w:tcPr>
          <w:p w14:paraId="58D4621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平均</w:t>
            </w:r>
          </w:p>
        </w:tc>
      </w:tr>
      <w:tr w14:paraId="6077D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78" w:type="pct"/>
            <w:tcBorders>
              <w:tl2br w:val="nil"/>
              <w:tr2bl w:val="nil"/>
            </w:tcBorders>
            <w:vAlign w:val="center"/>
          </w:tcPr>
          <w:p w14:paraId="2C417C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144"/>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144"/>
                <w:sz w:val="21"/>
                <w:szCs w:val="21"/>
                <w:highlight w:val="none"/>
                <w:lang w:val="en-US" w:eastAsia="zh-CN"/>
                <w14:textFill>
                  <w14:solidFill>
                    <w14:schemeClr w14:val="tx1"/>
                  </w14:solidFill>
                </w14:textFill>
              </w:rPr>
              <w:t>3</w:t>
            </w:r>
          </w:p>
        </w:tc>
        <w:tc>
          <w:tcPr>
            <w:tcW w:w="1449" w:type="pct"/>
            <w:tcBorders>
              <w:tl2br w:val="nil"/>
              <w:tr2bl w:val="nil"/>
            </w:tcBorders>
            <w:vAlign w:val="center"/>
          </w:tcPr>
          <w:p w14:paraId="0126FC5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融资前（全部投资）</w:t>
            </w:r>
          </w:p>
        </w:tc>
        <w:tc>
          <w:tcPr>
            <w:tcW w:w="457" w:type="pct"/>
            <w:tcBorders>
              <w:tl2br w:val="nil"/>
              <w:tr2bl w:val="nil"/>
            </w:tcBorders>
            <w:vAlign w:val="center"/>
          </w:tcPr>
          <w:p w14:paraId="219A88C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p>
        </w:tc>
        <w:tc>
          <w:tcPr>
            <w:tcW w:w="765" w:type="pct"/>
            <w:tcBorders>
              <w:tl2br w:val="nil"/>
              <w:tr2bl w:val="nil"/>
            </w:tcBorders>
            <w:vAlign w:val="center"/>
          </w:tcPr>
          <w:p w14:paraId="2095761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所得税前</w:t>
            </w:r>
          </w:p>
        </w:tc>
        <w:tc>
          <w:tcPr>
            <w:tcW w:w="901" w:type="pct"/>
            <w:tcBorders>
              <w:tl2br w:val="nil"/>
              <w:tr2bl w:val="nil"/>
            </w:tcBorders>
            <w:vAlign w:val="center"/>
          </w:tcPr>
          <w:p w14:paraId="6FE6C1C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所得税后</w:t>
            </w:r>
          </w:p>
        </w:tc>
        <w:tc>
          <w:tcPr>
            <w:tcW w:w="948" w:type="pct"/>
            <w:tcBorders>
              <w:tl2br w:val="nil"/>
              <w:tr2bl w:val="nil"/>
            </w:tcBorders>
            <w:vAlign w:val="center"/>
          </w:tcPr>
          <w:p w14:paraId="5DE0EBC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p>
        </w:tc>
      </w:tr>
      <w:tr w14:paraId="5A20C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78" w:type="pct"/>
            <w:tcBorders>
              <w:tl2br w:val="nil"/>
              <w:tr2bl w:val="nil"/>
            </w:tcBorders>
            <w:vAlign w:val="center"/>
          </w:tcPr>
          <w:p w14:paraId="3DFEDB9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144"/>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144"/>
                <w:sz w:val="21"/>
                <w:szCs w:val="21"/>
                <w:highlight w:val="none"/>
                <w:lang w:val="en-US" w:eastAsia="zh-CN"/>
                <w14:textFill>
                  <w14:solidFill>
                    <w14:schemeClr w14:val="tx1"/>
                  </w14:solidFill>
                </w14:textFill>
              </w:rPr>
              <w:t>4</w:t>
            </w:r>
          </w:p>
        </w:tc>
        <w:tc>
          <w:tcPr>
            <w:tcW w:w="1449" w:type="pct"/>
            <w:tcBorders>
              <w:tl2br w:val="nil"/>
              <w:tr2bl w:val="nil"/>
            </w:tcBorders>
            <w:vAlign w:val="center"/>
          </w:tcPr>
          <w:p w14:paraId="7DE27B6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财务内部收益率</w:t>
            </w:r>
          </w:p>
        </w:tc>
        <w:tc>
          <w:tcPr>
            <w:tcW w:w="457" w:type="pct"/>
            <w:tcBorders>
              <w:tl2br w:val="nil"/>
              <w:tr2bl w:val="nil"/>
            </w:tcBorders>
            <w:vAlign w:val="center"/>
          </w:tcPr>
          <w:p w14:paraId="64676DF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65" w:type="pct"/>
            <w:tcBorders>
              <w:tl2br w:val="nil"/>
              <w:tr2bl w:val="nil"/>
            </w:tcBorders>
            <w:vAlign w:val="center"/>
          </w:tcPr>
          <w:p w14:paraId="0AA17369">
            <w:pPr>
              <w:pStyle w:val="679"/>
              <w:keepNext w:val="0"/>
              <w:keepLines w:val="0"/>
              <w:pageBreakBefore w:val="0"/>
              <w:suppressLineNumbers w:val="0"/>
              <w:wordWrap/>
              <w:topLinePunct w:val="0"/>
              <w:autoSpaceDE w:val="0"/>
              <w:bidi w:val="0"/>
              <w:spacing w:before="47"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17.72</w:t>
            </w:r>
          </w:p>
        </w:tc>
        <w:tc>
          <w:tcPr>
            <w:tcW w:w="901" w:type="pct"/>
            <w:tcBorders>
              <w:tl2br w:val="nil"/>
              <w:tr2bl w:val="nil"/>
            </w:tcBorders>
            <w:vAlign w:val="center"/>
          </w:tcPr>
          <w:p w14:paraId="08382B97">
            <w:pPr>
              <w:pStyle w:val="679"/>
              <w:keepNext w:val="0"/>
              <w:keepLines w:val="0"/>
              <w:pageBreakBefore w:val="0"/>
              <w:suppressLineNumbers w:val="0"/>
              <w:wordWrap/>
              <w:topLinePunct w:val="0"/>
              <w:autoSpaceDE w:val="0"/>
              <w:bidi w:val="0"/>
              <w:spacing w:before="47"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12.29</w:t>
            </w:r>
          </w:p>
        </w:tc>
        <w:tc>
          <w:tcPr>
            <w:tcW w:w="948" w:type="pct"/>
            <w:tcBorders>
              <w:tl2br w:val="nil"/>
              <w:tr2bl w:val="nil"/>
            </w:tcBorders>
            <w:vAlign w:val="center"/>
          </w:tcPr>
          <w:p w14:paraId="78FAF06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21D6B8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78" w:type="pct"/>
            <w:tcBorders>
              <w:tl2br w:val="nil"/>
              <w:tr2bl w:val="nil"/>
            </w:tcBorders>
            <w:vAlign w:val="center"/>
          </w:tcPr>
          <w:p w14:paraId="5E37182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144"/>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144"/>
                <w:sz w:val="21"/>
                <w:szCs w:val="21"/>
                <w:highlight w:val="none"/>
                <w:lang w:val="en-US" w:eastAsia="zh-CN"/>
                <w14:textFill>
                  <w14:solidFill>
                    <w14:schemeClr w14:val="tx1"/>
                  </w14:solidFill>
                </w14:textFill>
              </w:rPr>
              <w:t>5</w:t>
            </w:r>
          </w:p>
        </w:tc>
        <w:tc>
          <w:tcPr>
            <w:tcW w:w="1449" w:type="pct"/>
            <w:tcBorders>
              <w:tl2br w:val="nil"/>
              <w:tr2bl w:val="nil"/>
            </w:tcBorders>
            <w:vAlign w:val="center"/>
          </w:tcPr>
          <w:p w14:paraId="0C2DDA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财务净现值（Ic=10%）</w:t>
            </w:r>
          </w:p>
        </w:tc>
        <w:tc>
          <w:tcPr>
            <w:tcW w:w="457" w:type="pct"/>
            <w:tcBorders>
              <w:tl2br w:val="nil"/>
              <w:tr2bl w:val="nil"/>
            </w:tcBorders>
            <w:vAlign w:val="center"/>
          </w:tcPr>
          <w:p w14:paraId="1DB3BAA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万元</w:t>
            </w:r>
          </w:p>
        </w:tc>
        <w:tc>
          <w:tcPr>
            <w:tcW w:w="765" w:type="pct"/>
            <w:tcBorders>
              <w:tl2br w:val="nil"/>
              <w:tr2bl w:val="nil"/>
            </w:tcBorders>
            <w:vAlign w:val="center"/>
          </w:tcPr>
          <w:p w14:paraId="1AABFC17">
            <w:pPr>
              <w:pStyle w:val="679"/>
              <w:keepNext w:val="0"/>
              <w:keepLines w:val="0"/>
              <w:pageBreakBefore w:val="0"/>
              <w:suppressLineNumbers w:val="0"/>
              <w:wordWrap/>
              <w:topLinePunct w:val="0"/>
              <w:autoSpaceDE w:val="0"/>
              <w:bidi w:val="0"/>
              <w:spacing w:before="47"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6808.09</w:t>
            </w:r>
          </w:p>
        </w:tc>
        <w:tc>
          <w:tcPr>
            <w:tcW w:w="901" w:type="pct"/>
            <w:tcBorders>
              <w:tl2br w:val="nil"/>
              <w:tr2bl w:val="nil"/>
            </w:tcBorders>
            <w:vAlign w:val="center"/>
          </w:tcPr>
          <w:p w14:paraId="6262FC0E">
            <w:pPr>
              <w:pStyle w:val="679"/>
              <w:keepNext w:val="0"/>
              <w:keepLines w:val="0"/>
              <w:pageBreakBefore w:val="0"/>
              <w:suppressLineNumbers w:val="0"/>
              <w:wordWrap/>
              <w:topLinePunct w:val="0"/>
              <w:autoSpaceDE w:val="0"/>
              <w:bidi w:val="0"/>
              <w:spacing w:before="47"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1825.72</w:t>
            </w:r>
          </w:p>
        </w:tc>
        <w:tc>
          <w:tcPr>
            <w:tcW w:w="948" w:type="pct"/>
            <w:tcBorders>
              <w:tl2br w:val="nil"/>
              <w:tr2bl w:val="nil"/>
            </w:tcBorders>
            <w:vAlign w:val="center"/>
          </w:tcPr>
          <w:p w14:paraId="2DF10A8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40BA5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78" w:type="pct"/>
            <w:tcBorders>
              <w:tl2br w:val="nil"/>
              <w:tr2bl w:val="nil"/>
            </w:tcBorders>
            <w:vAlign w:val="center"/>
          </w:tcPr>
          <w:p w14:paraId="31EA90E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144"/>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144"/>
                <w:sz w:val="21"/>
                <w:szCs w:val="21"/>
                <w:highlight w:val="none"/>
                <w:lang w:val="en-US" w:eastAsia="zh-CN"/>
                <w14:textFill>
                  <w14:solidFill>
                    <w14:schemeClr w14:val="tx1"/>
                  </w14:solidFill>
                </w14:textFill>
              </w:rPr>
              <w:t>6</w:t>
            </w:r>
          </w:p>
        </w:tc>
        <w:tc>
          <w:tcPr>
            <w:tcW w:w="1449" w:type="pct"/>
            <w:tcBorders>
              <w:tl2br w:val="nil"/>
              <w:tr2bl w:val="nil"/>
            </w:tcBorders>
            <w:vAlign w:val="center"/>
          </w:tcPr>
          <w:p w14:paraId="2C0E48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投资回收期</w:t>
            </w:r>
          </w:p>
        </w:tc>
        <w:tc>
          <w:tcPr>
            <w:tcW w:w="457" w:type="pct"/>
            <w:tcBorders>
              <w:tl2br w:val="nil"/>
              <w:tr2bl w:val="nil"/>
            </w:tcBorders>
            <w:vAlign w:val="center"/>
          </w:tcPr>
          <w:p w14:paraId="5387C2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w:t>
            </w:r>
          </w:p>
        </w:tc>
        <w:tc>
          <w:tcPr>
            <w:tcW w:w="765" w:type="pct"/>
            <w:tcBorders>
              <w:tl2br w:val="nil"/>
              <w:tr2bl w:val="nil"/>
            </w:tcBorders>
            <w:vAlign w:val="center"/>
          </w:tcPr>
          <w:p w14:paraId="2D829923">
            <w:pPr>
              <w:pStyle w:val="679"/>
              <w:keepNext w:val="0"/>
              <w:keepLines w:val="0"/>
              <w:pageBreakBefore w:val="0"/>
              <w:suppressLineNumbers w:val="0"/>
              <w:wordWrap/>
              <w:topLinePunct w:val="0"/>
              <w:autoSpaceDE w:val="0"/>
              <w:bidi w:val="0"/>
              <w:spacing w:before="46"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94</w:t>
            </w:r>
          </w:p>
        </w:tc>
        <w:tc>
          <w:tcPr>
            <w:tcW w:w="901" w:type="pct"/>
            <w:tcBorders>
              <w:tl2br w:val="nil"/>
              <w:tr2bl w:val="nil"/>
            </w:tcBorders>
            <w:vAlign w:val="center"/>
          </w:tcPr>
          <w:p w14:paraId="1FBE6942">
            <w:pPr>
              <w:pStyle w:val="679"/>
              <w:keepNext w:val="0"/>
              <w:keepLines w:val="0"/>
              <w:pageBreakBefore w:val="0"/>
              <w:suppressLineNumbers w:val="0"/>
              <w:wordWrap/>
              <w:topLinePunct w:val="0"/>
              <w:autoSpaceDE w:val="0"/>
              <w:bidi w:val="0"/>
              <w:spacing w:before="46"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6.93</w:t>
            </w:r>
          </w:p>
        </w:tc>
        <w:tc>
          <w:tcPr>
            <w:tcW w:w="948" w:type="pct"/>
            <w:tcBorders>
              <w:tl2br w:val="nil"/>
              <w:tr2bl w:val="nil"/>
            </w:tcBorders>
            <w:vAlign w:val="center"/>
          </w:tcPr>
          <w:p w14:paraId="0892791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144"/>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含建设期</w:t>
            </w:r>
          </w:p>
        </w:tc>
      </w:tr>
    </w:tbl>
    <w:p w14:paraId="7D2C61E2">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由上表</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.2-1可以看出，</w:t>
      </w:r>
      <w:r>
        <w:rPr>
          <w:rFonts w:hint="eastAsia"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的投资利润率较高，项目的建设将会为企业带来较大的投资回报，因此，总体来看，本项目建设在经济方面是可行的，具有较高的投资价值。</w:t>
      </w:r>
    </w:p>
    <w:p w14:paraId="543DE466">
      <w:pPr>
        <w:pStyle w:val="3"/>
        <w:pageBreakBefore w:val="0"/>
        <w:numPr>
          <w:ilvl w:val="0"/>
          <w:numId w:val="0"/>
        </w:numPr>
        <w:wordWrap/>
        <w:topLinePunct w:val="0"/>
        <w:autoSpaceDE w:val="0"/>
        <w:bidi w:val="0"/>
        <w:spacing w:beforeLines="-2147483648" w:beforeAutospacing="0" w:afterLines="-2147483648" w:afterAutospacing="0"/>
        <w:rPr>
          <w:rFonts w:hint="default" w:ascii="Times New Roman" w:hAnsi="Times New Roman" w:eastAsia="宋体" w:cs="Times New Roman"/>
          <w:bCs/>
          <w:color w:val="000000" w:themeColor="text1"/>
          <w:szCs w:val="32"/>
          <w:highlight w:val="none"/>
          <w14:textFill>
            <w14:solidFill>
              <w14:schemeClr w14:val="tx1"/>
            </w14:solidFill>
          </w14:textFill>
        </w:rPr>
      </w:pPr>
      <w:bookmarkStart w:id="665" w:name="_Toc421722179"/>
      <w:bookmarkStart w:id="666" w:name="_Toc24546"/>
      <w:bookmarkStart w:id="667" w:name="_Toc27933"/>
      <w:bookmarkStart w:id="668" w:name="_Toc21905"/>
      <w:bookmarkStart w:id="669" w:name="_Toc17935"/>
      <w:bookmarkStart w:id="670" w:name="_Toc318298678"/>
      <w:bookmarkStart w:id="671" w:name="_Toc11074"/>
      <w:bookmarkStart w:id="672" w:name="_Toc492457100"/>
      <w:bookmarkStart w:id="673" w:name="_Toc582"/>
      <w:bookmarkStart w:id="674" w:name="_Toc26470"/>
      <w:bookmarkStart w:id="675" w:name="_Toc4830"/>
      <w:bookmarkStart w:id="676" w:name="_Toc482784719"/>
      <w:bookmarkStart w:id="677" w:name="_Toc19369"/>
      <w:bookmarkStart w:id="678" w:name="_Toc28883"/>
      <w:bookmarkStart w:id="679" w:name="_Toc14255"/>
      <w:bookmarkStart w:id="680" w:name="_Toc16472"/>
      <w:r>
        <w:rPr>
          <w:rFonts w:hint="eastAsia" w:cs="Times New Roman"/>
          <w:bCs/>
          <w:color w:val="000000" w:themeColor="text1"/>
          <w:szCs w:val="32"/>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Cs w:val="32"/>
          <w:highlight w:val="none"/>
          <w14:textFill>
            <w14:solidFill>
              <w14:schemeClr w14:val="tx1"/>
            </w14:solidFill>
          </w14:textFill>
        </w:rPr>
        <w:t>.3环境损益分析</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5249ED41">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依据《建设项目环境保护设计规定》中的有关要求，建设项目环保设施主要由以下</w:t>
      </w:r>
      <w:r>
        <w:rPr>
          <w:rFonts w:hint="default" w:ascii="Times New Roman" w:hAnsi="Times New Roman" w:cs="Times New Roman"/>
          <w:color w:val="000000" w:themeColor="text1"/>
          <w:kern w:val="0"/>
          <w:sz w:val="24"/>
          <w:highlight w:val="none"/>
          <w:lang w:val="zh-CN" w:eastAsia="zh-CN"/>
          <w14:textFill>
            <w14:solidFill>
              <w14:schemeClr w14:val="tx1"/>
            </w14:solidFill>
          </w14:textFill>
        </w:rPr>
        <w:t>部分</w:t>
      </w: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组成：凡属污染防治和环境保护所需的设施和装置；生产工艺需要，又为环境保护服务的设施；为保证生产有良好的环境所采取的防尘、绿化设施等。</w:t>
      </w:r>
    </w:p>
    <w:p w14:paraId="0C30CCD6">
      <w:pPr>
        <w:keepNext w:val="0"/>
        <w:keepLines w:val="0"/>
        <w:pageBreakBefore w:val="0"/>
        <w:widowControl w:val="0"/>
        <w:kinsoku/>
        <w:wordWrap/>
        <w:overflowPunct/>
        <w:topLinePunct w:val="0"/>
        <w:autoSpaceDE w:val="0"/>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本项目环保投资主要包括废水治理、废气治理、</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废石堆场</w:t>
      </w: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治理等环境工程投资以及绿化等费用，环保投资估算见表</w:t>
      </w:r>
      <w:r>
        <w:rPr>
          <w:rFonts w:hint="eastAsia" w:cs="Times New Roman"/>
          <w:color w:val="000000" w:themeColor="text1"/>
          <w:kern w:val="0"/>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highlight w:val="none"/>
          <w:lang w:val="zh-CN" w:eastAsia="zh-CN"/>
          <w14:textFill>
            <w14:solidFill>
              <w14:schemeClr w14:val="tx1"/>
            </w14:solidFill>
          </w14:textFill>
        </w:rPr>
        <w:t>。</w:t>
      </w:r>
    </w:p>
    <w:p w14:paraId="634FF130">
      <w:pPr>
        <w:keepNext w:val="0"/>
        <w:keepLines w:val="0"/>
        <w:pageBreakBefore w:val="0"/>
        <w:widowControl w:val="0"/>
        <w:kinsoku/>
        <w:wordWrap/>
        <w:overflowPunct/>
        <w:topLinePunct w:val="0"/>
        <w:autoSpaceDE w:val="0"/>
        <w:autoSpaceDN/>
        <w:bidi w:val="0"/>
        <w:adjustRightInd/>
        <w:snapToGrid/>
        <w:spacing w:line="480" w:lineRule="exact"/>
        <w:jc w:val="center"/>
        <w:textAlignment w:val="auto"/>
        <w:rPr>
          <w:rFonts w:hint="default" w:ascii="Times New Roman" w:hAnsi="Times New Roman" w:eastAsia="宋体" w:cs="Times New Roman"/>
          <w:b/>
          <w:bCs/>
          <w:color w:val="000000" w:themeColor="text1"/>
          <w:kern w:val="2"/>
          <w:sz w:val="24"/>
          <w:szCs w:val="22"/>
          <w:highlight w:val="none"/>
          <w:lang w:val="zh-CN"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2"/>
          <w:highlight w:val="none"/>
          <w:lang w:val="zh-CN"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2"/>
          <w:highlight w:val="none"/>
          <w:lang w:val="zh-CN"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22"/>
          <w:highlight w:val="none"/>
          <w:lang w:val="zh-CN"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2"/>
          <w:highlight w:val="none"/>
          <w:lang w:val="zh-CN" w:eastAsia="zh-CN" w:bidi="ar-SA"/>
          <w14:textFill>
            <w14:solidFill>
              <w14:schemeClr w14:val="tx1"/>
            </w14:solidFill>
          </w14:textFill>
        </w:rPr>
        <w:t>环保投资一览表</w:t>
      </w:r>
    </w:p>
    <w:tbl>
      <w:tblPr>
        <w:tblStyle w:val="7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504"/>
        <w:gridCol w:w="5205"/>
        <w:gridCol w:w="1343"/>
      </w:tblGrid>
      <w:tr w14:paraId="22433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tblHeader/>
          <w:jc w:val="center"/>
        </w:trPr>
        <w:tc>
          <w:tcPr>
            <w:tcW w:w="1974" w:type="dxa"/>
            <w:gridSpan w:val="2"/>
            <w:tcBorders>
              <w:tl2br w:val="nil"/>
              <w:tr2bl w:val="nil"/>
            </w:tcBorders>
            <w:noWrap w:val="0"/>
            <w:vAlign w:val="center"/>
          </w:tcPr>
          <w:p w14:paraId="37ACCFE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bookmarkStart w:id="681" w:name="_Toc19525"/>
            <w:bookmarkStart w:id="682" w:name="_Toc83724513"/>
            <w:bookmarkStart w:id="683" w:name="_Toc15096"/>
            <w:bookmarkStart w:id="684" w:name="_Toc82493761"/>
            <w:bookmarkStart w:id="685" w:name="_Toc27272"/>
            <w:bookmarkStart w:id="686" w:name="_Toc18087"/>
            <w:bookmarkStart w:id="687" w:name="_Toc492457101"/>
            <w:bookmarkStart w:id="688" w:name="_Toc211248393"/>
            <w:bookmarkStart w:id="689" w:name="_Toc31803"/>
            <w:bookmarkStart w:id="690" w:name="_Toc482784720"/>
            <w:bookmarkStart w:id="691" w:name="_Toc203469740"/>
            <w:bookmarkStart w:id="692" w:name="_Toc22789"/>
            <w:bookmarkStart w:id="693" w:name="_Toc26337"/>
            <w:bookmarkStart w:id="694" w:name="_Toc82493574"/>
            <w:bookmarkStart w:id="695" w:name="_Toc421722180"/>
            <w:bookmarkStart w:id="696" w:name="_Toc31895"/>
            <w:bookmarkStart w:id="697" w:name="_Toc318298679"/>
            <w:bookmarkStart w:id="698" w:name="_Toc9317"/>
            <w:bookmarkStart w:id="699" w:name="_Toc7623"/>
            <w:bookmarkStart w:id="700" w:name="_Toc9228"/>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类别</w:t>
            </w:r>
          </w:p>
        </w:tc>
        <w:tc>
          <w:tcPr>
            <w:tcW w:w="5205" w:type="dxa"/>
            <w:tcBorders>
              <w:tl2br w:val="nil"/>
              <w:tr2bl w:val="nil"/>
            </w:tcBorders>
            <w:noWrap w:val="0"/>
            <w:vAlign w:val="center"/>
          </w:tcPr>
          <w:p w14:paraId="0BECACDD">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治理措施内容</w:t>
            </w:r>
          </w:p>
        </w:tc>
        <w:tc>
          <w:tcPr>
            <w:tcW w:w="1343" w:type="dxa"/>
            <w:tcBorders>
              <w:tl2br w:val="nil"/>
              <w:tr2bl w:val="nil"/>
            </w:tcBorders>
            <w:noWrap w:val="0"/>
            <w:vAlign w:val="center"/>
          </w:tcPr>
          <w:p w14:paraId="6960858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投资（万元）</w:t>
            </w:r>
          </w:p>
        </w:tc>
      </w:tr>
      <w:tr w14:paraId="79819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0" w:type="dxa"/>
            <w:vMerge w:val="restart"/>
            <w:tcBorders>
              <w:tl2br w:val="nil"/>
              <w:tr2bl w:val="nil"/>
            </w:tcBorders>
            <w:noWrap w:val="0"/>
            <w:vAlign w:val="center"/>
          </w:tcPr>
          <w:p w14:paraId="0D4A65D9">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施</w:t>
            </w:r>
          </w:p>
          <w:p w14:paraId="01A8EC1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w:t>
            </w:r>
          </w:p>
          <w:p w14:paraId="1E7F777B">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期</w:t>
            </w:r>
          </w:p>
        </w:tc>
        <w:tc>
          <w:tcPr>
            <w:tcW w:w="1504" w:type="dxa"/>
            <w:vMerge w:val="restart"/>
            <w:tcBorders>
              <w:tl2br w:val="nil"/>
              <w:tr2bl w:val="nil"/>
            </w:tcBorders>
            <w:noWrap w:val="0"/>
            <w:vAlign w:val="center"/>
          </w:tcPr>
          <w:p w14:paraId="17CFD3DB">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大气防治</w:t>
            </w:r>
          </w:p>
        </w:tc>
        <w:tc>
          <w:tcPr>
            <w:tcW w:w="5205" w:type="dxa"/>
            <w:tcBorders>
              <w:tl2br w:val="nil"/>
              <w:tr2bl w:val="nil"/>
            </w:tcBorders>
            <w:noWrap w:val="0"/>
            <w:vAlign w:val="center"/>
          </w:tcPr>
          <w:p w14:paraId="1C91794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施工场地、道路洒水</w:t>
            </w:r>
          </w:p>
        </w:tc>
        <w:tc>
          <w:tcPr>
            <w:tcW w:w="1343" w:type="dxa"/>
            <w:tcBorders>
              <w:tl2br w:val="nil"/>
              <w:tr2bl w:val="nil"/>
            </w:tcBorders>
            <w:noWrap w:val="0"/>
            <w:vAlign w:val="center"/>
          </w:tcPr>
          <w:p w14:paraId="65164F4E">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w:t>
            </w:r>
          </w:p>
        </w:tc>
      </w:tr>
      <w:tr w14:paraId="51670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0" w:type="dxa"/>
            <w:vMerge w:val="continue"/>
            <w:tcBorders>
              <w:tl2br w:val="nil"/>
              <w:tr2bl w:val="nil"/>
            </w:tcBorders>
            <w:noWrap w:val="0"/>
            <w:vAlign w:val="center"/>
          </w:tcPr>
          <w:p w14:paraId="44E1AF45">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continue"/>
            <w:tcBorders>
              <w:tl2br w:val="nil"/>
              <w:tr2bl w:val="nil"/>
            </w:tcBorders>
            <w:noWrap w:val="0"/>
            <w:vAlign w:val="center"/>
          </w:tcPr>
          <w:p w14:paraId="54D5695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5205" w:type="dxa"/>
            <w:tcBorders>
              <w:tl2br w:val="nil"/>
              <w:tr2bl w:val="nil"/>
            </w:tcBorders>
            <w:noWrap w:val="0"/>
            <w:vAlign w:val="center"/>
          </w:tcPr>
          <w:p w14:paraId="7F8DAAE9">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施工土方、建设材料苫盖</w:t>
            </w:r>
          </w:p>
        </w:tc>
        <w:tc>
          <w:tcPr>
            <w:tcW w:w="1343" w:type="dxa"/>
            <w:tcBorders>
              <w:tl2br w:val="nil"/>
              <w:tr2bl w:val="nil"/>
            </w:tcBorders>
            <w:noWrap w:val="0"/>
            <w:vAlign w:val="center"/>
          </w:tcPr>
          <w:p w14:paraId="309D763D">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12</w:t>
            </w:r>
          </w:p>
        </w:tc>
      </w:tr>
      <w:tr w14:paraId="2559E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0" w:type="dxa"/>
            <w:vMerge w:val="continue"/>
            <w:tcBorders>
              <w:tl2br w:val="nil"/>
              <w:tr2bl w:val="nil"/>
            </w:tcBorders>
            <w:noWrap w:val="0"/>
            <w:vAlign w:val="center"/>
          </w:tcPr>
          <w:p w14:paraId="0033EEE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68D74D7E">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水环境</w:t>
            </w:r>
          </w:p>
        </w:tc>
        <w:tc>
          <w:tcPr>
            <w:tcW w:w="5205" w:type="dxa"/>
            <w:tcBorders>
              <w:tl2br w:val="nil"/>
              <w:tr2bl w:val="nil"/>
            </w:tcBorders>
            <w:noWrap w:val="0"/>
            <w:vAlign w:val="center"/>
          </w:tcPr>
          <w:p w14:paraId="644518AB">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临时沉砂池</w:t>
            </w:r>
          </w:p>
        </w:tc>
        <w:tc>
          <w:tcPr>
            <w:tcW w:w="1343" w:type="dxa"/>
            <w:tcBorders>
              <w:tl2br w:val="nil"/>
              <w:tr2bl w:val="nil"/>
            </w:tcBorders>
            <w:noWrap w:val="0"/>
            <w:vAlign w:val="center"/>
          </w:tcPr>
          <w:p w14:paraId="50906F49">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14</w:t>
            </w:r>
          </w:p>
        </w:tc>
      </w:tr>
      <w:tr w14:paraId="689EE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0" w:type="dxa"/>
            <w:vMerge w:val="continue"/>
            <w:tcBorders>
              <w:tl2br w:val="nil"/>
              <w:tr2bl w:val="nil"/>
            </w:tcBorders>
            <w:noWrap w:val="0"/>
            <w:vAlign w:val="center"/>
          </w:tcPr>
          <w:p w14:paraId="67F53192">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restart"/>
            <w:tcBorders>
              <w:tl2br w:val="nil"/>
              <w:tr2bl w:val="nil"/>
            </w:tcBorders>
            <w:noWrap w:val="0"/>
            <w:vAlign w:val="center"/>
          </w:tcPr>
          <w:p w14:paraId="593A295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噪声防治</w:t>
            </w:r>
          </w:p>
        </w:tc>
        <w:tc>
          <w:tcPr>
            <w:tcW w:w="5205" w:type="dxa"/>
            <w:tcBorders>
              <w:tl2br w:val="nil"/>
              <w:tr2bl w:val="nil"/>
            </w:tcBorders>
            <w:noWrap w:val="0"/>
            <w:vAlign w:val="center"/>
          </w:tcPr>
          <w:p w14:paraId="3348D522">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合理布局，基础减振</w:t>
            </w:r>
          </w:p>
        </w:tc>
        <w:tc>
          <w:tcPr>
            <w:tcW w:w="1343" w:type="dxa"/>
            <w:tcBorders>
              <w:tl2br w:val="nil"/>
              <w:tr2bl w:val="nil"/>
            </w:tcBorders>
            <w:noWrap w:val="0"/>
            <w:vAlign w:val="center"/>
          </w:tcPr>
          <w:p w14:paraId="4931BCEA">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13</w:t>
            </w:r>
          </w:p>
        </w:tc>
      </w:tr>
      <w:tr w14:paraId="2CC1A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0" w:type="dxa"/>
            <w:vMerge w:val="continue"/>
            <w:tcBorders>
              <w:tl2br w:val="nil"/>
              <w:tr2bl w:val="nil"/>
            </w:tcBorders>
            <w:noWrap w:val="0"/>
            <w:vAlign w:val="center"/>
          </w:tcPr>
          <w:p w14:paraId="139FB59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continue"/>
            <w:tcBorders>
              <w:tl2br w:val="nil"/>
              <w:tr2bl w:val="nil"/>
            </w:tcBorders>
            <w:noWrap w:val="0"/>
            <w:vAlign w:val="center"/>
          </w:tcPr>
          <w:p w14:paraId="25EFD73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5205" w:type="dxa"/>
            <w:tcBorders>
              <w:tl2br w:val="nil"/>
              <w:tr2bl w:val="nil"/>
            </w:tcBorders>
            <w:noWrap w:val="0"/>
            <w:vAlign w:val="center"/>
          </w:tcPr>
          <w:p w14:paraId="17A6DCBE">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施工机械定时检修</w:t>
            </w:r>
          </w:p>
        </w:tc>
        <w:tc>
          <w:tcPr>
            <w:tcW w:w="1343" w:type="dxa"/>
            <w:tcBorders>
              <w:tl2br w:val="nil"/>
              <w:tr2bl w:val="nil"/>
            </w:tcBorders>
            <w:noWrap w:val="0"/>
            <w:vAlign w:val="center"/>
          </w:tcPr>
          <w:p w14:paraId="5B82A15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5</w:t>
            </w:r>
          </w:p>
        </w:tc>
      </w:tr>
      <w:tr w14:paraId="276EF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0" w:type="dxa"/>
            <w:vMerge w:val="continue"/>
            <w:tcBorders>
              <w:tl2br w:val="nil"/>
              <w:tr2bl w:val="nil"/>
            </w:tcBorders>
            <w:noWrap w:val="0"/>
            <w:vAlign w:val="center"/>
          </w:tcPr>
          <w:p w14:paraId="1456D55B">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restart"/>
            <w:tcBorders>
              <w:tl2br w:val="nil"/>
              <w:tr2bl w:val="nil"/>
            </w:tcBorders>
            <w:noWrap w:val="0"/>
            <w:vAlign w:val="center"/>
          </w:tcPr>
          <w:p w14:paraId="5D597FF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固废</w:t>
            </w:r>
          </w:p>
        </w:tc>
        <w:tc>
          <w:tcPr>
            <w:tcW w:w="5205" w:type="dxa"/>
            <w:tcBorders>
              <w:tl2br w:val="nil"/>
              <w:tr2bl w:val="nil"/>
            </w:tcBorders>
            <w:noWrap w:val="0"/>
            <w:vAlign w:val="center"/>
          </w:tcPr>
          <w:p w14:paraId="429A2A2D">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弃土、弃方</w:t>
            </w:r>
            <w:r>
              <w:rPr>
                <w:rFonts w:hint="eastAsia" w:cs="Times New Roman"/>
                <w:color w:val="000000" w:themeColor="text1"/>
                <w:sz w:val="21"/>
                <w:szCs w:val="21"/>
                <w:highlight w:val="none"/>
                <w:vertAlign w:val="baseline"/>
                <w:lang w:val="en-US" w:eastAsia="zh-CN"/>
                <w14:textFill>
                  <w14:solidFill>
                    <w14:schemeClr w14:val="tx1"/>
                  </w14:solidFill>
                </w14:textFill>
              </w:rPr>
              <w:t>回填，</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建筑垃圾</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拉运处置</w:t>
            </w:r>
          </w:p>
        </w:tc>
        <w:tc>
          <w:tcPr>
            <w:tcW w:w="1343" w:type="dxa"/>
            <w:tcBorders>
              <w:tl2br w:val="nil"/>
              <w:tr2bl w:val="nil"/>
            </w:tcBorders>
            <w:noWrap w:val="0"/>
            <w:vAlign w:val="center"/>
          </w:tcPr>
          <w:p w14:paraId="19BCF478">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26</w:t>
            </w:r>
          </w:p>
        </w:tc>
      </w:tr>
      <w:tr w14:paraId="074EF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0" w:type="dxa"/>
            <w:vMerge w:val="continue"/>
            <w:tcBorders>
              <w:tl2br w:val="nil"/>
              <w:tr2bl w:val="nil"/>
            </w:tcBorders>
            <w:noWrap w:val="0"/>
            <w:vAlign w:val="center"/>
          </w:tcPr>
          <w:p w14:paraId="16B91482">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continue"/>
            <w:tcBorders>
              <w:tl2br w:val="nil"/>
              <w:tr2bl w:val="nil"/>
            </w:tcBorders>
            <w:noWrap w:val="0"/>
            <w:vAlign w:val="center"/>
          </w:tcPr>
          <w:p w14:paraId="587CF276">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5205" w:type="dxa"/>
            <w:tcBorders>
              <w:tl2br w:val="nil"/>
              <w:tr2bl w:val="nil"/>
            </w:tcBorders>
            <w:noWrap w:val="0"/>
            <w:vAlign w:val="center"/>
          </w:tcPr>
          <w:p w14:paraId="3921B5C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生活垃圾</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集中收集设施、拉运</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处置</w:t>
            </w:r>
          </w:p>
        </w:tc>
        <w:tc>
          <w:tcPr>
            <w:tcW w:w="1343" w:type="dxa"/>
            <w:tcBorders>
              <w:tl2br w:val="nil"/>
              <w:tr2bl w:val="nil"/>
            </w:tcBorders>
            <w:noWrap w:val="0"/>
            <w:vAlign w:val="center"/>
          </w:tcPr>
          <w:p w14:paraId="3E66790F">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15</w:t>
            </w:r>
          </w:p>
        </w:tc>
      </w:tr>
      <w:tr w14:paraId="1021D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0" w:type="dxa"/>
            <w:vMerge w:val="continue"/>
            <w:tcBorders>
              <w:tl2br w:val="nil"/>
              <w:tr2bl w:val="nil"/>
            </w:tcBorders>
            <w:noWrap w:val="0"/>
            <w:vAlign w:val="center"/>
          </w:tcPr>
          <w:p w14:paraId="1F8AE9C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6B181A06">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生态环境</w:t>
            </w:r>
          </w:p>
        </w:tc>
        <w:tc>
          <w:tcPr>
            <w:tcW w:w="5205" w:type="dxa"/>
            <w:tcBorders>
              <w:tl2br w:val="nil"/>
              <w:tr2bl w:val="nil"/>
            </w:tcBorders>
            <w:noWrap w:val="0"/>
            <w:vAlign w:val="center"/>
          </w:tcPr>
          <w:p w14:paraId="359C7BBF">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场地平整、绿化</w:t>
            </w:r>
          </w:p>
        </w:tc>
        <w:tc>
          <w:tcPr>
            <w:tcW w:w="1343" w:type="dxa"/>
            <w:tcBorders>
              <w:tl2br w:val="nil"/>
              <w:tr2bl w:val="nil"/>
            </w:tcBorders>
            <w:noWrap w:val="0"/>
            <w:vAlign w:val="center"/>
          </w:tcPr>
          <w:p w14:paraId="469D9AB1">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36</w:t>
            </w:r>
          </w:p>
        </w:tc>
      </w:tr>
      <w:tr w14:paraId="0F823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70" w:type="dxa"/>
            <w:vMerge w:val="restart"/>
            <w:tcBorders>
              <w:tl2br w:val="nil"/>
              <w:tr2bl w:val="nil"/>
            </w:tcBorders>
            <w:noWrap w:val="0"/>
            <w:vAlign w:val="center"/>
          </w:tcPr>
          <w:p w14:paraId="5BCFB388">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运</w:t>
            </w:r>
          </w:p>
          <w:p w14:paraId="3A3F675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营</w:t>
            </w:r>
          </w:p>
          <w:p w14:paraId="77B821C5">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期</w:t>
            </w:r>
          </w:p>
        </w:tc>
        <w:tc>
          <w:tcPr>
            <w:tcW w:w="1504" w:type="dxa"/>
            <w:vMerge w:val="restart"/>
            <w:tcBorders>
              <w:tl2br w:val="nil"/>
              <w:tr2bl w:val="nil"/>
            </w:tcBorders>
            <w:noWrap w:val="0"/>
            <w:vAlign w:val="center"/>
          </w:tcPr>
          <w:p w14:paraId="08700EE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废气</w:t>
            </w:r>
          </w:p>
        </w:tc>
        <w:tc>
          <w:tcPr>
            <w:tcW w:w="5205" w:type="dxa"/>
            <w:tcBorders>
              <w:tl2br w:val="nil"/>
              <w:tr2bl w:val="nil"/>
            </w:tcBorders>
            <w:noWrap w:val="0"/>
            <w:vAlign w:val="center"/>
          </w:tcPr>
          <w:p w14:paraId="4D19E9B8">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工作场地、运输道路</w:t>
            </w:r>
            <w:r>
              <w:rPr>
                <w:rFonts w:hint="eastAsia" w:cs="Times New Roman"/>
                <w:color w:val="000000" w:themeColor="text1"/>
                <w:sz w:val="21"/>
                <w:szCs w:val="21"/>
                <w:highlight w:val="none"/>
                <w:vertAlign w:val="baseline"/>
                <w:lang w:val="en-US" w:eastAsia="zh-CN"/>
                <w14:textFill>
                  <w14:solidFill>
                    <w14:schemeClr w14:val="tx1"/>
                  </w14:solidFill>
                </w14:textFill>
              </w:rPr>
              <w:t>等</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无组织扬尘定期洒水降尘</w:t>
            </w:r>
          </w:p>
        </w:tc>
        <w:tc>
          <w:tcPr>
            <w:tcW w:w="1343" w:type="dxa"/>
            <w:tcBorders>
              <w:tl2br w:val="nil"/>
              <w:tr2bl w:val="nil"/>
            </w:tcBorders>
            <w:noWrap w:val="0"/>
            <w:vAlign w:val="center"/>
          </w:tcPr>
          <w:p w14:paraId="6E5D54E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w:t>
            </w:r>
          </w:p>
        </w:tc>
      </w:tr>
      <w:tr w14:paraId="42B81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70" w:type="dxa"/>
            <w:vMerge w:val="continue"/>
            <w:tcBorders>
              <w:tl2br w:val="nil"/>
              <w:tr2bl w:val="nil"/>
            </w:tcBorders>
            <w:noWrap w:val="0"/>
            <w:vAlign w:val="center"/>
          </w:tcPr>
          <w:p w14:paraId="78A5CBC1">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continue"/>
            <w:tcBorders>
              <w:tl2br w:val="nil"/>
              <w:tr2bl w:val="nil"/>
            </w:tcBorders>
            <w:noWrap w:val="0"/>
            <w:vAlign w:val="center"/>
          </w:tcPr>
          <w:p w14:paraId="041A798F">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5205" w:type="dxa"/>
            <w:tcBorders>
              <w:tl2br w:val="nil"/>
              <w:tr2bl w:val="nil"/>
            </w:tcBorders>
            <w:noWrap w:val="0"/>
            <w:vAlign w:val="center"/>
          </w:tcPr>
          <w:p w14:paraId="349A9A0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废石堆场采取</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洒水抑尘</w:t>
            </w:r>
          </w:p>
        </w:tc>
        <w:tc>
          <w:tcPr>
            <w:tcW w:w="1343" w:type="dxa"/>
            <w:tcBorders>
              <w:tl2br w:val="nil"/>
              <w:tr2bl w:val="nil"/>
            </w:tcBorders>
            <w:noWrap w:val="0"/>
            <w:vAlign w:val="center"/>
          </w:tcPr>
          <w:p w14:paraId="22EFDB80">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30</w:t>
            </w:r>
          </w:p>
        </w:tc>
      </w:tr>
      <w:tr w14:paraId="1ACE4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70" w:type="dxa"/>
            <w:vMerge w:val="continue"/>
            <w:tcBorders>
              <w:tl2br w:val="nil"/>
              <w:tr2bl w:val="nil"/>
            </w:tcBorders>
            <w:noWrap w:val="0"/>
            <w:vAlign w:val="center"/>
          </w:tcPr>
          <w:p w14:paraId="34930A7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continue"/>
            <w:tcBorders>
              <w:tl2br w:val="nil"/>
              <w:tr2bl w:val="nil"/>
            </w:tcBorders>
            <w:noWrap w:val="0"/>
            <w:vAlign w:val="center"/>
          </w:tcPr>
          <w:p w14:paraId="421A41A2">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5205" w:type="dxa"/>
            <w:tcBorders>
              <w:tl2br w:val="nil"/>
              <w:tr2bl w:val="nil"/>
            </w:tcBorders>
            <w:noWrap w:val="0"/>
            <w:vAlign w:val="center"/>
          </w:tcPr>
          <w:p w14:paraId="0FF9D6A6">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湿式凿岩、</w:t>
            </w:r>
            <w:r>
              <w:rPr>
                <w:rFonts w:hint="eastAsia" w:cs="Times New Roman"/>
                <w:color w:val="000000" w:themeColor="text1"/>
                <w:sz w:val="21"/>
                <w:szCs w:val="21"/>
                <w:highlight w:val="none"/>
                <w:vertAlign w:val="baseline"/>
                <w:lang w:val="en-US" w:eastAsia="zh-CN"/>
                <w14:textFill>
                  <w14:solidFill>
                    <w14:schemeClr w14:val="tx1"/>
                  </w14:solidFill>
                </w14:textFill>
              </w:rPr>
              <w:t>原矿废石装卸粉尘采取洒水喷雾降尘措施</w:t>
            </w:r>
          </w:p>
        </w:tc>
        <w:tc>
          <w:tcPr>
            <w:tcW w:w="1343" w:type="dxa"/>
            <w:tcBorders>
              <w:tl2br w:val="nil"/>
              <w:tr2bl w:val="nil"/>
            </w:tcBorders>
            <w:noWrap w:val="0"/>
            <w:vAlign w:val="center"/>
          </w:tcPr>
          <w:p w14:paraId="2FAC2ED8">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25</w:t>
            </w:r>
          </w:p>
        </w:tc>
      </w:tr>
      <w:tr w14:paraId="013CC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0" w:type="dxa"/>
            <w:vMerge w:val="continue"/>
            <w:tcBorders>
              <w:tl2br w:val="nil"/>
              <w:tr2bl w:val="nil"/>
            </w:tcBorders>
            <w:noWrap w:val="0"/>
            <w:vAlign w:val="center"/>
          </w:tcPr>
          <w:p w14:paraId="4362319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43C46F62">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废水</w:t>
            </w:r>
          </w:p>
        </w:tc>
        <w:tc>
          <w:tcPr>
            <w:tcW w:w="5205" w:type="dxa"/>
            <w:tcBorders>
              <w:tl2br w:val="nil"/>
              <w:tr2bl w:val="nil"/>
            </w:tcBorders>
            <w:noWrap w:val="0"/>
            <w:vAlign w:val="center"/>
          </w:tcPr>
          <w:p w14:paraId="18714CCB">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vertAlign w:val="baseline"/>
                <w:lang w:val="en-US" w:eastAsia="zh-CN" w:bidi="en-US"/>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800m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沉淀池</w:t>
            </w:r>
          </w:p>
        </w:tc>
        <w:tc>
          <w:tcPr>
            <w:tcW w:w="1343" w:type="dxa"/>
            <w:tcBorders>
              <w:tl2br w:val="nil"/>
              <w:tr2bl w:val="nil"/>
            </w:tcBorders>
            <w:noWrap w:val="0"/>
            <w:vAlign w:val="center"/>
          </w:tcPr>
          <w:p w14:paraId="54DE6B9D">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vertAlign w:val="baseline"/>
                <w:lang w:val="en-US" w:eastAsia="zh-CN" w:bidi="en-US"/>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60</w:t>
            </w:r>
          </w:p>
        </w:tc>
      </w:tr>
      <w:tr w14:paraId="69576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0" w:type="dxa"/>
            <w:vMerge w:val="continue"/>
            <w:tcBorders>
              <w:tl2br w:val="nil"/>
              <w:tr2bl w:val="nil"/>
            </w:tcBorders>
            <w:noWrap w:val="0"/>
            <w:vAlign w:val="center"/>
          </w:tcPr>
          <w:p w14:paraId="08302D85">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3B2FC9E0">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声环境</w:t>
            </w:r>
          </w:p>
        </w:tc>
        <w:tc>
          <w:tcPr>
            <w:tcW w:w="5205" w:type="dxa"/>
            <w:tcBorders>
              <w:tl2br w:val="nil"/>
              <w:tr2bl w:val="nil"/>
            </w:tcBorders>
            <w:noWrap w:val="0"/>
            <w:vAlign w:val="center"/>
          </w:tcPr>
          <w:p w14:paraId="361BB39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高噪声设备进行基础减振，设备养护等</w:t>
            </w:r>
          </w:p>
        </w:tc>
        <w:tc>
          <w:tcPr>
            <w:tcW w:w="1343" w:type="dxa"/>
            <w:tcBorders>
              <w:tl2br w:val="nil"/>
              <w:tr2bl w:val="nil"/>
            </w:tcBorders>
            <w:noWrap w:val="0"/>
            <w:vAlign w:val="center"/>
          </w:tcPr>
          <w:p w14:paraId="319B359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15</w:t>
            </w:r>
          </w:p>
        </w:tc>
      </w:tr>
      <w:tr w14:paraId="53EFE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70" w:type="dxa"/>
            <w:vMerge w:val="continue"/>
            <w:tcBorders>
              <w:tl2br w:val="nil"/>
              <w:tr2bl w:val="nil"/>
            </w:tcBorders>
            <w:noWrap w:val="0"/>
            <w:vAlign w:val="center"/>
          </w:tcPr>
          <w:p w14:paraId="3BF41E9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restart"/>
            <w:tcBorders>
              <w:tl2br w:val="nil"/>
              <w:tr2bl w:val="nil"/>
            </w:tcBorders>
            <w:noWrap w:val="0"/>
            <w:vAlign w:val="center"/>
          </w:tcPr>
          <w:p w14:paraId="0E33F80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固废</w:t>
            </w:r>
          </w:p>
        </w:tc>
        <w:tc>
          <w:tcPr>
            <w:tcW w:w="5205" w:type="dxa"/>
            <w:tcBorders>
              <w:tl2br w:val="nil"/>
              <w:tr2bl w:val="nil"/>
            </w:tcBorders>
            <w:noWrap w:val="0"/>
            <w:vAlign w:val="center"/>
          </w:tcPr>
          <w:p w14:paraId="54B7DECD">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建设</w:t>
            </w:r>
          </w:p>
        </w:tc>
        <w:tc>
          <w:tcPr>
            <w:tcW w:w="1343" w:type="dxa"/>
            <w:tcBorders>
              <w:tl2br w:val="nil"/>
              <w:tr2bl w:val="nil"/>
            </w:tcBorders>
            <w:noWrap w:val="0"/>
            <w:vAlign w:val="center"/>
          </w:tcPr>
          <w:p w14:paraId="415E405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90</w:t>
            </w:r>
          </w:p>
        </w:tc>
      </w:tr>
      <w:tr w14:paraId="636CE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70" w:type="dxa"/>
            <w:vMerge w:val="continue"/>
            <w:tcBorders>
              <w:tl2br w:val="nil"/>
              <w:tr2bl w:val="nil"/>
            </w:tcBorders>
            <w:noWrap w:val="0"/>
            <w:vAlign w:val="center"/>
          </w:tcPr>
          <w:p w14:paraId="3DA237ED">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continue"/>
            <w:tcBorders>
              <w:tl2br w:val="nil"/>
              <w:tr2bl w:val="nil"/>
            </w:tcBorders>
            <w:noWrap w:val="0"/>
            <w:vAlign w:val="center"/>
          </w:tcPr>
          <w:p w14:paraId="785B03D6">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5205" w:type="dxa"/>
            <w:tcBorders>
              <w:tl2br w:val="nil"/>
              <w:tr2bl w:val="nil"/>
            </w:tcBorders>
            <w:noWrap w:val="0"/>
            <w:vAlign w:val="center"/>
          </w:tcPr>
          <w:p w14:paraId="772F17BB">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生活垃圾设置</w:t>
            </w:r>
            <w:r>
              <w:rPr>
                <w:rFonts w:hint="eastAsia" w:cs="Times New Roman"/>
                <w:color w:val="000000" w:themeColor="text1"/>
                <w:sz w:val="21"/>
                <w:szCs w:val="21"/>
                <w:highlight w:val="none"/>
                <w:vertAlign w:val="baseline"/>
                <w:lang w:val="en-US" w:eastAsia="zh-CN"/>
                <w14:textFill>
                  <w14:solidFill>
                    <w14:schemeClr w14:val="tx1"/>
                  </w14:solidFill>
                </w14:textFill>
              </w:rPr>
              <w:t>垃圾收集箱、拉运处置</w:t>
            </w:r>
          </w:p>
        </w:tc>
        <w:tc>
          <w:tcPr>
            <w:tcW w:w="1343" w:type="dxa"/>
            <w:tcBorders>
              <w:tl2br w:val="nil"/>
              <w:tr2bl w:val="nil"/>
            </w:tcBorders>
            <w:noWrap w:val="0"/>
            <w:vAlign w:val="center"/>
          </w:tcPr>
          <w:p w14:paraId="4255906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1.5</w:t>
            </w:r>
          </w:p>
        </w:tc>
      </w:tr>
      <w:tr w14:paraId="46A5E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70" w:type="dxa"/>
            <w:vMerge w:val="continue"/>
            <w:tcBorders>
              <w:tl2br w:val="nil"/>
              <w:tr2bl w:val="nil"/>
            </w:tcBorders>
            <w:noWrap w:val="0"/>
            <w:vAlign w:val="center"/>
          </w:tcPr>
          <w:p w14:paraId="3C7170E6">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vMerge w:val="continue"/>
            <w:tcBorders>
              <w:tl2br w:val="nil"/>
              <w:tr2bl w:val="nil"/>
            </w:tcBorders>
            <w:noWrap w:val="0"/>
            <w:vAlign w:val="center"/>
          </w:tcPr>
          <w:p w14:paraId="74A0E035">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5205" w:type="dxa"/>
            <w:tcBorders>
              <w:tl2br w:val="nil"/>
              <w:tr2bl w:val="nil"/>
            </w:tcBorders>
            <w:noWrap w:val="0"/>
            <w:vAlign w:val="center"/>
          </w:tcPr>
          <w:p w14:paraId="221A969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危废贮存点</w:t>
            </w:r>
          </w:p>
        </w:tc>
        <w:tc>
          <w:tcPr>
            <w:tcW w:w="1343" w:type="dxa"/>
            <w:tcBorders>
              <w:tl2br w:val="nil"/>
              <w:tr2bl w:val="nil"/>
            </w:tcBorders>
            <w:noWrap w:val="0"/>
            <w:vAlign w:val="center"/>
          </w:tcPr>
          <w:p w14:paraId="596C11AC">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30</w:t>
            </w:r>
          </w:p>
        </w:tc>
      </w:tr>
      <w:tr w14:paraId="09586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70" w:type="dxa"/>
            <w:vMerge w:val="continue"/>
            <w:tcBorders>
              <w:tl2br w:val="nil"/>
              <w:tr2bl w:val="nil"/>
            </w:tcBorders>
            <w:noWrap w:val="0"/>
            <w:vAlign w:val="center"/>
          </w:tcPr>
          <w:p w14:paraId="63BC3DD0">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3EACB67C">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地下水环境</w:t>
            </w:r>
          </w:p>
        </w:tc>
        <w:tc>
          <w:tcPr>
            <w:tcW w:w="5205" w:type="dxa"/>
            <w:tcBorders>
              <w:tl2br w:val="nil"/>
              <w:tr2bl w:val="nil"/>
            </w:tcBorders>
            <w:noWrap w:val="0"/>
            <w:vAlign w:val="center"/>
          </w:tcPr>
          <w:p w14:paraId="422AB8B2">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分区防渗措施、地下水监测/观测</w:t>
            </w:r>
          </w:p>
        </w:tc>
        <w:tc>
          <w:tcPr>
            <w:tcW w:w="1343" w:type="dxa"/>
            <w:tcBorders>
              <w:tl2br w:val="nil"/>
              <w:tr2bl w:val="nil"/>
            </w:tcBorders>
            <w:noWrap w:val="0"/>
            <w:vAlign w:val="center"/>
          </w:tcPr>
          <w:p w14:paraId="13E9D68C">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200</w:t>
            </w:r>
          </w:p>
        </w:tc>
      </w:tr>
      <w:tr w14:paraId="739D6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0" w:type="dxa"/>
            <w:vMerge w:val="continue"/>
            <w:tcBorders>
              <w:tl2br w:val="nil"/>
              <w:tr2bl w:val="nil"/>
            </w:tcBorders>
            <w:noWrap w:val="0"/>
            <w:vAlign w:val="center"/>
          </w:tcPr>
          <w:p w14:paraId="497D150C">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1D0B4389">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环境风险</w:t>
            </w:r>
          </w:p>
        </w:tc>
        <w:tc>
          <w:tcPr>
            <w:tcW w:w="5205" w:type="dxa"/>
            <w:tcBorders>
              <w:tl2br w:val="nil"/>
              <w:tr2bl w:val="nil"/>
            </w:tcBorders>
            <w:noWrap w:val="0"/>
            <w:vAlign w:val="center"/>
          </w:tcPr>
          <w:p w14:paraId="09C336C2">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制定突发环境事件应急预案，</w:t>
            </w:r>
            <w:r>
              <w:rPr>
                <w:rFonts w:hint="eastAsia" w:cs="Times New Roman"/>
                <w:color w:val="000000" w:themeColor="text1"/>
                <w:sz w:val="21"/>
                <w:szCs w:val="21"/>
                <w:highlight w:val="none"/>
                <w:vertAlign w:val="baseline"/>
                <w:lang w:val="en-US" w:eastAsia="zh-CN"/>
                <w14:textFill>
                  <w14:solidFill>
                    <w14:schemeClr w14:val="tx1"/>
                  </w14:solidFill>
                </w14:textFill>
              </w:rPr>
              <w:t>危废贮存点</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防渗、设置收集池、配备消防器材，设置警戒设施，设置防静电设施、避雷针和接地保护。</w:t>
            </w:r>
          </w:p>
        </w:tc>
        <w:tc>
          <w:tcPr>
            <w:tcW w:w="1343" w:type="dxa"/>
            <w:tcBorders>
              <w:tl2br w:val="nil"/>
              <w:tr2bl w:val="nil"/>
            </w:tcBorders>
            <w:noWrap w:val="0"/>
            <w:vAlign w:val="center"/>
          </w:tcPr>
          <w:p w14:paraId="45314617">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40</w:t>
            </w:r>
          </w:p>
        </w:tc>
      </w:tr>
      <w:tr w14:paraId="2BE94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0" w:type="dxa"/>
            <w:vMerge w:val="continue"/>
            <w:tcBorders>
              <w:tl2br w:val="nil"/>
              <w:tr2bl w:val="nil"/>
            </w:tcBorders>
            <w:noWrap w:val="0"/>
            <w:vAlign w:val="center"/>
          </w:tcPr>
          <w:p w14:paraId="70FF8F0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21B9B3D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生态</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绿化</w:t>
            </w:r>
          </w:p>
        </w:tc>
        <w:tc>
          <w:tcPr>
            <w:tcW w:w="5205" w:type="dxa"/>
            <w:tcBorders>
              <w:tl2br w:val="nil"/>
              <w:tr2bl w:val="nil"/>
            </w:tcBorders>
            <w:noWrap w:val="0"/>
            <w:vAlign w:val="center"/>
          </w:tcPr>
          <w:p w14:paraId="3298A152">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植被恢复及绿化</w:t>
            </w:r>
          </w:p>
        </w:tc>
        <w:tc>
          <w:tcPr>
            <w:tcW w:w="1343" w:type="dxa"/>
            <w:tcBorders>
              <w:tl2br w:val="nil"/>
              <w:tr2bl w:val="nil"/>
            </w:tcBorders>
            <w:noWrap w:val="0"/>
            <w:vAlign w:val="center"/>
          </w:tcPr>
          <w:p w14:paraId="16EE8501">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100</w:t>
            </w:r>
          </w:p>
        </w:tc>
      </w:tr>
      <w:tr w14:paraId="58CCB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0" w:type="dxa"/>
            <w:vMerge w:val="restart"/>
            <w:tcBorders>
              <w:tl2br w:val="nil"/>
              <w:tr2bl w:val="nil"/>
            </w:tcBorders>
            <w:noWrap w:val="0"/>
            <w:vAlign w:val="center"/>
          </w:tcPr>
          <w:p w14:paraId="3F2CD4A5">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闭</w:t>
            </w:r>
          </w:p>
          <w:p w14:paraId="721F0DCA">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矿</w:t>
            </w:r>
          </w:p>
          <w:p w14:paraId="38A90514">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期</w:t>
            </w:r>
          </w:p>
        </w:tc>
        <w:tc>
          <w:tcPr>
            <w:tcW w:w="1504" w:type="dxa"/>
            <w:tcBorders>
              <w:tl2br w:val="nil"/>
              <w:tr2bl w:val="nil"/>
            </w:tcBorders>
            <w:noWrap w:val="0"/>
            <w:vAlign w:val="center"/>
          </w:tcPr>
          <w:p w14:paraId="618F8B0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地面隐患区</w:t>
            </w:r>
          </w:p>
        </w:tc>
        <w:tc>
          <w:tcPr>
            <w:tcW w:w="5205" w:type="dxa"/>
            <w:tcBorders>
              <w:tl2br w:val="nil"/>
              <w:tr2bl w:val="nil"/>
            </w:tcBorders>
            <w:noWrap w:val="0"/>
            <w:vAlign w:val="center"/>
          </w:tcPr>
          <w:p w14:paraId="51F8017C">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外围铁丝网围栏、外围设置警示牌</w:t>
            </w:r>
          </w:p>
        </w:tc>
        <w:tc>
          <w:tcPr>
            <w:tcW w:w="1343" w:type="dxa"/>
            <w:tcBorders>
              <w:tl2br w:val="nil"/>
              <w:tr2bl w:val="nil"/>
            </w:tcBorders>
            <w:noWrap w:val="0"/>
            <w:vAlign w:val="center"/>
          </w:tcPr>
          <w:p w14:paraId="253A1FCF">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w:t>
            </w:r>
          </w:p>
        </w:tc>
      </w:tr>
      <w:tr w14:paraId="4D674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0" w:type="dxa"/>
            <w:vMerge w:val="continue"/>
            <w:tcBorders>
              <w:tl2br w:val="nil"/>
              <w:tr2bl w:val="nil"/>
            </w:tcBorders>
            <w:noWrap w:val="0"/>
            <w:vAlign w:val="center"/>
          </w:tcPr>
          <w:p w14:paraId="61BC9213">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004BCF5A">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地面治理</w:t>
            </w:r>
          </w:p>
        </w:tc>
        <w:tc>
          <w:tcPr>
            <w:tcW w:w="5205" w:type="dxa"/>
            <w:tcBorders>
              <w:tl2br w:val="nil"/>
              <w:tr2bl w:val="nil"/>
            </w:tcBorders>
            <w:noWrap w:val="0"/>
            <w:vAlign w:val="center"/>
          </w:tcPr>
          <w:p w14:paraId="63B494AE">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生活区及工业广场建筑设施拆除、清理</w:t>
            </w:r>
          </w:p>
        </w:tc>
        <w:tc>
          <w:tcPr>
            <w:tcW w:w="1343" w:type="dxa"/>
            <w:tcBorders>
              <w:tl2br w:val="nil"/>
              <w:tr2bl w:val="nil"/>
            </w:tcBorders>
            <w:noWrap w:val="0"/>
            <w:vAlign w:val="center"/>
          </w:tcPr>
          <w:p w14:paraId="372ED79E">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27</w:t>
            </w:r>
          </w:p>
        </w:tc>
      </w:tr>
      <w:tr w14:paraId="701B2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70" w:type="dxa"/>
            <w:vMerge w:val="continue"/>
            <w:tcBorders>
              <w:tl2br w:val="nil"/>
              <w:tr2bl w:val="nil"/>
            </w:tcBorders>
            <w:noWrap w:val="0"/>
            <w:vAlign w:val="center"/>
          </w:tcPr>
          <w:p w14:paraId="1A9C3BC5">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04" w:type="dxa"/>
            <w:tcBorders>
              <w:tl2br w:val="nil"/>
              <w:tr2bl w:val="nil"/>
            </w:tcBorders>
            <w:noWrap w:val="0"/>
            <w:vAlign w:val="center"/>
          </w:tcPr>
          <w:p w14:paraId="23101436">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生态恢复</w:t>
            </w:r>
          </w:p>
        </w:tc>
        <w:tc>
          <w:tcPr>
            <w:tcW w:w="5205" w:type="dxa"/>
            <w:tcBorders>
              <w:tl2br w:val="nil"/>
              <w:tr2bl w:val="nil"/>
            </w:tcBorders>
            <w:noWrap w:val="0"/>
            <w:vAlign w:val="center"/>
          </w:tcPr>
          <w:p w14:paraId="567C365E">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、工业场地</w:t>
            </w:r>
            <w:r>
              <w:rPr>
                <w:rFonts w:hint="eastAsia" w:cs="Times New Roman"/>
                <w:color w:val="000000" w:themeColor="text1"/>
                <w:sz w:val="21"/>
                <w:szCs w:val="21"/>
                <w:highlight w:val="none"/>
                <w:vertAlign w:val="baseline"/>
                <w:lang w:val="en-US" w:eastAsia="zh-CN"/>
                <w14:textFill>
                  <w14:solidFill>
                    <w14:schemeClr w14:val="tx1"/>
                  </w14:solidFill>
                </w14:textFill>
              </w:rPr>
              <w:t>平整、</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生态恢复</w:t>
            </w:r>
          </w:p>
        </w:tc>
        <w:tc>
          <w:tcPr>
            <w:tcW w:w="1343" w:type="dxa"/>
            <w:tcBorders>
              <w:tl2br w:val="nil"/>
              <w:tr2bl w:val="nil"/>
            </w:tcBorders>
            <w:noWrap w:val="0"/>
            <w:vAlign w:val="center"/>
          </w:tcPr>
          <w:p w14:paraId="480670BC">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669.27</w:t>
            </w:r>
          </w:p>
        </w:tc>
      </w:tr>
      <w:tr w14:paraId="6B112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179" w:type="dxa"/>
            <w:gridSpan w:val="3"/>
            <w:tcBorders>
              <w:tl2br w:val="nil"/>
              <w:tr2bl w:val="nil"/>
            </w:tcBorders>
            <w:noWrap w:val="0"/>
            <w:vAlign w:val="center"/>
          </w:tcPr>
          <w:p w14:paraId="3F15243C">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合   计</w:t>
            </w:r>
          </w:p>
        </w:tc>
        <w:tc>
          <w:tcPr>
            <w:tcW w:w="1343" w:type="dxa"/>
            <w:tcBorders>
              <w:tl2br w:val="nil"/>
              <w:tr2bl w:val="nil"/>
            </w:tcBorders>
            <w:noWrap w:val="0"/>
            <w:vAlign w:val="center"/>
          </w:tcPr>
          <w:p w14:paraId="016EAF2D">
            <w:pPr>
              <w:pStyle w:val="7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1476.77</w:t>
            </w:r>
          </w:p>
        </w:tc>
      </w:tr>
    </w:tbl>
    <w:p w14:paraId="1F5D1882">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按上表估算数据，本项目环境保护投资</w:t>
      </w:r>
      <w:r>
        <w:rPr>
          <w:rFonts w:hint="eastAsia" w:cs="Times New Roman"/>
          <w:color w:val="000000" w:themeColor="text1"/>
          <w:kern w:val="0"/>
          <w:sz w:val="24"/>
          <w:szCs w:val="24"/>
          <w:highlight w:val="none"/>
          <w:lang w:val="en-US" w:eastAsia="zh-CN"/>
          <w14:textFill>
            <w14:solidFill>
              <w14:schemeClr w14:val="tx1"/>
            </w14:solidFill>
          </w14:textFill>
        </w:rPr>
        <w:t>1476.77</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万元，占项目总投资</w:t>
      </w:r>
      <w:r>
        <w:rPr>
          <w:rFonts w:hint="eastAsia" w:cs="Times New Roman"/>
          <w:color w:val="000000" w:themeColor="text1"/>
          <w:sz w:val="24"/>
          <w:szCs w:val="24"/>
          <w:highlight w:val="none"/>
          <w:lang w:val="en-US" w:eastAsia="zh-CN"/>
          <w14:textFill>
            <w14:solidFill>
              <w14:schemeClr w14:val="tx1"/>
            </w14:solidFill>
          </w14:textFill>
        </w:rPr>
        <w:t>10333.89</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万元</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的</w:t>
      </w:r>
      <w:r>
        <w:rPr>
          <w:rFonts w:hint="eastAsia" w:cs="Times New Roman"/>
          <w:color w:val="000000" w:themeColor="text1"/>
          <w:kern w:val="0"/>
          <w:sz w:val="24"/>
          <w:szCs w:val="24"/>
          <w:highlight w:val="none"/>
          <w:lang w:val="en-US" w:eastAsia="zh-CN"/>
          <w14:textFill>
            <w14:solidFill>
              <w14:schemeClr w14:val="tx1"/>
            </w14:solidFill>
          </w14:textFill>
        </w:rPr>
        <w:t>14.29</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在环境保护措施充分实施后，生产过程的污染物排放将会大大地减少，将大量的污染消化在生产过程中，外排废物的环境污染风险也将会大大地降低，使项目建设的环境正效益最大化，较好地控制本项目对环境的污染和影响程度。</w:t>
      </w:r>
    </w:p>
    <w:p w14:paraId="71350AF2">
      <w:pPr>
        <w:pStyle w:val="3"/>
        <w:pageBreakBefore w:val="0"/>
        <w:numPr>
          <w:ilvl w:val="0"/>
          <w:numId w:val="0"/>
        </w:numPr>
        <w:wordWrap/>
        <w:topLinePunct w:val="0"/>
        <w:autoSpaceDE w:val="0"/>
        <w:bidi w:val="0"/>
        <w:spacing w:beforeLines="-2147483648" w:beforeAutospacing="0" w:afterLines="-2147483648" w:afterAutospacing="0"/>
        <w:rPr>
          <w:rFonts w:hint="default" w:ascii="Times New Roman" w:hAnsi="Times New Roman" w:eastAsia="宋体" w:cs="Times New Roman"/>
          <w:bCs/>
          <w:color w:val="000000" w:themeColor="text1"/>
          <w:szCs w:val="32"/>
          <w:highlight w:val="none"/>
          <w14:textFill>
            <w14:solidFill>
              <w14:schemeClr w14:val="tx1"/>
            </w14:solidFill>
          </w14:textFill>
        </w:rPr>
      </w:pPr>
      <w:bookmarkStart w:id="701" w:name="_Toc8091"/>
      <w:r>
        <w:rPr>
          <w:rFonts w:hint="eastAsia" w:cs="Times New Roman"/>
          <w:bCs/>
          <w:color w:val="000000" w:themeColor="text1"/>
          <w:szCs w:val="32"/>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Cs w:val="32"/>
          <w:highlight w:val="none"/>
          <w14:textFill>
            <w14:solidFill>
              <w14:schemeClr w14:val="tx1"/>
            </w14:solidFill>
          </w14:textFill>
        </w:rPr>
        <w:t>.4结论</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70FD507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lang w:val="zh-CN" w:eastAsia="zh-CN"/>
          <w14:textFill>
            <w14:solidFill>
              <w14:schemeClr w14:val="tx1"/>
            </w14:solidFill>
          </w14:textFill>
        </w:rPr>
      </w:pPr>
      <w:r>
        <w:rPr>
          <w:rFonts w:hint="default"/>
          <w:color w:val="000000" w:themeColor="text1"/>
          <w:sz w:val="24"/>
          <w:szCs w:val="24"/>
          <w:lang w:val="zh-CN" w:eastAsia="zh-CN"/>
          <w14:textFill>
            <w14:solidFill>
              <w14:schemeClr w14:val="tx1"/>
            </w14:solidFill>
          </w14:textFill>
        </w:rPr>
        <w:t>综上所述，</w:t>
      </w:r>
      <w:r>
        <w:rPr>
          <w:rFonts w:hint="eastAsia"/>
          <w:color w:val="000000" w:themeColor="text1"/>
          <w:sz w:val="24"/>
          <w:szCs w:val="24"/>
          <w:lang w:val="en-US" w:eastAsia="zh-CN"/>
          <w14:textFill>
            <w14:solidFill>
              <w14:schemeClr w14:val="tx1"/>
            </w14:solidFill>
          </w14:textFill>
        </w:rPr>
        <w:t>本项目</w:t>
      </w:r>
      <w:r>
        <w:rPr>
          <w:rFonts w:hint="default"/>
          <w:color w:val="000000" w:themeColor="text1"/>
          <w:sz w:val="24"/>
          <w:szCs w:val="24"/>
          <w:lang w:val="zh-CN" w:eastAsia="zh-CN"/>
          <w14:textFill>
            <w14:solidFill>
              <w14:schemeClr w14:val="tx1"/>
            </w14:solidFill>
          </w14:textFill>
        </w:rPr>
        <w:t>如认真落实本环评提出的各项环境保护措施，保证项目的环境可行性，将具有较为良好的社会效益、经济效益及环境效益。此外，应当注意在生产过程中加强设备的管理、职工培训、严格操作规程，保证生产设备和环保设施的正常运行，确保环境保护要求的防治措施得到实施。这样，本项目的环境经济效益才能达到预期的效果。</w:t>
      </w:r>
      <w:r>
        <w:rPr>
          <w:rFonts w:hint="default"/>
          <w:color w:val="000000" w:themeColor="text1"/>
          <w:sz w:val="24"/>
          <w:szCs w:val="24"/>
          <w:lang w:val="zh-CN" w:eastAsia="zh-CN"/>
          <w14:textFill>
            <w14:solidFill>
              <w14:schemeClr w14:val="tx1"/>
            </w14:solidFill>
          </w14:textFill>
        </w:rPr>
        <w:br w:type="page"/>
      </w:r>
    </w:p>
    <w:p w14:paraId="6432219E">
      <w:pPr>
        <w:pStyle w:val="2"/>
        <w:keepNext/>
        <w:keepLines/>
        <w:spacing w:before="0" w:after="0" w:line="720" w:lineRule="exact"/>
        <w:jc w:val="both"/>
        <w:rPr>
          <w:rFonts w:hint="eastAsia"/>
          <w:color w:val="000000" w:themeColor="text1"/>
          <w:szCs w:val="36"/>
          <w14:textFill>
            <w14:solidFill>
              <w14:schemeClr w14:val="tx1"/>
            </w14:solidFill>
          </w14:textFill>
        </w:rPr>
      </w:pPr>
      <w:bookmarkStart w:id="702" w:name="_Toc24270"/>
      <w:bookmarkStart w:id="703" w:name="_Toc3527"/>
      <w:bookmarkStart w:id="704" w:name="_Toc28293"/>
      <w:bookmarkStart w:id="705" w:name="_Toc23047"/>
      <w:bookmarkStart w:id="706" w:name="_Toc17178"/>
      <w:bookmarkStart w:id="707" w:name="_Toc22245"/>
      <w:bookmarkStart w:id="708" w:name="_Toc111767574"/>
      <w:r>
        <w:rPr>
          <w:rFonts w:hint="eastAsia"/>
          <w:color w:val="000000" w:themeColor="text1"/>
          <w:szCs w:val="36"/>
          <w14:textFill>
            <w14:solidFill>
              <w14:schemeClr w14:val="tx1"/>
            </w14:solidFill>
          </w14:textFill>
        </w:rPr>
        <w:t>8环境管理与监测计划</w:t>
      </w:r>
      <w:bookmarkEnd w:id="702"/>
      <w:bookmarkEnd w:id="703"/>
      <w:bookmarkEnd w:id="704"/>
      <w:bookmarkEnd w:id="705"/>
      <w:bookmarkEnd w:id="706"/>
      <w:bookmarkEnd w:id="707"/>
      <w:bookmarkEnd w:id="708"/>
    </w:p>
    <w:p w14:paraId="6517CF6A">
      <w:pPr>
        <w:pStyle w:val="3"/>
        <w:jc w:val="left"/>
        <w:rPr>
          <w:rFonts w:ascii="Times New Roman" w:hAnsi="Times New Roman" w:eastAsia="宋体" w:cs="Times New Roman"/>
          <w:bCs/>
          <w:color w:val="000000" w:themeColor="text1"/>
          <w:kern w:val="2"/>
          <w:szCs w:val="32"/>
          <w14:textFill>
            <w14:solidFill>
              <w14:schemeClr w14:val="tx1"/>
            </w14:solidFill>
          </w14:textFill>
        </w:rPr>
      </w:pPr>
      <w:bookmarkStart w:id="709" w:name="_Toc29434"/>
      <w:bookmarkStart w:id="710" w:name="_Toc13527"/>
      <w:bookmarkStart w:id="711" w:name="_Toc23353"/>
      <w:bookmarkStart w:id="712" w:name="_Toc9263"/>
      <w:r>
        <w:rPr>
          <w:rFonts w:hint="eastAsia" w:ascii="Times New Roman" w:hAnsi="Times New Roman" w:eastAsia="宋体" w:cs="Times New Roman"/>
          <w:bCs/>
          <w:color w:val="000000" w:themeColor="text1"/>
          <w:kern w:val="2"/>
          <w:szCs w:val="32"/>
          <w14:textFill>
            <w14:solidFill>
              <w14:schemeClr w14:val="tx1"/>
            </w14:solidFill>
          </w14:textFill>
        </w:rPr>
        <w:t>8.1建设项目环境管理</w:t>
      </w:r>
      <w:bookmarkEnd w:id="709"/>
      <w:bookmarkEnd w:id="710"/>
      <w:bookmarkEnd w:id="711"/>
      <w:bookmarkEnd w:id="712"/>
    </w:p>
    <w:p w14:paraId="030F879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000000" w:themeColor="text1"/>
          <w:sz w:val="24"/>
          <w:szCs w:val="24"/>
          <w:lang w:bidi="ar"/>
          <w14:textFill>
            <w14:solidFill>
              <w14:schemeClr w14:val="tx1"/>
            </w14:solidFill>
          </w14:textFill>
        </w:rPr>
      </w:pPr>
      <w:r>
        <w:rPr>
          <w:rFonts w:ascii="Times New Roman" w:hAnsi="Times New Roman" w:eastAsia="宋体" w:cs="Times New Roman"/>
          <w:color w:val="000000" w:themeColor="text1"/>
          <w:sz w:val="24"/>
          <w:szCs w:val="24"/>
          <w:lang w:bidi="ar"/>
          <w14:textFill>
            <w14:solidFill>
              <w14:schemeClr w14:val="tx1"/>
            </w14:solidFill>
          </w14:textFill>
        </w:rPr>
        <w:t>环境管理是现代企业管理制度的重要内容之一。通过实行全面、系统的环境管理使企业的各环境因素得到有效控制，更重要的是通过落实环境计划和环境政策对企业的环境状况进行调控，以达到改善环境绩效的目的。</w:t>
      </w:r>
    </w:p>
    <w:p w14:paraId="4B140A6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lang w:bidi="ar"/>
          <w14:textFill>
            <w14:solidFill>
              <w14:schemeClr w14:val="tx1"/>
            </w14:solidFill>
          </w14:textFill>
        </w:rPr>
        <w:t>企业环境管理涉及的范围包括：企业发展规划的制定、基础设施建设、环境目标制定等各项环境管理、环境监督活动等。目前企业的环境管理比较薄弱，人员配置和管理制度还不完善，针对企业存在的主要环境问题，环境管理包括以下具体内容：</w:t>
      </w:r>
    </w:p>
    <w:p w14:paraId="7815B55D">
      <w:pPr>
        <w:pStyle w:val="4"/>
        <w:numPr>
          <w:ilvl w:val="-1"/>
          <w:numId w:val="0"/>
        </w:numPr>
        <w:rPr>
          <w:color w:val="000000" w:themeColor="text1"/>
          <w14:textFill>
            <w14:solidFill>
              <w14:schemeClr w14:val="tx1"/>
            </w14:solidFill>
          </w14:textFill>
        </w:rPr>
      </w:pPr>
      <w:bookmarkStart w:id="713" w:name="_bookmark50"/>
      <w:bookmarkEnd w:id="713"/>
      <w:r>
        <w:rPr>
          <w:rFonts w:hint="eastAsia"/>
          <w:color w:val="000000" w:themeColor="text1"/>
          <w14:textFill>
            <w14:solidFill>
              <w14:schemeClr w14:val="tx1"/>
            </w14:solidFill>
          </w14:textFill>
        </w:rPr>
        <w:t>8.1.1环境管理依据</w:t>
      </w:r>
    </w:p>
    <w:p w14:paraId="14043334">
      <w:pPr>
        <w:spacing w:line="48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环境管理是运用计划、组织、协调、控制、监督等手段，为达到预期</w:t>
      </w:r>
      <w:r>
        <w:rPr>
          <w:rFonts w:ascii="Times New Roman" w:hAnsi="Times New Roman" w:eastAsia="宋体" w:cs="Times New Roman"/>
          <w:color w:val="000000" w:themeColor="text1"/>
          <w:sz w:val="24"/>
          <w:szCs w:val="24"/>
          <w:lang w:bidi="ar"/>
          <w14:textFill>
            <w14:solidFill>
              <w14:schemeClr w14:val="tx1"/>
            </w14:solidFill>
          </w14:textFill>
        </w:rPr>
        <w:fldChar w:fldCharType="begin"/>
      </w:r>
      <w:r>
        <w:rPr>
          <w:rFonts w:ascii="Times New Roman" w:hAnsi="Times New Roman" w:eastAsia="宋体" w:cs="Times New Roman"/>
          <w:color w:val="000000" w:themeColor="text1"/>
          <w:sz w:val="24"/>
          <w:szCs w:val="24"/>
          <w:lang w:bidi="ar"/>
          <w14:textFill>
            <w14:solidFill>
              <w14:schemeClr w14:val="tx1"/>
            </w14:solidFill>
          </w14:textFill>
        </w:rPr>
        <w:instrText xml:space="preserve"> HYPERLINK "http://baike.baidu.com/view/630548.htm" </w:instrText>
      </w:r>
      <w:r>
        <w:rPr>
          <w:rFonts w:ascii="Times New Roman" w:hAnsi="Times New Roman" w:eastAsia="宋体" w:cs="Times New Roman"/>
          <w:color w:val="000000" w:themeColor="text1"/>
          <w:sz w:val="24"/>
          <w:szCs w:val="24"/>
          <w:lang w:bidi="ar"/>
          <w14:textFill>
            <w14:solidFill>
              <w14:schemeClr w14:val="tx1"/>
            </w14:solidFill>
          </w14:textFill>
        </w:rPr>
        <w:fldChar w:fldCharType="separate"/>
      </w:r>
      <w:r>
        <w:rPr>
          <w:rFonts w:hint="eastAsia" w:ascii="Times New Roman" w:hAnsi="Times New Roman" w:eastAsia="宋体" w:cs="Times New Roman"/>
          <w:color w:val="000000" w:themeColor="text1"/>
          <w:sz w:val="24"/>
          <w:szCs w:val="24"/>
          <w:lang w:bidi="ar"/>
          <w14:textFill>
            <w14:solidFill>
              <w14:schemeClr w14:val="tx1"/>
            </w14:solidFill>
          </w14:textFill>
        </w:rPr>
        <w:t>环境目标</w:t>
      </w:r>
      <w:r>
        <w:rPr>
          <w:rFonts w:hint="eastAsia" w:ascii="Times New Roman" w:hAnsi="Times New Roman" w:eastAsia="宋体" w:cs="Times New Roman"/>
          <w:color w:val="000000" w:themeColor="text1"/>
          <w:sz w:val="24"/>
          <w:szCs w:val="24"/>
          <w:lang w:bidi="ar"/>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bidi="ar"/>
          <w14:textFill>
            <w14:solidFill>
              <w14:schemeClr w14:val="tx1"/>
            </w14:solidFill>
          </w14:textFill>
        </w:rPr>
        <w:t>而进行的一项综合性活动。根据《中华人民共和国</w:t>
      </w:r>
      <w:r>
        <w:rPr>
          <w:rFonts w:ascii="Times New Roman" w:hAnsi="Times New Roman" w:eastAsia="宋体" w:cs="Times New Roman"/>
          <w:color w:val="000000" w:themeColor="text1"/>
          <w:sz w:val="24"/>
          <w:szCs w:val="24"/>
          <w:lang w:bidi="ar"/>
          <w14:textFill>
            <w14:solidFill>
              <w14:schemeClr w14:val="tx1"/>
            </w14:solidFill>
          </w14:textFill>
        </w:rPr>
        <w:fldChar w:fldCharType="begin"/>
      </w:r>
      <w:r>
        <w:rPr>
          <w:rFonts w:ascii="Times New Roman" w:hAnsi="Times New Roman" w:eastAsia="宋体" w:cs="Times New Roman"/>
          <w:color w:val="000000" w:themeColor="text1"/>
          <w:sz w:val="24"/>
          <w:szCs w:val="24"/>
          <w:lang w:bidi="ar"/>
          <w14:textFill>
            <w14:solidFill>
              <w14:schemeClr w14:val="tx1"/>
            </w14:solidFill>
          </w14:textFill>
        </w:rPr>
        <w:instrText xml:space="preserve"> HYPERLINK "http://baike.baidu.com/view/9724.htm" </w:instrText>
      </w:r>
      <w:r>
        <w:rPr>
          <w:rFonts w:ascii="Times New Roman" w:hAnsi="Times New Roman" w:eastAsia="宋体" w:cs="Times New Roman"/>
          <w:color w:val="000000" w:themeColor="text1"/>
          <w:sz w:val="24"/>
          <w:szCs w:val="24"/>
          <w:lang w:bidi="ar"/>
          <w14:textFill>
            <w14:solidFill>
              <w14:schemeClr w14:val="tx1"/>
            </w14:solidFill>
          </w14:textFill>
        </w:rPr>
        <w:fldChar w:fldCharType="separate"/>
      </w:r>
      <w:r>
        <w:rPr>
          <w:rFonts w:hint="eastAsia" w:ascii="Times New Roman" w:hAnsi="Times New Roman" w:eastAsia="宋体" w:cs="Times New Roman"/>
          <w:color w:val="000000" w:themeColor="text1"/>
          <w:sz w:val="24"/>
          <w:szCs w:val="24"/>
          <w:lang w:bidi="ar"/>
          <w14:textFill>
            <w14:solidFill>
              <w14:schemeClr w14:val="tx1"/>
            </w14:solidFill>
          </w14:textFill>
        </w:rPr>
        <w:t>环境保护</w:t>
      </w:r>
      <w:r>
        <w:rPr>
          <w:rFonts w:hint="eastAsia" w:ascii="Times New Roman" w:hAnsi="Times New Roman" w:eastAsia="宋体" w:cs="Times New Roman"/>
          <w:color w:val="000000" w:themeColor="text1"/>
          <w:sz w:val="24"/>
          <w:szCs w:val="24"/>
          <w:lang w:bidi="ar"/>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bidi="ar"/>
          <w14:textFill>
            <w14:solidFill>
              <w14:schemeClr w14:val="tx1"/>
            </w14:solidFill>
          </w14:textFill>
        </w:rPr>
        <w:t>法》规定，</w:t>
      </w:r>
      <w:r>
        <w:rPr>
          <w:rFonts w:ascii="Times New Roman" w:hAnsi="Times New Roman" w:eastAsia="宋体" w:cs="Times New Roman"/>
          <w:color w:val="000000" w:themeColor="text1"/>
          <w:sz w:val="24"/>
          <w:szCs w:val="24"/>
          <w:lang w:bidi="ar"/>
          <w14:textFill>
            <w14:solidFill>
              <w14:schemeClr w14:val="tx1"/>
            </w14:solidFill>
          </w14:textFill>
        </w:rPr>
        <w:fldChar w:fldCharType="begin"/>
      </w:r>
      <w:r>
        <w:rPr>
          <w:rFonts w:ascii="Times New Roman" w:hAnsi="Times New Roman" w:eastAsia="宋体" w:cs="Times New Roman"/>
          <w:color w:val="000000" w:themeColor="text1"/>
          <w:sz w:val="24"/>
          <w:szCs w:val="24"/>
          <w:lang w:bidi="ar"/>
          <w14:textFill>
            <w14:solidFill>
              <w14:schemeClr w14:val="tx1"/>
            </w14:solidFill>
          </w14:textFill>
        </w:rPr>
        <w:instrText xml:space="preserve"> HYPERLINK "http://baike.baidu.com/view/17491.htm" </w:instrText>
      </w:r>
      <w:r>
        <w:rPr>
          <w:rFonts w:ascii="Times New Roman" w:hAnsi="Times New Roman" w:eastAsia="宋体" w:cs="Times New Roman"/>
          <w:color w:val="000000" w:themeColor="text1"/>
          <w:sz w:val="24"/>
          <w:szCs w:val="24"/>
          <w:lang w:bidi="ar"/>
          <w14:textFill>
            <w14:solidFill>
              <w14:schemeClr w14:val="tx1"/>
            </w14:solidFill>
          </w14:textFill>
        </w:rPr>
        <w:fldChar w:fldCharType="separate"/>
      </w:r>
      <w:r>
        <w:rPr>
          <w:rFonts w:hint="eastAsia" w:ascii="Times New Roman" w:hAnsi="Times New Roman" w:eastAsia="宋体" w:cs="Times New Roman"/>
          <w:color w:val="000000" w:themeColor="text1"/>
          <w:sz w:val="24"/>
          <w:szCs w:val="24"/>
          <w:lang w:bidi="ar"/>
          <w14:textFill>
            <w14:solidFill>
              <w14:schemeClr w14:val="tx1"/>
            </w14:solidFill>
          </w14:textFill>
        </w:rPr>
        <w:t>国务院</w:t>
      </w:r>
      <w:r>
        <w:rPr>
          <w:rFonts w:hint="eastAsia" w:ascii="Times New Roman" w:hAnsi="Times New Roman" w:eastAsia="宋体" w:cs="Times New Roman"/>
          <w:color w:val="000000" w:themeColor="text1"/>
          <w:sz w:val="24"/>
          <w:szCs w:val="24"/>
          <w:lang w:bidi="ar"/>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bidi="ar"/>
          <w14:textFill>
            <w14:solidFill>
              <w14:schemeClr w14:val="tx1"/>
            </w14:solidFill>
          </w14:textFill>
        </w:rPr>
        <w:t>生态环境保护行政主管部门对全国环境保护工作实施统一监督管理。</w:t>
      </w:r>
    </w:p>
    <w:p w14:paraId="4EC1292F">
      <w:pPr>
        <w:spacing w:line="480" w:lineRule="exact"/>
        <w:ind w:firstLine="480" w:firstLineChars="200"/>
        <w:jc w:val="both"/>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《中华人民共和国环境保护法》第四章对我国长期以来实行的行之有效的环境</w:t>
      </w:r>
      <w:r>
        <w:rPr>
          <w:rFonts w:ascii="Times New Roman" w:hAnsi="Times New Roman" w:eastAsia="宋体" w:cs="Times New Roman"/>
          <w:color w:val="000000" w:themeColor="text1"/>
          <w:sz w:val="24"/>
          <w:szCs w:val="24"/>
          <w:lang w:bidi="ar"/>
          <w14:textFill>
            <w14:solidFill>
              <w14:schemeClr w14:val="tx1"/>
            </w14:solidFill>
          </w14:textFill>
        </w:rPr>
        <w:fldChar w:fldCharType="begin"/>
      </w:r>
      <w:r>
        <w:rPr>
          <w:rFonts w:ascii="Times New Roman" w:hAnsi="Times New Roman" w:eastAsia="宋体" w:cs="Times New Roman"/>
          <w:color w:val="000000" w:themeColor="text1"/>
          <w:sz w:val="24"/>
          <w:szCs w:val="24"/>
          <w:lang w:bidi="ar"/>
          <w14:textFill>
            <w14:solidFill>
              <w14:schemeClr w14:val="tx1"/>
            </w14:solidFill>
          </w14:textFill>
        </w:rPr>
        <w:instrText xml:space="preserve"> HYPERLINK "http://baike.baidu.com/view/673434.htm" </w:instrText>
      </w:r>
      <w:r>
        <w:rPr>
          <w:rFonts w:ascii="Times New Roman" w:hAnsi="Times New Roman" w:eastAsia="宋体" w:cs="Times New Roman"/>
          <w:color w:val="000000" w:themeColor="text1"/>
          <w:sz w:val="24"/>
          <w:szCs w:val="24"/>
          <w:lang w:bidi="ar"/>
          <w14:textFill>
            <w14:solidFill>
              <w14:schemeClr w14:val="tx1"/>
            </w14:solidFill>
          </w14:textFill>
        </w:rPr>
        <w:fldChar w:fldCharType="separate"/>
      </w:r>
      <w:r>
        <w:rPr>
          <w:rFonts w:hint="eastAsia" w:ascii="Times New Roman" w:hAnsi="Times New Roman" w:eastAsia="宋体" w:cs="Times New Roman"/>
          <w:color w:val="000000" w:themeColor="text1"/>
          <w:sz w:val="24"/>
          <w:szCs w:val="24"/>
          <w:lang w:bidi="ar"/>
          <w14:textFill>
            <w14:solidFill>
              <w14:schemeClr w14:val="tx1"/>
            </w14:solidFill>
          </w14:textFill>
        </w:rPr>
        <w:t>管理制度</w:t>
      </w:r>
      <w:r>
        <w:rPr>
          <w:rFonts w:hint="eastAsia" w:ascii="Times New Roman" w:hAnsi="Times New Roman" w:eastAsia="宋体" w:cs="Times New Roman"/>
          <w:color w:val="000000" w:themeColor="text1"/>
          <w:sz w:val="24"/>
          <w:szCs w:val="24"/>
          <w:lang w:bidi="ar"/>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bidi="ar"/>
          <w14:textFill>
            <w14:solidFill>
              <w14:schemeClr w14:val="tx1"/>
            </w14:solidFill>
          </w14:textFill>
        </w:rPr>
        <w:t>进行了总结，并作出了</w:t>
      </w:r>
      <w:r>
        <w:rPr>
          <w:rFonts w:ascii="Times New Roman" w:hAnsi="Times New Roman" w:eastAsia="宋体" w:cs="Times New Roman"/>
          <w:color w:val="000000" w:themeColor="text1"/>
          <w:sz w:val="24"/>
          <w:szCs w:val="24"/>
          <w:lang w:bidi="ar"/>
          <w14:textFill>
            <w14:solidFill>
              <w14:schemeClr w14:val="tx1"/>
            </w14:solidFill>
          </w14:textFill>
        </w:rPr>
        <w:t>11</w:t>
      </w:r>
      <w:r>
        <w:rPr>
          <w:rFonts w:hint="eastAsia" w:ascii="Times New Roman" w:hAnsi="Times New Roman" w:eastAsia="宋体" w:cs="Times New Roman"/>
          <w:color w:val="000000" w:themeColor="text1"/>
          <w:sz w:val="24"/>
          <w:szCs w:val="24"/>
          <w:lang w:bidi="ar"/>
          <w14:textFill>
            <w14:solidFill>
              <w14:schemeClr w14:val="tx1"/>
            </w14:solidFill>
          </w14:textFill>
        </w:rPr>
        <w:t>条规定。本次环境管理内容及制度均依据《中华人民共和国环境保护法》的规定严格</w:t>
      </w:r>
      <w:r>
        <w:rPr>
          <w:rFonts w:hint="eastAsia" w:cs="Times New Roman"/>
          <w:color w:val="000000" w:themeColor="text1"/>
          <w:sz w:val="24"/>
          <w:szCs w:val="24"/>
          <w:lang w:eastAsia="zh-CN" w:bidi="ar"/>
          <w14:textFill>
            <w14:solidFill>
              <w14:schemeClr w14:val="tx1"/>
            </w14:solidFill>
          </w14:textFill>
        </w:rPr>
        <w:t>制定</w:t>
      </w:r>
      <w:r>
        <w:rPr>
          <w:rFonts w:hint="eastAsia" w:ascii="Times New Roman" w:hAnsi="Times New Roman" w:eastAsia="宋体" w:cs="Times New Roman"/>
          <w:color w:val="000000" w:themeColor="text1"/>
          <w:sz w:val="24"/>
          <w:szCs w:val="24"/>
          <w:lang w:bidi="ar"/>
          <w14:textFill>
            <w14:solidFill>
              <w14:schemeClr w14:val="tx1"/>
            </w14:solidFill>
          </w14:textFill>
        </w:rPr>
        <w:t>和执行。</w:t>
      </w:r>
    </w:p>
    <w:p w14:paraId="11D000C1">
      <w:pPr>
        <w:pStyle w:val="4"/>
        <w:numPr>
          <w:ilvl w:val="-1"/>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8.1.2环境管理的目的及任务</w:t>
      </w:r>
    </w:p>
    <w:p w14:paraId="5CCF2F41">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bookmarkStart w:id="714" w:name="_Toc99975509"/>
      <w:bookmarkStart w:id="715" w:name="_Toc99950977"/>
      <w:r>
        <w:rPr>
          <w:rFonts w:hint="eastAsia" w:ascii="Times New Roman" w:hAnsi="Times New Roman" w:eastAsia="宋体" w:cs="Times New Roman"/>
          <w:color w:val="000000" w:themeColor="text1"/>
          <w:sz w:val="24"/>
          <w:szCs w:val="24"/>
          <w:lang w:bidi="ar"/>
          <w14:textFill>
            <w14:solidFill>
              <w14:schemeClr w14:val="tx1"/>
            </w14:solidFill>
          </w14:textFill>
        </w:rPr>
        <w:t>1、环境管理的目的</w:t>
      </w:r>
    </w:p>
    <w:p w14:paraId="65387DF1">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环境管理是环境保护工作的重要内容之一，是现代企业管理的重要组成部分，与企业内部生产管理、劳动管理、财务管理、安全管理同等重要。</w:t>
      </w:r>
      <w:bookmarkEnd w:id="714"/>
      <w:bookmarkEnd w:id="715"/>
    </w:p>
    <w:p w14:paraId="6E28677A">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随着国家环境管理力度的加强，</w:t>
      </w:r>
      <w:r>
        <w:rPr>
          <w:rFonts w:hint="eastAsia" w:cs="Times New Roman"/>
          <w:color w:val="000000" w:themeColor="text1"/>
          <w:sz w:val="24"/>
          <w:szCs w:val="24"/>
          <w:lang w:val="en-US" w:eastAsia="zh-CN" w:bidi="ar"/>
          <w14:textFill>
            <w14:solidFill>
              <w14:schemeClr w14:val="tx1"/>
            </w14:solidFill>
          </w14:textFill>
        </w:rPr>
        <w:t>生态环境保护</w:t>
      </w:r>
      <w:r>
        <w:rPr>
          <w:rFonts w:hint="eastAsia" w:ascii="Times New Roman" w:hAnsi="Times New Roman" w:eastAsia="宋体" w:cs="Times New Roman"/>
          <w:color w:val="000000" w:themeColor="text1"/>
          <w:sz w:val="24"/>
          <w:szCs w:val="24"/>
          <w:lang w:bidi="ar"/>
          <w14:textFill>
            <w14:solidFill>
              <w14:schemeClr w14:val="tx1"/>
            </w14:solidFill>
          </w14:textFill>
        </w:rPr>
        <w:t>法律法规的完善及全民环境意识的增强，对企业环境保护工作要求也不断提高，这就</w:t>
      </w:r>
      <w:r>
        <w:rPr>
          <w:rFonts w:hint="eastAsia" w:cs="Times New Roman"/>
          <w:color w:val="000000" w:themeColor="text1"/>
          <w:sz w:val="24"/>
          <w:szCs w:val="24"/>
          <w:lang w:eastAsia="zh-CN" w:bidi="ar"/>
          <w14:textFill>
            <w14:solidFill>
              <w14:schemeClr w14:val="tx1"/>
            </w14:solidFill>
          </w14:textFill>
        </w:rPr>
        <w:t>要求</w:t>
      </w:r>
      <w:r>
        <w:rPr>
          <w:rFonts w:hint="eastAsia" w:ascii="Times New Roman" w:hAnsi="Times New Roman" w:eastAsia="宋体" w:cs="Times New Roman"/>
          <w:color w:val="000000" w:themeColor="text1"/>
          <w:sz w:val="24"/>
          <w:szCs w:val="24"/>
          <w:lang w:bidi="ar"/>
          <w14:textFill>
            <w14:solidFill>
              <w14:schemeClr w14:val="tx1"/>
            </w14:solidFill>
          </w14:textFill>
        </w:rPr>
        <w:t>企业要加强自身环境管理机构建设，健全环境管理制度，制定环境管理职责，并将其列入企业议事日程，对企业内部生产、经营过程中发生或可能发生的环境问题进行深入细致</w:t>
      </w:r>
      <w:r>
        <w:rPr>
          <w:rFonts w:hint="eastAsia" w:cs="Times New Roman"/>
          <w:color w:val="000000" w:themeColor="text1"/>
          <w:sz w:val="24"/>
          <w:szCs w:val="24"/>
          <w:lang w:eastAsia="zh-CN" w:bidi="ar"/>
          <w14:textFill>
            <w14:solidFill>
              <w14:schemeClr w14:val="tx1"/>
            </w14:solidFill>
          </w14:textFill>
        </w:rPr>
        <w:t>地</w:t>
      </w:r>
      <w:r>
        <w:rPr>
          <w:rFonts w:hint="eastAsia" w:ascii="Times New Roman" w:hAnsi="Times New Roman" w:eastAsia="宋体" w:cs="Times New Roman"/>
          <w:color w:val="000000" w:themeColor="text1"/>
          <w:sz w:val="24"/>
          <w:szCs w:val="24"/>
          <w:lang w:bidi="ar"/>
          <w14:textFill>
            <w14:solidFill>
              <w14:schemeClr w14:val="tx1"/>
            </w14:solidFill>
          </w14:textFill>
        </w:rPr>
        <w:t>研究，制定合理污染防治方案以达到既发展生产，增加经济效益，又保护环境的目的。</w:t>
      </w:r>
    </w:p>
    <w:p w14:paraId="3D476095">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2、环境管理的任务</w:t>
      </w:r>
    </w:p>
    <w:p w14:paraId="3A97B58F">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对于项目来说，环境管理的基本任务是：控制污染物排放量，避免污染物对环境质量的损害。</w:t>
      </w:r>
    </w:p>
    <w:p w14:paraId="181D2B05">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为了控制污染物的排放，就需要加强计划、生产、技术、质量、设备、劳动、财务等方面的管理，把环境管理渗透到整个企业管理中，将环境管理融合在一起，以减少从生产过程中各环节排出的污染物。</w:t>
      </w:r>
    </w:p>
    <w:p w14:paraId="348E8C88">
      <w:pPr>
        <w:spacing w:line="480" w:lineRule="exact"/>
        <w:ind w:firstLine="480" w:firstLineChars="200"/>
        <w:jc w:val="both"/>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项目需把环境管理作为工业企业管理的重要组成部分，建立环境污染管理系统、制度、环境规划、协调发展生</w:t>
      </w:r>
      <w:r>
        <w:rPr>
          <w:rFonts w:hint="eastAsia" w:cs="Times New Roman"/>
          <w:color w:val="000000" w:themeColor="text1"/>
          <w:sz w:val="24"/>
          <w:szCs w:val="24"/>
          <w:lang w:eastAsia="zh-CN" w:bidi="ar"/>
          <w14:textFill>
            <w14:solidFill>
              <w14:schemeClr w14:val="tx1"/>
            </w14:solidFill>
          </w14:textFill>
        </w:rPr>
        <w:t>产和</w:t>
      </w:r>
      <w:r>
        <w:rPr>
          <w:rFonts w:hint="eastAsia" w:ascii="Times New Roman" w:hAnsi="Times New Roman" w:eastAsia="宋体" w:cs="Times New Roman"/>
          <w:color w:val="000000" w:themeColor="text1"/>
          <w:sz w:val="24"/>
          <w:szCs w:val="24"/>
          <w:lang w:bidi="ar"/>
          <w14:textFill>
            <w14:solidFill>
              <w14:schemeClr w14:val="tx1"/>
            </w14:solidFill>
          </w14:textFill>
        </w:rPr>
        <w:t>保护环境的关系，使生产管理系统、制度、环境污染规划协调生产与保护环境的关系，使生产目标与环境目标统一起来，经济效益与环境效益统一起来。</w:t>
      </w:r>
    </w:p>
    <w:p w14:paraId="7326F1C1">
      <w:pPr>
        <w:pStyle w:val="4"/>
        <w:numPr>
          <w:ilvl w:val="-1"/>
          <w:numId w:val="0"/>
        </w:num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8.1.3环境管理机构</w:t>
      </w:r>
    </w:p>
    <w:p w14:paraId="08D08880">
      <w:pPr>
        <w:spacing w:line="480" w:lineRule="exact"/>
        <w:ind w:firstLine="480" w:firstLineChars="200"/>
        <w:jc w:val="both"/>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项目已成立“事故防范和应急处理指挥小组”和“环保工作领导小组”，</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项目建立</w:t>
      </w:r>
      <w:r>
        <w:rPr>
          <w:rFonts w:hint="eastAsia" w:ascii="Times New Roman" w:hAnsi="Times New Roman" w:eastAsia="宋体" w:cs="Times New Roman"/>
          <w:color w:val="000000" w:themeColor="text1"/>
          <w:sz w:val="24"/>
          <w:szCs w:val="24"/>
          <w:lang w:bidi="ar"/>
          <w14:textFill>
            <w14:solidFill>
              <w14:schemeClr w14:val="tx1"/>
            </w14:solidFill>
          </w14:textFill>
        </w:rPr>
        <w:t>以矿长为负责人的整套环境管理体系，设置2名专职环境管理人员，随时监督矿区环境保护措施落实情况，随时向矿长</w:t>
      </w:r>
      <w:r>
        <w:rPr>
          <w:rFonts w:hint="eastAsia" w:cs="Times New Roman"/>
          <w:color w:val="000000" w:themeColor="text1"/>
          <w:sz w:val="24"/>
          <w:szCs w:val="24"/>
          <w:lang w:eastAsia="zh-CN" w:bidi="ar"/>
          <w14:textFill>
            <w14:solidFill>
              <w14:schemeClr w14:val="tx1"/>
            </w14:solidFill>
          </w14:textFill>
        </w:rPr>
        <w:t>汇报</w:t>
      </w:r>
      <w:r>
        <w:rPr>
          <w:rFonts w:hint="eastAsia" w:ascii="Times New Roman" w:hAnsi="Times New Roman" w:eastAsia="宋体" w:cs="Times New Roman"/>
          <w:color w:val="000000" w:themeColor="text1"/>
          <w:sz w:val="24"/>
          <w:szCs w:val="24"/>
          <w:lang w:bidi="ar"/>
          <w14:textFill>
            <w14:solidFill>
              <w14:schemeClr w14:val="tx1"/>
            </w14:solidFill>
          </w14:textFill>
        </w:rPr>
        <w:t>环保工作情况，保证矿区环保工作的顺利开展和持续。</w:t>
      </w:r>
    </w:p>
    <w:p w14:paraId="14799301">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环境管理机构的职责：</w:t>
      </w:r>
    </w:p>
    <w:p w14:paraId="3D545EE4">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（1）贯彻执行环境污染保护法和标准；</w:t>
      </w:r>
    </w:p>
    <w:p w14:paraId="7F6719FB">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（2）组织制定和修改企业的环境污染保护管理体制</w:t>
      </w:r>
      <w:r>
        <w:rPr>
          <w:rFonts w:hint="eastAsia" w:cs="Times New Roman"/>
          <w:color w:val="000000" w:themeColor="text1"/>
          <w:sz w:val="24"/>
          <w:szCs w:val="24"/>
          <w:lang w:val="en-US" w:eastAsia="zh-CN" w:bidi="ar"/>
          <w14:textFill>
            <w14:solidFill>
              <w14:schemeClr w14:val="tx1"/>
            </w14:solidFill>
          </w14:textFill>
        </w:rPr>
        <w:t>和</w:t>
      </w:r>
      <w:r>
        <w:rPr>
          <w:rFonts w:hint="eastAsia" w:ascii="Times New Roman" w:hAnsi="Times New Roman" w:eastAsia="宋体" w:cs="Times New Roman"/>
          <w:color w:val="000000" w:themeColor="text1"/>
          <w:sz w:val="24"/>
          <w:szCs w:val="24"/>
          <w:lang w:bidi="ar"/>
          <w14:textFill>
            <w14:solidFill>
              <w14:schemeClr w14:val="tx1"/>
            </w14:solidFill>
          </w14:textFill>
        </w:rPr>
        <w:t>规章制度，并监督执行；</w:t>
      </w:r>
    </w:p>
    <w:p w14:paraId="560AE6E9">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（3）制定并组织实施环境保护规划和标准；</w:t>
      </w:r>
    </w:p>
    <w:p w14:paraId="33DAA8E5">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（4）检查企业环境保护规划和计划；</w:t>
      </w:r>
    </w:p>
    <w:p w14:paraId="7FBE2BD8">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（5）建立资料库，管理污染源监测数据及资料的收集与存档；</w:t>
      </w:r>
    </w:p>
    <w:p w14:paraId="01EE82F9">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（6）加强安全生产教育，制定定期维修机器设备制度；</w:t>
      </w:r>
    </w:p>
    <w:p w14:paraId="722035CB">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（7）监督“三同时”的执行情况，尤其重视污染处理措施的运行效果。</w:t>
      </w:r>
    </w:p>
    <w:p w14:paraId="44B08582">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（8）监督检查环保处理设施和环保设备的运行情况；</w:t>
      </w:r>
    </w:p>
    <w:p w14:paraId="3F543922">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（9）负责企业生产过程中发生的各种环境污染事故的调查及应急处理；</w:t>
      </w:r>
    </w:p>
    <w:p w14:paraId="76D9AEEC">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（10）负责企业其他日常环境管理工作。</w:t>
      </w:r>
    </w:p>
    <w:p w14:paraId="16960663">
      <w:pPr>
        <w:spacing w:line="480" w:lineRule="exact"/>
        <w:ind w:firstLine="480" w:firstLineChars="200"/>
        <w:jc w:val="both"/>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（11）积极配合当地</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生态环境部门</w:t>
      </w:r>
      <w:r>
        <w:rPr>
          <w:rFonts w:hint="eastAsia" w:ascii="Times New Roman" w:hAnsi="Times New Roman" w:eastAsia="宋体" w:cs="Times New Roman"/>
          <w:color w:val="000000" w:themeColor="text1"/>
          <w:sz w:val="24"/>
          <w:szCs w:val="24"/>
          <w:lang w:bidi="ar"/>
          <w14:textFill>
            <w14:solidFill>
              <w14:schemeClr w14:val="tx1"/>
            </w14:solidFill>
          </w14:textFill>
        </w:rPr>
        <w:t>的环境管理和环境监测工作。</w:t>
      </w:r>
    </w:p>
    <w:p w14:paraId="1C603B96">
      <w:pPr>
        <w:pStyle w:val="4"/>
        <w:numPr>
          <w:ilvl w:val="-1"/>
          <w:numId w:val="0"/>
        </w:num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8.1.4环境管理内容</w:t>
      </w:r>
    </w:p>
    <w:p w14:paraId="33C41BF1">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1、施工期环境管理内容</w:t>
      </w:r>
    </w:p>
    <w:p w14:paraId="68D3C23F">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（1）建设单位应与本次环评项目的施工单位协商，将施工期环境保护责任纳入双方合同文本，要求施工单位认真落实施工的环境保护措施。</w:t>
      </w:r>
    </w:p>
    <w:p w14:paraId="0F6B7688">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（2）施工单位须严格按照环评报告书及批复要求进行合理施工，尽最大可能地减少地表扰动面积。</w:t>
      </w:r>
    </w:p>
    <w:p w14:paraId="0499312B">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（3）施工单位应配备专职环境管理人员，负责各类污染源的现场监控和管理，尤其是应严格控制高噪声、高振动施工设备的施工时间；严格限制粉状物料的露天堆放；严格控制进出施工场地车辆物料遗撒。</w:t>
      </w:r>
    </w:p>
    <w:p w14:paraId="54B4E485">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（4）专职环境管理人员应做好文明施工的宣传工作，借助黑板报、宣传栏等工具对施工工人进行环境保护教育。</w:t>
      </w:r>
    </w:p>
    <w:p w14:paraId="11D4099E">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（5）工程施工单位应自觉接受生态环境管理部门的监督指导，主动配合生态环境主管部门搞好项目施工期的环境保护工作。</w:t>
      </w:r>
    </w:p>
    <w:p w14:paraId="79A00E0B">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（6）建议建设单位按有关施工招标程序设置环境监理，并在当地生态环境部门的监督指导下，全面、规范地进行施工期的环境监理，以确保将施工期的生态环境影响降到最低。</w:t>
      </w:r>
    </w:p>
    <w:p w14:paraId="42A8A8C6">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2、运营期环境管理内容</w:t>
      </w:r>
    </w:p>
    <w:p w14:paraId="303C0912">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（1）公司领导管理内容</w:t>
      </w:r>
    </w:p>
    <w:p w14:paraId="14F628F3">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①负责贯彻国家环境保护法、环境保护方针和政策。</w:t>
      </w:r>
    </w:p>
    <w:p w14:paraId="114E5295">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②负责建立完整的环保机构，保证人员的落实。</w:t>
      </w:r>
    </w:p>
    <w:p w14:paraId="054D466A">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（2）安全环保部管理内容</w:t>
      </w:r>
    </w:p>
    <w:p w14:paraId="56D51F76">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①贯彻公司或上级生态环境有关的环保制度和规定。在公司领导下，做好</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办公生活区</w:t>
      </w:r>
      <w:r>
        <w:rPr>
          <w:rFonts w:hint="eastAsia" w:ascii="Times New Roman" w:hAnsi="Times New Roman" w:eastAsia="宋体" w:cs="Times New Roman"/>
          <w:color w:val="000000" w:themeColor="text1"/>
          <w:sz w:val="24"/>
          <w:szCs w:val="24"/>
          <w:lang w:bidi="ar"/>
          <w14:textFill>
            <w14:solidFill>
              <w14:schemeClr w14:val="tx1"/>
            </w14:solidFill>
          </w14:textFill>
        </w:rPr>
        <w:t>及其所属道路的绿化、美化工作。组织安排职工参加植树、种草等绿化及生态恢复工作。</w:t>
      </w:r>
    </w:p>
    <w:p w14:paraId="7DD1081C">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②汇总、编报环保年度计划及规划，并监督、检查执行情况。</w:t>
      </w:r>
    </w:p>
    <w:p w14:paraId="3DFF5358">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③检查、督促各处室做好卫生、绿化工作。组织做好垃圾的定点堆放和清运工作。保证清洁人员按指定地段每日将道路清扫干净，控制路面扬尘、减少无组织排放。</w:t>
      </w:r>
    </w:p>
    <w:p w14:paraId="04456D85">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④制定环境质量控制指标，提出环保考核项目和经济承包有关奖罚规定。</w:t>
      </w:r>
    </w:p>
    <w:p w14:paraId="2E4F5FD7">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⑤参与污染事故调查，并向上级主管部门提出书面报告。</w:t>
      </w:r>
    </w:p>
    <w:p w14:paraId="76D202A1">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⑥对污染源进行监督管理，贯彻预防为主的方针，发现问题，及时向上级主管部门汇报，下达环保整改通知书，强化管理。</w:t>
      </w:r>
    </w:p>
    <w:p w14:paraId="7FEA90FF">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⑦对环境保护的先进经验、先进技术进行推广和应用。</w:t>
      </w:r>
    </w:p>
    <w:p w14:paraId="07FAE8F5">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⑧对环境监测技术资料进行整理、统计、上报和存档。</w:t>
      </w:r>
    </w:p>
    <w:p w14:paraId="16D66E6C">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⑨监督公司内环保设备的日常运行情况，包括污水处理设备、噪声控制设备等，每月考核一次设备的运行情况，并负责对环保设备大、中修的质量验收。</w:t>
      </w:r>
    </w:p>
    <w:p w14:paraId="0CD986E0">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3、</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闭矿期</w:t>
      </w:r>
      <w:r>
        <w:rPr>
          <w:rFonts w:hint="eastAsia" w:ascii="Times New Roman" w:hAnsi="Times New Roman" w:eastAsia="宋体" w:cs="Times New Roman"/>
          <w:color w:val="000000" w:themeColor="text1"/>
          <w:sz w:val="24"/>
          <w:szCs w:val="24"/>
          <w:lang w:bidi="ar"/>
          <w14:textFill>
            <w14:solidFill>
              <w14:schemeClr w14:val="tx1"/>
            </w14:solidFill>
          </w14:textFill>
        </w:rPr>
        <w:t>环境管理内容</w:t>
      </w:r>
    </w:p>
    <w:p w14:paraId="0A45B96C">
      <w:pPr>
        <w:spacing w:line="480" w:lineRule="exact"/>
        <w:ind w:firstLine="480" w:firstLineChars="200"/>
        <w:jc w:val="both"/>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4"/>
          <w:szCs w:val="24"/>
          <w:lang w:eastAsia="zh-CN" w:bidi="ar"/>
          <w14:textFill>
            <w14:solidFill>
              <w14:schemeClr w14:val="tx1"/>
            </w14:solidFill>
          </w14:textFill>
        </w:rPr>
        <w:t>闭矿期</w:t>
      </w:r>
      <w:r>
        <w:rPr>
          <w:rFonts w:hint="eastAsia" w:ascii="Times New Roman" w:hAnsi="Times New Roman" w:eastAsia="宋体" w:cs="Times New Roman"/>
          <w:color w:val="000000" w:themeColor="text1"/>
          <w:sz w:val="24"/>
          <w:szCs w:val="24"/>
          <w:lang w:bidi="ar"/>
          <w14:textFill>
            <w14:solidFill>
              <w14:schemeClr w14:val="tx1"/>
            </w14:solidFill>
          </w14:textFill>
        </w:rPr>
        <w:t>各管理机构主要的管理内容是监督生态恢复工作的落实，矿山开采闭坑后必须按照矿山安全、地质恢复、环境保护工作的有关规定拆除无用的地面建筑物，将破坏的地表推平，对受破坏的地表恢复原貌等工作。</w:t>
      </w:r>
    </w:p>
    <w:p w14:paraId="4C3A9369">
      <w:pPr>
        <w:pStyle w:val="4"/>
        <w:numPr>
          <w:ilvl w:val="-1"/>
          <w:numId w:val="0"/>
        </w:num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8.1.5环境管理制度</w:t>
      </w:r>
    </w:p>
    <w:p w14:paraId="519526F1">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建立健全必要的环境管理规章制度，并把它作为企业领导和全体职工必须严格遵守的一种规范和准则，“有规可循，执规必严”是环境管理计划得以顺利实施的重要保证。各项规章制度要体现环境管理的任务、内容和准则，使环境管理的特点和要求渗透到企业的各项管理工作之中。</w:t>
      </w:r>
    </w:p>
    <w:p w14:paraId="404B087E">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最基本的环境管理制度有如下几个方面：</w:t>
      </w:r>
    </w:p>
    <w:p w14:paraId="5DF5B6A4">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（1）环境保护管理</w:t>
      </w:r>
      <w:r>
        <w:rPr>
          <w:rFonts w:hint="eastAsia" w:cs="Times New Roman"/>
          <w:color w:val="000000" w:themeColor="text1"/>
          <w:sz w:val="24"/>
          <w:szCs w:val="24"/>
          <w:lang w:val="en-US" w:eastAsia="zh-CN" w:bidi="ar"/>
          <w14:textFill>
            <w14:solidFill>
              <w14:schemeClr w14:val="tx1"/>
            </w14:solidFill>
          </w14:textFill>
        </w:rPr>
        <w:t>条例</w:t>
      </w:r>
      <w:r>
        <w:rPr>
          <w:rFonts w:hint="eastAsia" w:ascii="Times New Roman" w:hAnsi="Times New Roman" w:eastAsia="宋体" w:cs="Times New Roman"/>
          <w:color w:val="000000" w:themeColor="text1"/>
          <w:sz w:val="24"/>
          <w:szCs w:val="24"/>
          <w:lang w:bidi="ar"/>
          <w14:textFill>
            <w14:solidFill>
              <w14:schemeClr w14:val="tx1"/>
            </w14:solidFill>
          </w14:textFill>
        </w:rPr>
        <w:t>；</w:t>
      </w:r>
    </w:p>
    <w:p w14:paraId="26C7A972">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（2）环境质量管理规程；</w:t>
      </w:r>
    </w:p>
    <w:p w14:paraId="675B7F9A">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（3）环境管理的经济责任制；</w:t>
      </w:r>
    </w:p>
    <w:p w14:paraId="7C2FE916">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（4）环境保护业务管理制度；</w:t>
      </w:r>
    </w:p>
    <w:p w14:paraId="19CB2D1A">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（5）环境管理岗位责任制；</w:t>
      </w:r>
    </w:p>
    <w:p w14:paraId="4B303A7B">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（6）环境技术管理规程；</w:t>
      </w:r>
    </w:p>
    <w:p w14:paraId="7903AF16">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（7）环境保护考核制度；</w:t>
      </w:r>
    </w:p>
    <w:p w14:paraId="3C6B2CE9">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（8）污染物防治、控制措施及达标排放实施办法；</w:t>
      </w:r>
    </w:p>
    <w:p w14:paraId="0FB6FE17">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（9）环境污染事故管理规定；</w:t>
      </w:r>
    </w:p>
    <w:p w14:paraId="6F81F8CA">
      <w:pPr>
        <w:spacing w:line="480" w:lineRule="exact"/>
        <w:ind w:firstLine="480" w:firstLineChars="200"/>
        <w:jc w:val="both"/>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（10）清洁生产审计制度。</w:t>
      </w:r>
    </w:p>
    <w:p w14:paraId="6C931FE6">
      <w:pPr>
        <w:pStyle w:val="4"/>
        <w:numPr>
          <w:ilvl w:val="-1"/>
          <w:numId w:val="0"/>
        </w:num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8.1.6排污口规范化</w:t>
      </w:r>
    </w:p>
    <w:p w14:paraId="082EE185">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排污口是企业污染物进入环境、污染环境的通道，强化排污口的管理是实施污染物总量控制的基础工作之一，也是区域环境管理逐步实现污染物排放科学化、定量化的重要手段。具体管理原则如下：</w:t>
      </w:r>
    </w:p>
    <w:p w14:paraId="416D5931">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（1）向环境排放的污染物的排放口必须规范化；</w:t>
      </w:r>
    </w:p>
    <w:p w14:paraId="4C545B70">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（2）排污口应便于采样与计量监测，便于日常现场监督检查；</w:t>
      </w:r>
    </w:p>
    <w:p w14:paraId="7BD9C108">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（3）如实向生态环境主管部门申报排污口数量、位置及所排放的主要污染物种类、数量、浓度、排放去向等情况；</w:t>
      </w:r>
    </w:p>
    <w:p w14:paraId="49154000">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（4）废气排气装置应设置便于采样、监测的采样孔和采样平台，设置应符合《污染源监测技术规范》；</w:t>
      </w:r>
    </w:p>
    <w:p w14:paraId="44E0D37F">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（5）固体废物堆存场地要有防扬散、防流失措施。</w:t>
      </w:r>
    </w:p>
    <w:p w14:paraId="5C599004">
      <w:pPr>
        <w:keepNext w:val="0"/>
        <w:keepLines w:val="0"/>
        <w:pageBreakBefore w:val="0"/>
        <w:widowControl w:val="0"/>
        <w:kinsoku/>
        <w:wordWrap/>
        <w:overflowPunct/>
        <w:topLinePunct w:val="0"/>
        <w:autoSpaceDE/>
        <w:autoSpaceDN/>
        <w:bidi w:val="0"/>
        <w:snapToGrid/>
        <w:spacing w:line="480" w:lineRule="exact"/>
        <w:ind w:firstLine="480"/>
        <w:jc w:val="left"/>
        <w:rPr>
          <w:rFonts w:hint="default" w:ascii="Times New Roman" w:hAnsi="Times New Roman" w:eastAsia="宋体" w:cs="Times New Roman"/>
          <w:snapToGrid w:val="0"/>
          <w:color w:val="000000" w:themeColor="text1"/>
          <w:kern w:val="24"/>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4"/>
          <w:sz w:val="24"/>
          <w:szCs w:val="24"/>
          <w:highlight w:val="none"/>
          <w:lang w:val="en-US" w:eastAsia="zh-CN" w:bidi="ar-SA"/>
          <w14:textFill>
            <w14:solidFill>
              <w14:schemeClr w14:val="tx1"/>
            </w14:solidFill>
          </w14:textFill>
        </w:rPr>
        <w:t>环境保护图形标志具体设置图形见表8.1-1。</w:t>
      </w:r>
    </w:p>
    <w:p w14:paraId="39336382">
      <w:pPr>
        <w:keepNext w:val="0"/>
        <w:keepLines w:val="0"/>
        <w:pageBreakBefore w:val="0"/>
        <w:widowControl w:val="0"/>
        <w:kinsoku/>
        <w:wordWrap/>
        <w:overflowPunct/>
        <w:topLinePunct w:val="0"/>
        <w:autoSpaceDE/>
        <w:autoSpaceDN/>
        <w:bidi w:val="0"/>
        <w:adjustRightInd w:val="0"/>
        <w:snapToGrid/>
        <w:spacing w:line="480" w:lineRule="exact"/>
        <w:ind w:firstLine="0" w:firstLineChars="0"/>
        <w:jc w:val="center"/>
        <w:textAlignment w:val="baseline"/>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表8.1-1</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环境保护图形标志设置图形表</w:t>
      </w:r>
    </w:p>
    <w:tbl>
      <w:tblPr>
        <w:tblStyle w:val="79"/>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5"/>
        <w:gridCol w:w="2214"/>
        <w:gridCol w:w="2214"/>
        <w:gridCol w:w="1405"/>
        <w:gridCol w:w="1945"/>
      </w:tblGrid>
      <w:tr w14:paraId="7EDCC3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55" w:type="dxa"/>
            <w:tcBorders>
              <w:tl2br w:val="nil"/>
              <w:tr2bl w:val="nil"/>
            </w:tcBorders>
            <w:noWrap w:val="0"/>
            <w:vAlign w:val="center"/>
          </w:tcPr>
          <w:p w14:paraId="384DA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序号</w:t>
            </w:r>
          </w:p>
        </w:tc>
        <w:tc>
          <w:tcPr>
            <w:tcW w:w="2214" w:type="dxa"/>
            <w:tcBorders>
              <w:tl2br w:val="nil"/>
              <w:tr2bl w:val="nil"/>
            </w:tcBorders>
            <w:noWrap w:val="0"/>
            <w:vAlign w:val="center"/>
          </w:tcPr>
          <w:p w14:paraId="28F6F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提示图形符号</w:t>
            </w:r>
          </w:p>
        </w:tc>
        <w:tc>
          <w:tcPr>
            <w:tcW w:w="2214" w:type="dxa"/>
            <w:tcBorders>
              <w:tl2br w:val="nil"/>
              <w:tr2bl w:val="nil"/>
            </w:tcBorders>
            <w:noWrap w:val="0"/>
            <w:vAlign w:val="center"/>
          </w:tcPr>
          <w:p w14:paraId="524B4A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警告图形符号</w:t>
            </w:r>
          </w:p>
        </w:tc>
        <w:tc>
          <w:tcPr>
            <w:tcW w:w="1405" w:type="dxa"/>
            <w:tcBorders>
              <w:tl2br w:val="nil"/>
              <w:tr2bl w:val="nil"/>
            </w:tcBorders>
            <w:noWrap w:val="0"/>
            <w:vAlign w:val="center"/>
          </w:tcPr>
          <w:p w14:paraId="47D6E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名称</w:t>
            </w:r>
          </w:p>
        </w:tc>
        <w:tc>
          <w:tcPr>
            <w:tcW w:w="1945" w:type="dxa"/>
            <w:tcBorders>
              <w:tl2br w:val="nil"/>
              <w:tr2bl w:val="nil"/>
            </w:tcBorders>
            <w:noWrap w:val="0"/>
            <w:vAlign w:val="center"/>
          </w:tcPr>
          <w:p w14:paraId="73829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功能</w:t>
            </w:r>
          </w:p>
        </w:tc>
      </w:tr>
      <w:tr w14:paraId="55971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268AA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1</w:t>
            </w:r>
          </w:p>
        </w:tc>
        <w:tc>
          <w:tcPr>
            <w:tcW w:w="2214" w:type="dxa"/>
            <w:tcBorders>
              <w:tl2br w:val="nil"/>
              <w:tr2bl w:val="nil"/>
            </w:tcBorders>
            <w:noWrap w:val="0"/>
            <w:vAlign w:val="center"/>
          </w:tcPr>
          <w:p w14:paraId="1031E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123315" cy="1119505"/>
                  <wp:effectExtent l="0" t="0" r="4445" b="8255"/>
                  <wp:docPr id="22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29"/>
                          <pic:cNvPicPr>
                            <a:picLocks noChangeAspect="1"/>
                          </pic:cNvPicPr>
                        </pic:nvPicPr>
                        <pic:blipFill>
                          <a:blip r:embed="rId69"/>
                          <a:stretch>
                            <a:fillRect/>
                          </a:stretch>
                        </pic:blipFill>
                        <pic:spPr>
                          <a:xfrm>
                            <a:off x="0" y="0"/>
                            <a:ext cx="1123315" cy="1119505"/>
                          </a:xfrm>
                          <a:prstGeom prst="rect">
                            <a:avLst/>
                          </a:prstGeom>
                          <a:noFill/>
                          <a:ln>
                            <a:noFill/>
                          </a:ln>
                        </pic:spPr>
                      </pic:pic>
                    </a:graphicData>
                  </a:graphic>
                </wp:inline>
              </w:drawing>
            </w:r>
          </w:p>
        </w:tc>
        <w:tc>
          <w:tcPr>
            <w:tcW w:w="2214" w:type="dxa"/>
            <w:tcBorders>
              <w:tl2br w:val="nil"/>
              <w:tr2bl w:val="nil"/>
            </w:tcBorders>
            <w:noWrap w:val="0"/>
            <w:vAlign w:val="center"/>
          </w:tcPr>
          <w:p w14:paraId="2F312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29"/>
                <w:sz w:val="21"/>
                <w:szCs w:val="21"/>
                <w:lang w:val="en-US" w:eastAsia="zh-CN" w:bidi="ar-SA"/>
                <w14:textFill>
                  <w14:solidFill>
                    <w14:schemeClr w14:val="tx1"/>
                  </w14:solidFill>
                </w14:textFill>
              </w:rPr>
              <w:drawing>
                <wp:inline distT="0" distB="0" distL="114300" distR="114300">
                  <wp:extent cx="1325245" cy="1149985"/>
                  <wp:effectExtent l="0" t="0" r="635" b="8255"/>
                  <wp:docPr id="226"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30"/>
                          <pic:cNvPicPr>
                            <a:picLocks noChangeAspect="1"/>
                          </pic:cNvPicPr>
                        </pic:nvPicPr>
                        <pic:blipFill>
                          <a:blip r:embed="rId70"/>
                          <a:stretch>
                            <a:fillRect/>
                          </a:stretch>
                        </pic:blipFill>
                        <pic:spPr>
                          <a:xfrm>
                            <a:off x="0" y="0"/>
                            <a:ext cx="1325245" cy="1149985"/>
                          </a:xfrm>
                          <a:prstGeom prst="rect">
                            <a:avLst/>
                          </a:prstGeom>
                          <a:noFill/>
                          <a:ln>
                            <a:noFill/>
                          </a:ln>
                        </pic:spPr>
                      </pic:pic>
                    </a:graphicData>
                  </a:graphic>
                </wp:inline>
              </w:drawing>
            </w:r>
          </w:p>
        </w:tc>
        <w:tc>
          <w:tcPr>
            <w:tcW w:w="1405" w:type="dxa"/>
            <w:tcBorders>
              <w:tl2br w:val="nil"/>
              <w:tr2bl w:val="nil"/>
            </w:tcBorders>
            <w:noWrap w:val="0"/>
            <w:vAlign w:val="center"/>
          </w:tcPr>
          <w:p w14:paraId="75E74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污水排放口</w:t>
            </w:r>
          </w:p>
        </w:tc>
        <w:tc>
          <w:tcPr>
            <w:tcW w:w="1945" w:type="dxa"/>
            <w:tcBorders>
              <w:tl2br w:val="nil"/>
              <w:tr2bl w:val="nil"/>
            </w:tcBorders>
            <w:noWrap w:val="0"/>
            <w:vAlign w:val="center"/>
          </w:tcPr>
          <w:p w14:paraId="2DD298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表示污水向</w:t>
            </w:r>
            <w:r>
              <w:rPr>
                <w:rFonts w:hint="default" w:ascii="Times New Roman" w:hAnsi="Times New Roman" w:eastAsia="宋体" w:cs="Times New Roman"/>
                <w:color w:val="000000" w:themeColor="text1"/>
                <w:spacing w:val="-102"/>
                <w:kern w:val="0"/>
                <w:sz w:val="21"/>
                <w:szCs w:val="21"/>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水体排放</w:t>
            </w:r>
          </w:p>
        </w:tc>
      </w:tr>
      <w:tr w14:paraId="1974C3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5C687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2</w:t>
            </w:r>
          </w:p>
        </w:tc>
        <w:tc>
          <w:tcPr>
            <w:tcW w:w="2214" w:type="dxa"/>
            <w:tcBorders>
              <w:tl2br w:val="nil"/>
              <w:tr2bl w:val="nil"/>
            </w:tcBorders>
            <w:noWrap w:val="0"/>
            <w:vAlign w:val="center"/>
          </w:tcPr>
          <w:p w14:paraId="301CD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087120" cy="1085215"/>
                  <wp:effectExtent l="0" t="0" r="10160" b="12065"/>
                  <wp:docPr id="227"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31"/>
                          <pic:cNvPicPr>
                            <a:picLocks noChangeAspect="1"/>
                          </pic:cNvPicPr>
                        </pic:nvPicPr>
                        <pic:blipFill>
                          <a:blip r:embed="rId71"/>
                          <a:stretch>
                            <a:fillRect/>
                          </a:stretch>
                        </pic:blipFill>
                        <pic:spPr>
                          <a:xfrm>
                            <a:off x="0" y="0"/>
                            <a:ext cx="1087120" cy="1085215"/>
                          </a:xfrm>
                          <a:prstGeom prst="rect">
                            <a:avLst/>
                          </a:prstGeom>
                          <a:noFill/>
                          <a:ln>
                            <a:noFill/>
                          </a:ln>
                        </pic:spPr>
                      </pic:pic>
                    </a:graphicData>
                  </a:graphic>
                </wp:inline>
              </w:drawing>
            </w:r>
          </w:p>
        </w:tc>
        <w:tc>
          <w:tcPr>
            <w:tcW w:w="2214" w:type="dxa"/>
            <w:tcBorders>
              <w:tl2br w:val="nil"/>
              <w:tr2bl w:val="nil"/>
            </w:tcBorders>
            <w:noWrap w:val="0"/>
            <w:vAlign w:val="center"/>
          </w:tcPr>
          <w:p w14:paraId="3B571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0"/>
                <w:sz w:val="21"/>
                <w:szCs w:val="21"/>
                <w:lang w:val="en-US" w:eastAsia="zh-CN" w:bidi="ar-SA"/>
                <w14:textFill>
                  <w14:solidFill>
                    <w14:schemeClr w14:val="tx1"/>
                  </w14:solidFill>
                </w14:textFill>
              </w:rPr>
              <w:drawing>
                <wp:inline distT="0" distB="0" distL="114300" distR="114300">
                  <wp:extent cx="1287780" cy="1167765"/>
                  <wp:effectExtent l="0" t="0" r="7620" b="5715"/>
                  <wp:docPr id="22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32"/>
                          <pic:cNvPicPr>
                            <a:picLocks noChangeAspect="1"/>
                          </pic:cNvPicPr>
                        </pic:nvPicPr>
                        <pic:blipFill>
                          <a:blip r:embed="rId72"/>
                          <a:stretch>
                            <a:fillRect/>
                          </a:stretch>
                        </pic:blipFill>
                        <pic:spPr>
                          <a:xfrm>
                            <a:off x="0" y="0"/>
                            <a:ext cx="1287780" cy="1167765"/>
                          </a:xfrm>
                          <a:prstGeom prst="rect">
                            <a:avLst/>
                          </a:prstGeom>
                          <a:noFill/>
                          <a:ln>
                            <a:noFill/>
                          </a:ln>
                        </pic:spPr>
                      </pic:pic>
                    </a:graphicData>
                  </a:graphic>
                </wp:inline>
              </w:drawing>
            </w:r>
          </w:p>
        </w:tc>
        <w:tc>
          <w:tcPr>
            <w:tcW w:w="1405" w:type="dxa"/>
            <w:tcBorders>
              <w:tl2br w:val="nil"/>
              <w:tr2bl w:val="nil"/>
            </w:tcBorders>
            <w:noWrap w:val="0"/>
            <w:vAlign w:val="center"/>
          </w:tcPr>
          <w:p w14:paraId="510D4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废气排放口</w:t>
            </w:r>
          </w:p>
        </w:tc>
        <w:tc>
          <w:tcPr>
            <w:tcW w:w="1945" w:type="dxa"/>
            <w:tcBorders>
              <w:tl2br w:val="nil"/>
              <w:tr2bl w:val="nil"/>
            </w:tcBorders>
            <w:noWrap w:val="0"/>
            <w:vAlign w:val="center"/>
          </w:tcPr>
          <w:p w14:paraId="4F952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表示废气向大气环境排放</w:t>
            </w:r>
          </w:p>
        </w:tc>
      </w:tr>
      <w:tr w14:paraId="660B9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6C81B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3</w:t>
            </w:r>
          </w:p>
        </w:tc>
        <w:tc>
          <w:tcPr>
            <w:tcW w:w="2214" w:type="dxa"/>
            <w:tcBorders>
              <w:tl2br w:val="nil"/>
              <w:tr2bl w:val="nil"/>
            </w:tcBorders>
            <w:noWrap w:val="0"/>
            <w:vAlign w:val="center"/>
          </w:tcPr>
          <w:p w14:paraId="4BF18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089660" cy="1089025"/>
                  <wp:effectExtent l="0" t="0" r="7620" b="8255"/>
                  <wp:docPr id="23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33"/>
                          <pic:cNvPicPr>
                            <a:picLocks noChangeAspect="1"/>
                          </pic:cNvPicPr>
                        </pic:nvPicPr>
                        <pic:blipFill>
                          <a:blip r:embed="rId73"/>
                          <a:stretch>
                            <a:fillRect/>
                          </a:stretch>
                        </pic:blipFill>
                        <pic:spPr>
                          <a:xfrm>
                            <a:off x="0" y="0"/>
                            <a:ext cx="1089660" cy="1089025"/>
                          </a:xfrm>
                          <a:prstGeom prst="rect">
                            <a:avLst/>
                          </a:prstGeom>
                          <a:noFill/>
                          <a:ln>
                            <a:noFill/>
                          </a:ln>
                        </pic:spPr>
                      </pic:pic>
                    </a:graphicData>
                  </a:graphic>
                </wp:inline>
              </w:drawing>
            </w:r>
          </w:p>
        </w:tc>
        <w:tc>
          <w:tcPr>
            <w:tcW w:w="2214" w:type="dxa"/>
            <w:tcBorders>
              <w:tl2br w:val="nil"/>
              <w:tr2bl w:val="nil"/>
            </w:tcBorders>
            <w:noWrap w:val="0"/>
            <w:vAlign w:val="center"/>
          </w:tcPr>
          <w:p w14:paraId="053FE0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268730" cy="1118870"/>
                  <wp:effectExtent l="0" t="0" r="11430" b="8890"/>
                  <wp:docPr id="23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34"/>
                          <pic:cNvPicPr>
                            <a:picLocks noChangeAspect="1"/>
                          </pic:cNvPicPr>
                        </pic:nvPicPr>
                        <pic:blipFill>
                          <a:blip r:embed="rId74"/>
                          <a:stretch>
                            <a:fillRect/>
                          </a:stretch>
                        </pic:blipFill>
                        <pic:spPr>
                          <a:xfrm>
                            <a:off x="0" y="0"/>
                            <a:ext cx="1268730" cy="1118870"/>
                          </a:xfrm>
                          <a:prstGeom prst="rect">
                            <a:avLst/>
                          </a:prstGeom>
                          <a:noFill/>
                          <a:ln>
                            <a:noFill/>
                          </a:ln>
                        </pic:spPr>
                      </pic:pic>
                    </a:graphicData>
                  </a:graphic>
                </wp:inline>
              </w:drawing>
            </w:r>
          </w:p>
        </w:tc>
        <w:tc>
          <w:tcPr>
            <w:tcW w:w="1405" w:type="dxa"/>
            <w:tcBorders>
              <w:tl2br w:val="nil"/>
              <w:tr2bl w:val="nil"/>
            </w:tcBorders>
            <w:noWrap w:val="0"/>
            <w:vAlign w:val="center"/>
          </w:tcPr>
          <w:p w14:paraId="2B5B7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371" w:right="374"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噪声排放源</w:t>
            </w:r>
          </w:p>
        </w:tc>
        <w:tc>
          <w:tcPr>
            <w:tcW w:w="1945" w:type="dxa"/>
            <w:tcBorders>
              <w:tl2br w:val="nil"/>
              <w:tr2bl w:val="nil"/>
            </w:tcBorders>
            <w:noWrap w:val="0"/>
            <w:vAlign w:val="center"/>
          </w:tcPr>
          <w:p w14:paraId="6045C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表示噪声向外环境排放</w:t>
            </w:r>
          </w:p>
        </w:tc>
      </w:tr>
      <w:tr w14:paraId="4B0006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05144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4</w:t>
            </w:r>
          </w:p>
        </w:tc>
        <w:tc>
          <w:tcPr>
            <w:tcW w:w="2214" w:type="dxa"/>
            <w:tcBorders>
              <w:tl2br w:val="nil"/>
              <w:tr2bl w:val="nil"/>
            </w:tcBorders>
            <w:noWrap w:val="0"/>
            <w:vAlign w:val="center"/>
          </w:tcPr>
          <w:p w14:paraId="6F841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087120" cy="1085215"/>
                  <wp:effectExtent l="0" t="0" r="10160" b="12065"/>
                  <wp:docPr id="237"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5"/>
                          <pic:cNvPicPr>
                            <a:picLocks noChangeAspect="1"/>
                          </pic:cNvPicPr>
                        </pic:nvPicPr>
                        <pic:blipFill>
                          <a:blip r:embed="rId75"/>
                          <a:stretch>
                            <a:fillRect/>
                          </a:stretch>
                        </pic:blipFill>
                        <pic:spPr>
                          <a:xfrm>
                            <a:off x="0" y="0"/>
                            <a:ext cx="1087120" cy="1085215"/>
                          </a:xfrm>
                          <a:prstGeom prst="rect">
                            <a:avLst/>
                          </a:prstGeom>
                          <a:noFill/>
                          <a:ln>
                            <a:noFill/>
                          </a:ln>
                        </pic:spPr>
                      </pic:pic>
                    </a:graphicData>
                  </a:graphic>
                </wp:inline>
              </w:drawing>
            </w:r>
          </w:p>
        </w:tc>
        <w:tc>
          <w:tcPr>
            <w:tcW w:w="2214" w:type="dxa"/>
            <w:tcBorders>
              <w:tl2br w:val="nil"/>
              <w:tr2bl w:val="nil"/>
            </w:tcBorders>
            <w:noWrap w:val="0"/>
            <w:vAlign w:val="center"/>
          </w:tcPr>
          <w:p w14:paraId="7703E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236980" cy="1097280"/>
                  <wp:effectExtent l="0" t="0" r="12700" b="0"/>
                  <wp:docPr id="23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36"/>
                          <pic:cNvPicPr>
                            <a:picLocks noChangeAspect="1"/>
                          </pic:cNvPicPr>
                        </pic:nvPicPr>
                        <pic:blipFill>
                          <a:blip r:embed="rId76"/>
                          <a:stretch>
                            <a:fillRect/>
                          </a:stretch>
                        </pic:blipFill>
                        <pic:spPr>
                          <a:xfrm>
                            <a:off x="0" y="0"/>
                            <a:ext cx="1236980" cy="1097280"/>
                          </a:xfrm>
                          <a:prstGeom prst="rect">
                            <a:avLst/>
                          </a:prstGeom>
                          <a:noFill/>
                          <a:ln>
                            <a:noFill/>
                          </a:ln>
                        </pic:spPr>
                      </pic:pic>
                    </a:graphicData>
                  </a:graphic>
                </wp:inline>
              </w:drawing>
            </w:r>
          </w:p>
        </w:tc>
        <w:tc>
          <w:tcPr>
            <w:tcW w:w="1405" w:type="dxa"/>
            <w:tcBorders>
              <w:tl2br w:val="nil"/>
              <w:tr2bl w:val="nil"/>
            </w:tcBorders>
            <w:noWrap w:val="0"/>
            <w:vAlign w:val="center"/>
          </w:tcPr>
          <w:p w14:paraId="591DB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57"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一般固体废物</w:t>
            </w:r>
          </w:p>
        </w:tc>
        <w:tc>
          <w:tcPr>
            <w:tcW w:w="1945" w:type="dxa"/>
            <w:tcBorders>
              <w:tl2br w:val="nil"/>
              <w:tr2bl w:val="nil"/>
            </w:tcBorders>
            <w:noWrap w:val="0"/>
            <w:vAlign w:val="center"/>
          </w:tcPr>
          <w:p w14:paraId="31DBB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12" w:right="113"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表示一般固体废物贮存、处置场</w:t>
            </w:r>
          </w:p>
        </w:tc>
      </w:tr>
      <w:tr w14:paraId="1FA9D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07DAF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5</w:t>
            </w:r>
          </w:p>
        </w:tc>
        <w:tc>
          <w:tcPr>
            <w:tcW w:w="2214" w:type="dxa"/>
            <w:tcBorders>
              <w:tl2br w:val="nil"/>
              <w:tr2bl w:val="nil"/>
            </w:tcBorders>
            <w:noWrap w:val="0"/>
            <w:vAlign w:val="center"/>
          </w:tcPr>
          <w:p w14:paraId="27FC6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2"/>
                <w:szCs w:val="22"/>
                <w:lang w:val="en-US" w:eastAsia="zh-CN" w:bidi="ar-SA"/>
                <w14:textFill>
                  <w14:solidFill>
                    <w14:schemeClr w14:val="tx1"/>
                  </w14:solidFill>
                </w14:textFill>
              </w:rPr>
              <w:drawing>
                <wp:inline distT="0" distB="0" distL="114300" distR="114300">
                  <wp:extent cx="1256030" cy="1248410"/>
                  <wp:effectExtent l="0" t="0" r="8890" b="1270"/>
                  <wp:docPr id="23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37"/>
                          <pic:cNvPicPr>
                            <a:picLocks noChangeAspect="1"/>
                          </pic:cNvPicPr>
                        </pic:nvPicPr>
                        <pic:blipFill>
                          <a:blip r:embed="rId77"/>
                          <a:stretch>
                            <a:fillRect/>
                          </a:stretch>
                        </pic:blipFill>
                        <pic:spPr>
                          <a:xfrm>
                            <a:off x="0" y="0"/>
                            <a:ext cx="1256030" cy="1248410"/>
                          </a:xfrm>
                          <a:prstGeom prst="rect">
                            <a:avLst/>
                          </a:prstGeom>
                          <a:noFill/>
                          <a:ln>
                            <a:noFill/>
                          </a:ln>
                        </pic:spPr>
                      </pic:pic>
                    </a:graphicData>
                  </a:graphic>
                </wp:inline>
              </w:drawing>
            </w:r>
          </w:p>
        </w:tc>
        <w:tc>
          <w:tcPr>
            <w:tcW w:w="2214" w:type="dxa"/>
            <w:tcBorders>
              <w:tl2br w:val="nil"/>
              <w:tr2bl w:val="nil"/>
            </w:tcBorders>
            <w:noWrap w:val="0"/>
            <w:vAlign w:val="center"/>
          </w:tcPr>
          <w:p w14:paraId="3D65D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2"/>
                <w:szCs w:val="22"/>
                <w:lang w:val="en-US" w:eastAsia="zh-CN" w:bidi="ar-SA"/>
                <w14:textFill>
                  <w14:solidFill>
                    <w14:schemeClr w14:val="tx1"/>
                  </w14:solidFill>
                </w14:textFill>
              </w:rPr>
              <w:drawing>
                <wp:inline distT="0" distB="0" distL="114300" distR="114300">
                  <wp:extent cx="1285875" cy="1136015"/>
                  <wp:effectExtent l="0" t="0" r="9525" b="6985"/>
                  <wp:docPr id="24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38"/>
                          <pic:cNvPicPr>
                            <a:picLocks noChangeAspect="1"/>
                          </pic:cNvPicPr>
                        </pic:nvPicPr>
                        <pic:blipFill>
                          <a:blip r:embed="rId78"/>
                          <a:stretch>
                            <a:fillRect/>
                          </a:stretch>
                        </pic:blipFill>
                        <pic:spPr>
                          <a:xfrm>
                            <a:off x="0" y="0"/>
                            <a:ext cx="1285875" cy="1136015"/>
                          </a:xfrm>
                          <a:prstGeom prst="rect">
                            <a:avLst/>
                          </a:prstGeom>
                          <a:noFill/>
                          <a:ln>
                            <a:noFill/>
                          </a:ln>
                        </pic:spPr>
                      </pic:pic>
                    </a:graphicData>
                  </a:graphic>
                </wp:inline>
              </w:drawing>
            </w:r>
          </w:p>
        </w:tc>
        <w:tc>
          <w:tcPr>
            <w:tcW w:w="1405" w:type="dxa"/>
            <w:tcBorders>
              <w:tl2br w:val="nil"/>
              <w:tr2bl w:val="nil"/>
            </w:tcBorders>
            <w:noWrap w:val="0"/>
            <w:vAlign w:val="center"/>
          </w:tcPr>
          <w:p w14:paraId="7881F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危险废物</w:t>
            </w:r>
          </w:p>
        </w:tc>
        <w:tc>
          <w:tcPr>
            <w:tcW w:w="1945" w:type="dxa"/>
            <w:tcBorders>
              <w:tl2br w:val="nil"/>
              <w:tr2bl w:val="nil"/>
            </w:tcBorders>
            <w:noWrap w:val="0"/>
            <w:vAlign w:val="center"/>
          </w:tcPr>
          <w:p w14:paraId="7E3A9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表示危险废物贮存、处置场</w:t>
            </w:r>
          </w:p>
        </w:tc>
      </w:tr>
    </w:tbl>
    <w:p w14:paraId="5FDDE92D">
      <w:pPr>
        <w:pStyle w:val="3"/>
        <w:jc w:val="left"/>
        <w:rPr>
          <w:rFonts w:ascii="Times New Roman" w:hAnsi="Times New Roman" w:eastAsia="宋体" w:cs="Times New Roman"/>
          <w:bCs/>
          <w:color w:val="000000" w:themeColor="text1"/>
          <w:kern w:val="2"/>
          <w:szCs w:val="32"/>
          <w14:textFill>
            <w14:solidFill>
              <w14:schemeClr w14:val="tx1"/>
            </w14:solidFill>
          </w14:textFill>
        </w:rPr>
      </w:pPr>
      <w:bookmarkStart w:id="716" w:name="_Toc20300"/>
      <w:bookmarkStart w:id="717" w:name="_Toc26621"/>
      <w:bookmarkStart w:id="718" w:name="_Toc7319"/>
      <w:bookmarkStart w:id="719" w:name="_Toc12758"/>
      <w:r>
        <w:rPr>
          <w:rFonts w:hint="eastAsia" w:ascii="Times New Roman" w:hAnsi="Times New Roman" w:eastAsia="宋体" w:cs="Times New Roman"/>
          <w:bCs/>
          <w:color w:val="000000" w:themeColor="text1"/>
          <w:kern w:val="2"/>
          <w:szCs w:val="32"/>
          <w14:textFill>
            <w14:solidFill>
              <w14:schemeClr w14:val="tx1"/>
            </w14:solidFill>
          </w14:textFill>
        </w:rPr>
        <w:t>8.2施工期环境管理</w:t>
      </w:r>
      <w:bookmarkEnd w:id="716"/>
      <w:bookmarkEnd w:id="717"/>
      <w:bookmarkEnd w:id="718"/>
      <w:bookmarkEnd w:id="719"/>
    </w:p>
    <w:p w14:paraId="66E3D173">
      <w:pPr>
        <w:pStyle w:val="4"/>
        <w:numPr>
          <w:ilvl w:val="-1"/>
          <w:numId w:val="0"/>
        </w:num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8.2.1环境管理</w:t>
      </w:r>
    </w:p>
    <w:p w14:paraId="55FD66CD">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项目建设单位或者施工单位进行工程施工前，应将施工期的环境污染控制列</w:t>
      </w:r>
      <w:bookmarkStart w:id="827" w:name="_GoBack"/>
      <w:bookmarkEnd w:id="827"/>
      <w:r>
        <w:rPr>
          <w:rFonts w:hint="eastAsia" w:ascii="Times New Roman" w:hAnsi="Times New Roman" w:eastAsia="宋体" w:cs="Times New Roman"/>
          <w:color w:val="000000" w:themeColor="text1"/>
          <w:sz w:val="24"/>
          <w:szCs w:val="24"/>
          <w:lang w:bidi="ar"/>
          <w14:textFill>
            <w14:solidFill>
              <w14:schemeClr w14:val="tx1"/>
            </w14:solidFill>
          </w14:textFill>
        </w:rPr>
        <w:t>入施工工程内容，并在工程开工前和施工过程中制定相应的环保防治措施和工程计划。设专人负责管理，培训工作人员，以正确的工作方法，控制施工中产生的不利环境影响；必要时，还需在监测和检查工程施工的环境影响和实施缓解措施方面进行培训，以确保项目施工各项环保控制措施的落实。工程建设单位有责任配合当地生态环境主管部门，对施工过程的环境影响进行环境监测，以保证施工期的环保措施得以完善和持续执行，使项目建设施工范围的环境质量得到充分有效保证。</w:t>
      </w:r>
    </w:p>
    <w:p w14:paraId="61937A54">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并应采取以下措施：</w:t>
      </w:r>
    </w:p>
    <w:p w14:paraId="01C5C5C1">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（1）在本次新建工程实施前，要制定详尽的环保措施方案。施工过程中要设置环保人员，加强现场监督、管理与考核，以便及时发现问题及时解决。</w:t>
      </w:r>
    </w:p>
    <w:p w14:paraId="719A5AB2">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（2）施工期间应统一堆放产生的掘进废石，及时清运施工中产生的生活垃圾，送到指定点进行处置，施工期间产生的生活污水严禁随意排放。</w:t>
      </w:r>
    </w:p>
    <w:p w14:paraId="55834A66">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（3）加强施工人员及施工机械的管理，增强环保意识，注意保护自然环境。</w:t>
      </w:r>
    </w:p>
    <w:p w14:paraId="4EFA701D">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（4）</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项目</w:t>
      </w:r>
      <w:r>
        <w:rPr>
          <w:rFonts w:hint="eastAsia" w:ascii="Times New Roman" w:hAnsi="Times New Roman" w:eastAsia="宋体" w:cs="Times New Roman"/>
          <w:color w:val="000000" w:themeColor="text1"/>
          <w:sz w:val="24"/>
          <w:szCs w:val="24"/>
          <w:lang w:bidi="ar"/>
          <w14:textFill>
            <w14:solidFill>
              <w14:schemeClr w14:val="tx1"/>
            </w14:solidFill>
          </w14:textFill>
        </w:rPr>
        <w:t>建设中，要做好施工区域及其周围的绿化工作。</w:t>
      </w:r>
    </w:p>
    <w:p w14:paraId="51EB2FBF">
      <w:pPr>
        <w:spacing w:line="480" w:lineRule="exact"/>
        <w:ind w:firstLine="480" w:firstLineChars="200"/>
        <w:jc w:val="both"/>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（5）</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项目</w:t>
      </w:r>
      <w:r>
        <w:rPr>
          <w:rFonts w:hint="eastAsia" w:ascii="Times New Roman" w:hAnsi="Times New Roman" w:eastAsia="宋体" w:cs="Times New Roman"/>
          <w:color w:val="000000" w:themeColor="text1"/>
          <w:sz w:val="24"/>
          <w:szCs w:val="24"/>
          <w:lang w:bidi="ar"/>
          <w14:textFill>
            <w14:solidFill>
              <w14:schemeClr w14:val="tx1"/>
            </w14:solidFill>
          </w14:textFill>
        </w:rPr>
        <w:t>建设前，应做好施工人员的环保教育工作，禁止破坏周边植被及猎杀野生动物。</w:t>
      </w:r>
    </w:p>
    <w:p w14:paraId="563A4962">
      <w:pPr>
        <w:pStyle w:val="4"/>
        <w:numPr>
          <w:ilvl w:val="-1"/>
          <w:numId w:val="0"/>
        </w:numPr>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8.2.2环境监理</w:t>
      </w:r>
    </w:p>
    <w:p w14:paraId="783DFE57">
      <w:pPr>
        <w:spacing w:line="480" w:lineRule="exact"/>
        <w:ind w:firstLine="480" w:firstLineChars="200"/>
        <w:jc w:val="both"/>
        <w:rPr>
          <w:rFonts w:hint="eastAsia"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项目施工期环境监理内容详见表8.2-1。</w:t>
      </w:r>
    </w:p>
    <w:p w14:paraId="5643FDC0">
      <w:pPr>
        <w:adjustRightInd w:val="0"/>
        <w:spacing w:line="480" w:lineRule="exact"/>
        <w:jc w:val="center"/>
        <w:textAlignment w:val="baseline"/>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表8.</w:t>
      </w:r>
      <w:r>
        <w:rPr>
          <w:rFonts w:hint="eastAsia" w:ascii="Times New Roman" w:hAnsi="Times New Roman" w:eastAsia="宋体" w:cs="Times New Roman"/>
          <w:b/>
          <w:color w:val="000000" w:themeColor="text1"/>
          <w:sz w:val="24"/>
          <w:highlight w:val="none"/>
          <w14:textFill>
            <w14:solidFill>
              <w14:schemeClr w14:val="tx1"/>
            </w14:solidFill>
          </w14:textFill>
        </w:rPr>
        <w:t>2</w:t>
      </w:r>
      <w:r>
        <w:rPr>
          <w:rFonts w:ascii="Times New Roman" w:hAnsi="Times New Roman" w:eastAsia="宋体" w:cs="Times New Roman"/>
          <w:b/>
          <w:color w:val="000000" w:themeColor="text1"/>
          <w:sz w:val="24"/>
          <w:highlight w:val="none"/>
          <w14:textFill>
            <w14:solidFill>
              <w14:schemeClr w14:val="tx1"/>
            </w14:solidFill>
          </w14:textFill>
        </w:rPr>
        <w:t xml:space="preserve">-1    </w:t>
      </w:r>
      <w:r>
        <w:rPr>
          <w:rFonts w:hint="eastAsia" w:ascii="Times New Roman" w:hAnsi="Times New Roman" w:eastAsia="宋体" w:cs="Times New Roman"/>
          <w:b/>
          <w:color w:val="000000" w:themeColor="text1"/>
          <w:sz w:val="24"/>
          <w:highlight w:val="none"/>
          <w14:textFill>
            <w14:solidFill>
              <w14:schemeClr w14:val="tx1"/>
            </w14:solidFill>
          </w14:textFill>
        </w:rPr>
        <w:t>施工</w:t>
      </w:r>
      <w:r>
        <w:rPr>
          <w:rFonts w:ascii="Times New Roman" w:hAnsi="Times New Roman" w:eastAsia="宋体" w:cs="Times New Roman"/>
          <w:b/>
          <w:color w:val="000000" w:themeColor="text1"/>
          <w:sz w:val="24"/>
          <w:highlight w:val="none"/>
          <w14:textFill>
            <w14:solidFill>
              <w14:schemeClr w14:val="tx1"/>
            </w14:solidFill>
          </w14:textFill>
        </w:rPr>
        <w:t>期环境</w:t>
      </w:r>
      <w:r>
        <w:rPr>
          <w:rFonts w:hint="eastAsia" w:ascii="Times New Roman" w:hAnsi="Times New Roman" w:eastAsia="宋体" w:cs="Times New Roman"/>
          <w:b/>
          <w:color w:val="000000" w:themeColor="text1"/>
          <w:sz w:val="24"/>
          <w:highlight w:val="none"/>
          <w14:textFill>
            <w14:solidFill>
              <w14:schemeClr w14:val="tx1"/>
            </w14:solidFill>
          </w14:textFill>
        </w:rPr>
        <w:t>监理一览表</w:t>
      </w:r>
    </w:p>
    <w:tbl>
      <w:tblPr>
        <w:tblStyle w:val="7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197"/>
        <w:gridCol w:w="3851"/>
        <w:gridCol w:w="2995"/>
      </w:tblGrid>
      <w:tr w14:paraId="6D54F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79" w:type="dxa"/>
            <w:tcBorders>
              <w:tl2br w:val="nil"/>
              <w:tr2bl w:val="nil"/>
            </w:tcBorders>
            <w:vAlign w:val="center"/>
          </w:tcPr>
          <w:p w14:paraId="7212A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bidi="ar"/>
                <w14:textFill>
                  <w14:solidFill>
                    <w14:schemeClr w14:val="tx1"/>
                  </w14:solidFill>
                </w14:textFill>
              </w:rPr>
              <w:t>序号</w:t>
            </w:r>
          </w:p>
        </w:tc>
        <w:tc>
          <w:tcPr>
            <w:tcW w:w="1197" w:type="dxa"/>
            <w:tcBorders>
              <w:tl2br w:val="nil"/>
              <w:tr2bl w:val="nil"/>
            </w:tcBorders>
            <w:vAlign w:val="center"/>
          </w:tcPr>
          <w:p w14:paraId="3DC13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bidi="ar"/>
                <w14:textFill>
                  <w14:solidFill>
                    <w14:schemeClr w14:val="tx1"/>
                  </w14:solidFill>
                </w14:textFill>
              </w:rPr>
              <w:t>环境要素</w:t>
            </w:r>
          </w:p>
        </w:tc>
        <w:tc>
          <w:tcPr>
            <w:tcW w:w="3851" w:type="dxa"/>
            <w:tcBorders>
              <w:tl2br w:val="nil"/>
              <w:tr2bl w:val="nil"/>
            </w:tcBorders>
            <w:vAlign w:val="center"/>
          </w:tcPr>
          <w:p w14:paraId="5E03E4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bidi="ar"/>
                <w14:textFill>
                  <w14:solidFill>
                    <w14:schemeClr w14:val="tx1"/>
                  </w14:solidFill>
                </w14:textFill>
              </w:rPr>
              <w:t>监理内容</w:t>
            </w:r>
          </w:p>
        </w:tc>
        <w:tc>
          <w:tcPr>
            <w:tcW w:w="2995" w:type="dxa"/>
            <w:tcBorders>
              <w:tl2br w:val="nil"/>
              <w:tr2bl w:val="nil"/>
            </w:tcBorders>
            <w:vAlign w:val="center"/>
          </w:tcPr>
          <w:p w14:paraId="2AE4D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bidi="ar"/>
                <w14:textFill>
                  <w14:solidFill>
                    <w14:schemeClr w14:val="tx1"/>
                  </w14:solidFill>
                </w14:textFill>
              </w:rPr>
              <w:t>监理要求</w:t>
            </w:r>
          </w:p>
        </w:tc>
      </w:tr>
      <w:tr w14:paraId="529E1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79" w:type="dxa"/>
            <w:tcBorders>
              <w:tl2br w:val="nil"/>
              <w:tr2bl w:val="nil"/>
            </w:tcBorders>
            <w:vAlign w:val="center"/>
          </w:tcPr>
          <w:p w14:paraId="20A4A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1</w:t>
            </w:r>
          </w:p>
        </w:tc>
        <w:tc>
          <w:tcPr>
            <w:tcW w:w="1197" w:type="dxa"/>
            <w:tcBorders>
              <w:tl2br w:val="nil"/>
              <w:tr2bl w:val="nil"/>
            </w:tcBorders>
            <w:vAlign w:val="center"/>
          </w:tcPr>
          <w:p w14:paraId="40BF5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大气环境</w:t>
            </w:r>
          </w:p>
        </w:tc>
        <w:tc>
          <w:tcPr>
            <w:tcW w:w="3851" w:type="dxa"/>
            <w:tcBorders>
              <w:tl2br w:val="nil"/>
              <w:tr2bl w:val="nil"/>
            </w:tcBorders>
            <w:vAlign w:val="center"/>
          </w:tcPr>
          <w:p w14:paraId="39812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①</w:t>
            </w:r>
            <w:r>
              <w:rPr>
                <w:rFonts w:hint="eastAsia" w:ascii="Times New Roman" w:hAnsi="Times New Roman" w:eastAsia="宋体" w:cs="Times New Roman"/>
                <w:color w:val="000000" w:themeColor="text1"/>
                <w:sz w:val="21"/>
                <w:szCs w:val="21"/>
                <w:lang w:bidi="ar"/>
                <w14:textFill>
                  <w14:solidFill>
                    <w14:schemeClr w14:val="tx1"/>
                  </w14:solidFill>
                </w14:textFill>
              </w:rPr>
              <w:t>对工地及进出口定期洒水抑尘，并清扫，保持工地整齐干净；</w:t>
            </w:r>
          </w:p>
          <w:p w14:paraId="22AE2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②</w:t>
            </w:r>
            <w:r>
              <w:rPr>
                <w:rFonts w:hint="eastAsia" w:ascii="Times New Roman" w:hAnsi="Times New Roman" w:eastAsia="宋体" w:cs="Times New Roman"/>
                <w:color w:val="000000" w:themeColor="text1"/>
                <w:sz w:val="21"/>
                <w:szCs w:val="21"/>
                <w:lang w:bidi="ar"/>
                <w14:textFill>
                  <w14:solidFill>
                    <w14:schemeClr w14:val="tx1"/>
                  </w14:solidFill>
                </w14:textFill>
              </w:rPr>
              <w:t>运输车辆在运输砂石等粉料时应使用篷布遮盖；</w:t>
            </w:r>
          </w:p>
          <w:p w14:paraId="0CD54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③</w:t>
            </w:r>
            <w:r>
              <w:rPr>
                <w:rFonts w:hint="eastAsia" w:ascii="Times New Roman" w:hAnsi="Times New Roman" w:eastAsia="宋体" w:cs="Times New Roman"/>
                <w:color w:val="000000" w:themeColor="text1"/>
                <w:sz w:val="21"/>
                <w:szCs w:val="21"/>
                <w:lang w:bidi="ar"/>
                <w14:textFill>
                  <w14:solidFill>
                    <w14:schemeClr w14:val="tx1"/>
                  </w14:solidFill>
                </w14:textFill>
              </w:rPr>
              <w:t>禁止在大风天气施工作业。</w:t>
            </w:r>
          </w:p>
        </w:tc>
        <w:tc>
          <w:tcPr>
            <w:tcW w:w="2995" w:type="dxa"/>
            <w:vMerge w:val="restart"/>
            <w:tcBorders>
              <w:tl2br w:val="nil"/>
              <w:tr2bl w:val="nil"/>
            </w:tcBorders>
            <w:vAlign w:val="center"/>
          </w:tcPr>
          <w:p w14:paraId="7061B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1</w:t>
            </w:r>
            <w:r>
              <w:rPr>
                <w:rFonts w:hint="eastAsia" w:ascii="Times New Roman" w:hAnsi="Times New Roman" w:eastAsia="宋体" w:cs="Times New Roman"/>
                <w:color w:val="000000" w:themeColor="text1"/>
                <w:sz w:val="21"/>
                <w:szCs w:val="21"/>
                <w:lang w:bidi="ar"/>
                <w14:textFill>
                  <w14:solidFill>
                    <w14:schemeClr w14:val="tx1"/>
                  </w14:solidFill>
                </w14:textFill>
              </w:rPr>
              <w:t>、建议在施工招标文件、施工合同、环境监理招标文件和监理合同中明确施工单位、环境监理单位的环境保护责任和目标任务；</w:t>
            </w:r>
          </w:p>
          <w:p w14:paraId="23053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w:t>
            </w:r>
            <w:r>
              <w:rPr>
                <w:rFonts w:hint="eastAsia" w:ascii="Times New Roman" w:hAnsi="Times New Roman" w:eastAsia="宋体" w:cs="Times New Roman"/>
                <w:color w:val="000000" w:themeColor="text1"/>
                <w:sz w:val="21"/>
                <w:szCs w:val="21"/>
                <w:lang w:bidi="ar"/>
                <w14:textFill>
                  <w14:solidFill>
                    <w14:schemeClr w14:val="tx1"/>
                  </w14:solidFill>
                </w14:textFill>
              </w:rPr>
              <w:t>、建议委托有资质单位开展建设期的环境监理工作，加强施工过程的环境监理和环保设施建设的环境监理，定期向</w:t>
            </w:r>
            <w:r>
              <w:rPr>
                <w:rFonts w:hint="eastAsia" w:cs="Times New Roman"/>
                <w:color w:val="000000" w:themeColor="text1"/>
                <w:sz w:val="21"/>
                <w:szCs w:val="21"/>
                <w:lang w:val="en-US" w:eastAsia="zh-CN" w:bidi="ar"/>
                <w14:textFill>
                  <w14:solidFill>
                    <w14:schemeClr w14:val="tx1"/>
                  </w14:solidFill>
                </w14:textFill>
              </w:rPr>
              <w:t>哈密市</w:t>
            </w:r>
            <w:r>
              <w:rPr>
                <w:rFonts w:hint="eastAsia" w:ascii="Times New Roman" w:hAnsi="Times New Roman" w:eastAsia="宋体" w:cs="Times New Roman"/>
                <w:color w:val="000000" w:themeColor="text1"/>
                <w:sz w:val="21"/>
                <w:szCs w:val="21"/>
                <w:lang w:bidi="ar"/>
                <w14:textFill>
                  <w14:solidFill>
                    <w14:schemeClr w14:val="tx1"/>
                  </w14:solidFill>
                </w14:textFill>
              </w:rPr>
              <w:t>和</w:t>
            </w:r>
            <w:r>
              <w:rPr>
                <w:rFonts w:hint="eastAsia" w:cs="Times New Roman"/>
                <w:color w:val="000000" w:themeColor="text1"/>
                <w:sz w:val="21"/>
                <w:szCs w:val="21"/>
                <w:lang w:val="en-US" w:eastAsia="zh-CN" w:bidi="ar"/>
                <w14:textFill>
                  <w14:solidFill>
                    <w14:schemeClr w14:val="tx1"/>
                  </w14:solidFill>
                </w14:textFill>
              </w:rPr>
              <w:t>伊州区</w:t>
            </w:r>
            <w:r>
              <w:rPr>
                <w:rFonts w:hint="eastAsia" w:ascii="Times New Roman" w:hAnsi="Times New Roman" w:eastAsia="宋体" w:cs="Times New Roman"/>
                <w:color w:val="000000" w:themeColor="text1"/>
                <w:sz w:val="21"/>
                <w:szCs w:val="21"/>
                <w:lang w:bidi="ar"/>
                <w14:textFill>
                  <w14:solidFill>
                    <w14:schemeClr w14:val="tx1"/>
                  </w14:solidFill>
                </w14:textFill>
              </w:rPr>
              <w:t>生态环境主管部门备案；</w:t>
            </w:r>
          </w:p>
          <w:p w14:paraId="26627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3、自觉接受当地生态环境主管部门在建设期的环境监督与管理；</w:t>
            </w:r>
          </w:p>
          <w:p w14:paraId="16639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4、设立矿山环保机构，建立健全环境管理、环保资料档案等制度。</w:t>
            </w:r>
          </w:p>
        </w:tc>
      </w:tr>
      <w:tr w14:paraId="76528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79" w:type="dxa"/>
            <w:tcBorders>
              <w:tl2br w:val="nil"/>
              <w:tr2bl w:val="nil"/>
            </w:tcBorders>
            <w:vAlign w:val="center"/>
          </w:tcPr>
          <w:p w14:paraId="702FA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w:t>
            </w:r>
          </w:p>
        </w:tc>
        <w:tc>
          <w:tcPr>
            <w:tcW w:w="1197" w:type="dxa"/>
            <w:tcBorders>
              <w:tl2br w:val="nil"/>
              <w:tr2bl w:val="nil"/>
            </w:tcBorders>
            <w:vAlign w:val="center"/>
          </w:tcPr>
          <w:p w14:paraId="47703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水环境</w:t>
            </w:r>
          </w:p>
        </w:tc>
        <w:tc>
          <w:tcPr>
            <w:tcW w:w="3851" w:type="dxa"/>
            <w:tcBorders>
              <w:tl2br w:val="nil"/>
              <w:tr2bl w:val="nil"/>
            </w:tcBorders>
            <w:vAlign w:val="center"/>
          </w:tcPr>
          <w:p w14:paraId="1425C6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①施工期施工人员生活依托矿区现有办公生活区</w:t>
            </w:r>
            <w:r>
              <w:rPr>
                <w:rFonts w:hint="eastAsia" w:ascii="Times New Roman" w:hAnsi="Times New Roman" w:eastAsia="宋体" w:cs="Times New Roman"/>
                <w:color w:val="000000" w:themeColor="text1"/>
                <w:sz w:val="21"/>
                <w:szCs w:val="21"/>
                <w:lang w:bidi="ar"/>
                <w14:textFill>
                  <w14:solidFill>
                    <w14:schemeClr w14:val="tx1"/>
                  </w14:solidFill>
                </w14:textFill>
              </w:rPr>
              <w:t>；</w:t>
            </w:r>
          </w:p>
          <w:p w14:paraId="31E13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②</w:t>
            </w:r>
            <w:r>
              <w:rPr>
                <w:rFonts w:hint="eastAsia" w:ascii="Times New Roman" w:hAnsi="Times New Roman" w:eastAsia="宋体" w:cs="Times New Roman"/>
                <w:color w:val="000000" w:themeColor="text1"/>
                <w:sz w:val="21"/>
                <w:szCs w:val="21"/>
                <w:lang w:bidi="ar"/>
                <w14:textFill>
                  <w14:solidFill>
                    <w14:schemeClr w14:val="tx1"/>
                  </w14:solidFill>
                </w14:textFill>
              </w:rPr>
              <w:t>避免在雨季进行基础开挖施工。</w:t>
            </w:r>
          </w:p>
        </w:tc>
        <w:tc>
          <w:tcPr>
            <w:tcW w:w="2995" w:type="dxa"/>
            <w:vMerge w:val="continue"/>
            <w:tcBorders>
              <w:tl2br w:val="nil"/>
              <w:tr2bl w:val="nil"/>
            </w:tcBorders>
            <w:vAlign w:val="center"/>
          </w:tcPr>
          <w:p w14:paraId="6EE36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18C1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9" w:type="dxa"/>
            <w:tcBorders>
              <w:tl2br w:val="nil"/>
              <w:tr2bl w:val="nil"/>
            </w:tcBorders>
            <w:vAlign w:val="center"/>
          </w:tcPr>
          <w:p w14:paraId="52E0E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3</w:t>
            </w:r>
          </w:p>
        </w:tc>
        <w:tc>
          <w:tcPr>
            <w:tcW w:w="1197" w:type="dxa"/>
            <w:tcBorders>
              <w:tl2br w:val="nil"/>
              <w:tr2bl w:val="nil"/>
            </w:tcBorders>
            <w:vAlign w:val="center"/>
          </w:tcPr>
          <w:p w14:paraId="0EB1E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声环境</w:t>
            </w:r>
          </w:p>
        </w:tc>
        <w:tc>
          <w:tcPr>
            <w:tcW w:w="3851" w:type="dxa"/>
            <w:tcBorders>
              <w:tl2br w:val="nil"/>
              <w:tr2bl w:val="nil"/>
            </w:tcBorders>
            <w:vAlign w:val="center"/>
          </w:tcPr>
          <w:p w14:paraId="4DC06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①</w:t>
            </w:r>
            <w:r>
              <w:rPr>
                <w:rFonts w:hint="eastAsia" w:ascii="Times New Roman" w:hAnsi="Times New Roman" w:eastAsia="宋体" w:cs="Times New Roman"/>
                <w:color w:val="000000" w:themeColor="text1"/>
                <w:sz w:val="21"/>
                <w:szCs w:val="21"/>
                <w:lang w:bidi="ar"/>
                <w14:textFill>
                  <w14:solidFill>
                    <w14:schemeClr w14:val="tx1"/>
                  </w14:solidFill>
                </w14:textFill>
              </w:rPr>
              <w:t>合理布局施工设备，避免局部声级过高，对敏感点是否设置临时声屏障；</w:t>
            </w:r>
          </w:p>
          <w:p w14:paraId="7A68C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②</w:t>
            </w:r>
            <w:r>
              <w:rPr>
                <w:rFonts w:hint="eastAsia" w:ascii="Times New Roman" w:hAnsi="Times New Roman" w:eastAsia="宋体" w:cs="Times New Roman"/>
                <w:color w:val="000000" w:themeColor="text1"/>
                <w:sz w:val="21"/>
                <w:szCs w:val="21"/>
                <w:lang w:bidi="ar"/>
                <w14:textFill>
                  <w14:solidFill>
                    <w14:schemeClr w14:val="tx1"/>
                  </w14:solidFill>
                </w14:textFill>
              </w:rPr>
              <w:t>开工</w:t>
            </w:r>
            <w:r>
              <w:rPr>
                <w:rFonts w:hint="default" w:ascii="Times New Roman" w:hAnsi="Times New Roman" w:eastAsia="宋体" w:cs="Times New Roman"/>
                <w:color w:val="000000" w:themeColor="text1"/>
                <w:sz w:val="21"/>
                <w:szCs w:val="21"/>
                <w:lang w:bidi="ar"/>
                <w14:textFill>
                  <w14:solidFill>
                    <w14:schemeClr w14:val="tx1"/>
                  </w14:solidFill>
                </w14:textFill>
              </w:rPr>
              <w:t>15</w:t>
            </w:r>
            <w:r>
              <w:rPr>
                <w:rFonts w:hint="eastAsia" w:ascii="Times New Roman" w:hAnsi="Times New Roman" w:eastAsia="宋体" w:cs="Times New Roman"/>
                <w:color w:val="000000" w:themeColor="text1"/>
                <w:sz w:val="21"/>
                <w:szCs w:val="21"/>
                <w:lang w:bidi="ar"/>
                <w14:textFill>
                  <w14:solidFill>
                    <w14:schemeClr w14:val="tx1"/>
                  </w14:solidFill>
                </w14:textFill>
              </w:rPr>
              <w:t>日前向生态环境主管部门申报《建设施工环保审批表》。</w:t>
            </w:r>
          </w:p>
        </w:tc>
        <w:tc>
          <w:tcPr>
            <w:tcW w:w="2995" w:type="dxa"/>
            <w:vMerge w:val="continue"/>
            <w:tcBorders>
              <w:tl2br w:val="nil"/>
              <w:tr2bl w:val="nil"/>
            </w:tcBorders>
            <w:vAlign w:val="center"/>
          </w:tcPr>
          <w:p w14:paraId="41A30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CA95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dxa"/>
            <w:tcBorders>
              <w:tl2br w:val="nil"/>
              <w:tr2bl w:val="nil"/>
            </w:tcBorders>
            <w:vAlign w:val="center"/>
          </w:tcPr>
          <w:p w14:paraId="548CA1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4</w:t>
            </w:r>
          </w:p>
        </w:tc>
        <w:tc>
          <w:tcPr>
            <w:tcW w:w="1197" w:type="dxa"/>
            <w:tcBorders>
              <w:tl2br w:val="nil"/>
              <w:tr2bl w:val="nil"/>
            </w:tcBorders>
            <w:vAlign w:val="center"/>
          </w:tcPr>
          <w:p w14:paraId="6C2F1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固体废物</w:t>
            </w:r>
          </w:p>
        </w:tc>
        <w:tc>
          <w:tcPr>
            <w:tcW w:w="3851" w:type="dxa"/>
            <w:tcBorders>
              <w:tl2br w:val="nil"/>
              <w:tr2bl w:val="nil"/>
            </w:tcBorders>
            <w:vAlign w:val="center"/>
          </w:tcPr>
          <w:p w14:paraId="6B9C4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①施工期产生的掘进废石堆存于现有废石堆场；</w:t>
            </w:r>
          </w:p>
          <w:p w14:paraId="47874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②施工期生活垃圾集中收集，定期清运。</w:t>
            </w:r>
          </w:p>
          <w:p w14:paraId="75DF1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③</w:t>
            </w:r>
            <w:r>
              <w:rPr>
                <w:rFonts w:hint="default" w:ascii="Times New Roman" w:hAnsi="Times New Roman" w:eastAsia="宋体" w:cs="Times New Roman"/>
                <w:color w:val="000000" w:themeColor="text1"/>
                <w:sz w:val="21"/>
                <w:szCs w:val="21"/>
                <w:lang w:bidi="ar"/>
                <w14:textFill>
                  <w14:solidFill>
                    <w14:schemeClr w14:val="tx1"/>
                  </w14:solidFill>
                </w14:textFill>
              </w:rPr>
              <w:t>建构筑物建设过程产生的建筑垃圾部分回收利用，其余运至当地</w:t>
            </w:r>
            <w:r>
              <w:rPr>
                <w:rFonts w:hint="eastAsia" w:cs="Times New Roman"/>
                <w:color w:val="000000" w:themeColor="text1"/>
                <w:sz w:val="21"/>
                <w:szCs w:val="21"/>
                <w:lang w:val="en-US" w:eastAsia="zh-CN" w:bidi="ar"/>
                <w14:textFill>
                  <w14:solidFill>
                    <w14:schemeClr w14:val="tx1"/>
                  </w14:solidFill>
                </w14:textFill>
              </w:rPr>
              <w:t>环卫</w:t>
            </w:r>
            <w:r>
              <w:rPr>
                <w:rFonts w:hint="default" w:ascii="Times New Roman" w:hAnsi="Times New Roman" w:eastAsia="宋体" w:cs="Times New Roman"/>
                <w:color w:val="000000" w:themeColor="text1"/>
                <w:sz w:val="21"/>
                <w:szCs w:val="21"/>
                <w:lang w:bidi="ar"/>
                <w14:textFill>
                  <w14:solidFill>
                    <w14:schemeClr w14:val="tx1"/>
                  </w14:solidFill>
                </w14:textFill>
              </w:rPr>
              <w:t>部门指定场所处置。</w:t>
            </w:r>
          </w:p>
        </w:tc>
        <w:tc>
          <w:tcPr>
            <w:tcW w:w="2995" w:type="dxa"/>
            <w:vMerge w:val="continue"/>
            <w:tcBorders>
              <w:tl2br w:val="nil"/>
              <w:tr2bl w:val="nil"/>
            </w:tcBorders>
            <w:vAlign w:val="center"/>
          </w:tcPr>
          <w:p w14:paraId="75D05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AD68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dxa"/>
            <w:tcBorders>
              <w:tl2br w:val="nil"/>
              <w:tr2bl w:val="nil"/>
            </w:tcBorders>
            <w:vAlign w:val="center"/>
          </w:tcPr>
          <w:p w14:paraId="700FA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5</w:t>
            </w:r>
          </w:p>
        </w:tc>
        <w:tc>
          <w:tcPr>
            <w:tcW w:w="1197" w:type="dxa"/>
            <w:tcBorders>
              <w:tl2br w:val="nil"/>
              <w:tr2bl w:val="nil"/>
            </w:tcBorders>
            <w:vAlign w:val="center"/>
          </w:tcPr>
          <w:p w14:paraId="18F92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生态影响</w:t>
            </w:r>
          </w:p>
        </w:tc>
        <w:tc>
          <w:tcPr>
            <w:tcW w:w="3851" w:type="dxa"/>
            <w:tcBorders>
              <w:tl2br w:val="nil"/>
              <w:tr2bl w:val="nil"/>
            </w:tcBorders>
            <w:vAlign w:val="center"/>
          </w:tcPr>
          <w:p w14:paraId="58A2D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①</w:t>
            </w:r>
            <w:r>
              <w:rPr>
                <w:rFonts w:hint="eastAsia" w:ascii="Times New Roman" w:hAnsi="Times New Roman" w:eastAsia="宋体" w:cs="Times New Roman"/>
                <w:color w:val="000000" w:themeColor="text1"/>
                <w:sz w:val="21"/>
                <w:szCs w:val="21"/>
                <w:lang w:bidi="ar"/>
                <w14:textFill>
                  <w14:solidFill>
                    <w14:schemeClr w14:val="tx1"/>
                  </w14:solidFill>
                </w14:textFill>
              </w:rPr>
              <w:t>施工期间水土流失问题、矿石堆场及主体工程开挖、弃渣及弃渣堆放应符合环境管理规范要求。</w:t>
            </w:r>
          </w:p>
          <w:p w14:paraId="565F1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②</w:t>
            </w:r>
            <w:r>
              <w:rPr>
                <w:rFonts w:hint="eastAsia" w:ascii="Times New Roman" w:hAnsi="Times New Roman" w:eastAsia="宋体" w:cs="Times New Roman"/>
                <w:color w:val="000000" w:themeColor="text1"/>
                <w:sz w:val="21"/>
                <w:szCs w:val="21"/>
                <w:lang w:bidi="ar"/>
                <w14:textFill>
                  <w14:solidFill>
                    <w14:schemeClr w14:val="tx1"/>
                  </w14:solidFill>
                </w14:textFill>
              </w:rPr>
              <w:t>绿化面积达到规划要求。</w:t>
            </w:r>
          </w:p>
          <w:p w14:paraId="12D72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③禁止猎杀动物及破坏植物。</w:t>
            </w:r>
          </w:p>
        </w:tc>
        <w:tc>
          <w:tcPr>
            <w:tcW w:w="2995" w:type="dxa"/>
            <w:vMerge w:val="continue"/>
            <w:tcBorders>
              <w:tl2br w:val="nil"/>
              <w:tr2bl w:val="nil"/>
            </w:tcBorders>
            <w:vAlign w:val="center"/>
          </w:tcPr>
          <w:p w14:paraId="53E2E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14:paraId="7EE28618">
      <w:pPr>
        <w:pStyle w:val="3"/>
        <w:jc w:val="left"/>
        <w:rPr>
          <w:rFonts w:hint="eastAsia" w:ascii="Times New Roman" w:hAnsi="Times New Roman" w:eastAsia="宋体" w:cs="Times New Roman"/>
          <w:bCs/>
          <w:color w:val="000000" w:themeColor="text1"/>
          <w:kern w:val="2"/>
          <w:szCs w:val="32"/>
          <w:lang w:eastAsia="zh-CN"/>
          <w14:textFill>
            <w14:solidFill>
              <w14:schemeClr w14:val="tx1"/>
            </w14:solidFill>
          </w14:textFill>
        </w:rPr>
      </w:pPr>
      <w:bookmarkStart w:id="720" w:name="_Toc12784"/>
      <w:bookmarkStart w:id="721" w:name="_Toc31807"/>
      <w:bookmarkStart w:id="722" w:name="_Toc25485"/>
      <w:bookmarkStart w:id="723" w:name="_Toc7335"/>
      <w:r>
        <w:rPr>
          <w:rFonts w:hint="eastAsia" w:ascii="Times New Roman" w:hAnsi="Times New Roman" w:eastAsia="宋体" w:cs="Times New Roman"/>
          <w:bCs/>
          <w:color w:val="000000" w:themeColor="text1"/>
          <w:kern w:val="2"/>
          <w:szCs w:val="32"/>
          <w14:textFill>
            <w14:solidFill>
              <w14:schemeClr w14:val="tx1"/>
            </w14:solidFill>
          </w14:textFill>
        </w:rPr>
        <w:t>8.3环境监测</w:t>
      </w:r>
      <w:bookmarkEnd w:id="720"/>
      <w:bookmarkEnd w:id="721"/>
      <w:bookmarkEnd w:id="722"/>
      <w:r>
        <w:rPr>
          <w:rFonts w:hint="eastAsia" w:ascii="Times New Roman" w:hAnsi="Times New Roman" w:eastAsia="宋体" w:cs="Times New Roman"/>
          <w:bCs/>
          <w:color w:val="000000" w:themeColor="text1"/>
          <w:kern w:val="2"/>
          <w:szCs w:val="32"/>
          <w:lang w:eastAsia="zh-CN"/>
          <w14:textFill>
            <w14:solidFill>
              <w14:schemeClr w14:val="tx1"/>
            </w14:solidFill>
          </w14:textFill>
        </w:rPr>
        <w:t>计划</w:t>
      </w:r>
      <w:bookmarkEnd w:id="723"/>
    </w:p>
    <w:p w14:paraId="0D2486F5">
      <w:pPr>
        <w:spacing w:line="480" w:lineRule="exact"/>
        <w:ind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环境监测制度是为环境管理服务的一项重要制度，通过环境监测，及时了解企业的环境状况，不断完善、改进防治措施，清洁生产，不断适应环境保护的发展要求，是实现企业环境管理定量化、规范化的重要技术支持。建立一套完善而行之有效的环境监测制度是企业环境保护工作的重要组成部分。</w:t>
      </w:r>
    </w:p>
    <w:p w14:paraId="7F021B3E">
      <w:pPr>
        <w:keepNext/>
        <w:keepLines/>
        <w:spacing w:before="60" w:after="60" w:line="480" w:lineRule="exact"/>
        <w:outlineLvl w:val="2"/>
        <w:rPr>
          <w:rFonts w:ascii="Times New Roman" w:hAnsi="Times New Roman" w:eastAsia="宋体" w:cs="Times New Roman"/>
          <w:b/>
          <w:bCs/>
          <w:color w:val="000000" w:themeColor="text1"/>
          <w:sz w:val="30"/>
          <w:szCs w:val="32"/>
          <w14:textFill>
            <w14:solidFill>
              <w14:schemeClr w14:val="tx1"/>
            </w14:solidFill>
          </w14:textFill>
        </w:rPr>
      </w:pPr>
      <w:r>
        <w:rPr>
          <w:rFonts w:hint="eastAsia" w:ascii="Times New Roman" w:hAnsi="Times New Roman" w:eastAsia="宋体" w:cs="Times New Roman"/>
          <w:b/>
          <w:bCs/>
          <w:color w:val="000000" w:themeColor="text1"/>
          <w:sz w:val="30"/>
          <w:szCs w:val="32"/>
          <w14:textFill>
            <w14:solidFill>
              <w14:schemeClr w14:val="tx1"/>
            </w14:solidFill>
          </w14:textFill>
        </w:rPr>
        <w:t>8.3.1监测机构</w:t>
      </w:r>
    </w:p>
    <w:p w14:paraId="05B16DB1">
      <w:pPr>
        <w:spacing w:line="480" w:lineRule="exact"/>
        <w:ind w:firstLine="480" w:firstLineChars="200"/>
        <w:rPr>
          <w:rFonts w:ascii="Times New Roman" w:hAnsi="Times New Roman" w:cs="Times New Roman"/>
          <w:color w:val="000000" w:themeColor="text1"/>
          <w:kern w:val="0"/>
          <w:sz w:val="28"/>
          <w:szCs w:val="28"/>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考虑到矿区的实际条件矿区可不设监测机构，有关的环境监测工作可委托第三方监测单位承担，确保监测计划的顺利实施。</w:t>
      </w:r>
    </w:p>
    <w:p w14:paraId="0B3BE810">
      <w:pPr>
        <w:keepNext/>
        <w:keepLines/>
        <w:spacing w:before="60" w:after="60" w:line="480" w:lineRule="exact"/>
        <w:outlineLvl w:val="2"/>
        <w:rPr>
          <w:rFonts w:hint="eastAsia" w:ascii="Times New Roman" w:hAnsi="Times New Roman" w:eastAsia="宋体" w:cs="Times New Roman"/>
          <w:b/>
          <w:bCs/>
          <w:color w:val="000000" w:themeColor="text1"/>
          <w:sz w:val="30"/>
          <w:szCs w:val="32"/>
          <w:lang w:eastAsia="zh-CN"/>
          <w14:textFill>
            <w14:solidFill>
              <w14:schemeClr w14:val="tx1"/>
            </w14:solidFill>
          </w14:textFill>
        </w:rPr>
      </w:pPr>
      <w:r>
        <w:rPr>
          <w:rFonts w:hint="eastAsia" w:ascii="Times New Roman" w:hAnsi="Times New Roman" w:eastAsia="宋体" w:cs="Times New Roman"/>
          <w:b/>
          <w:bCs/>
          <w:color w:val="000000" w:themeColor="text1"/>
          <w:sz w:val="30"/>
          <w:szCs w:val="32"/>
          <w14:textFill>
            <w14:solidFill>
              <w14:schemeClr w14:val="tx1"/>
            </w14:solidFill>
          </w14:textFill>
        </w:rPr>
        <w:t>8.3.2监测</w:t>
      </w:r>
      <w:r>
        <w:rPr>
          <w:rFonts w:hint="eastAsia" w:eastAsia="宋体" w:cs="Times New Roman"/>
          <w:b/>
          <w:bCs/>
          <w:color w:val="000000" w:themeColor="text1"/>
          <w:sz w:val="30"/>
          <w:szCs w:val="32"/>
          <w:lang w:eastAsia="zh-CN"/>
          <w14:textFill>
            <w14:solidFill>
              <w14:schemeClr w14:val="tx1"/>
            </w14:solidFill>
          </w14:textFill>
        </w:rPr>
        <w:t>内容</w:t>
      </w:r>
    </w:p>
    <w:p w14:paraId="365F1220">
      <w:pPr>
        <w:widowControl/>
        <w:spacing w:line="480" w:lineRule="exact"/>
        <w:ind w:firstLine="480" w:firstLineChars="200"/>
        <w:jc w:val="left"/>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1、施工期监测内容</w:t>
      </w:r>
    </w:p>
    <w:p w14:paraId="14501B60">
      <w:pPr>
        <w:pStyle w:val="962"/>
        <w:spacing w:line="480" w:lineRule="exact"/>
        <w:ind w:firstLine="480"/>
        <w:rPr>
          <w:rFonts w:hint="eastAsia" w:eastAsia="宋体"/>
          <w:color w:val="000000" w:themeColor="text1"/>
          <w:kern w:val="0"/>
          <w14:textFill>
            <w14:solidFill>
              <w14:schemeClr w14:val="tx1"/>
            </w14:solidFill>
          </w14:textFill>
        </w:rPr>
      </w:pPr>
      <w:r>
        <w:rPr>
          <w:rFonts w:eastAsia="宋体"/>
          <w:color w:val="000000" w:themeColor="text1"/>
          <w14:textFill>
            <w14:solidFill>
              <w14:schemeClr w14:val="tx1"/>
            </w14:solidFill>
          </w14:textFill>
        </w:rPr>
        <w:t>为了及时了解和掌握拟建项目施工期主要污染物的排放情况，建设单位应委托有资质的环境监测部门对其污染源和施工场界周边的环境质量进行监测，监测要求见表8.3-1。</w:t>
      </w:r>
    </w:p>
    <w:p w14:paraId="1172574B">
      <w:pPr>
        <w:adjustRightInd w:val="0"/>
        <w:spacing w:line="480" w:lineRule="exact"/>
        <w:jc w:val="center"/>
        <w:textAlignment w:val="baseline"/>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表8.3-1    施工期环境监测要求</w:t>
      </w:r>
    </w:p>
    <w:tbl>
      <w:tblPr>
        <w:tblStyle w:val="7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1180"/>
        <w:gridCol w:w="1369"/>
        <w:gridCol w:w="899"/>
        <w:gridCol w:w="1359"/>
        <w:gridCol w:w="3045"/>
      </w:tblGrid>
      <w:tr w14:paraId="72D55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93" w:type="pct"/>
            <w:noWrap w:val="0"/>
            <w:vAlign w:val="center"/>
          </w:tcPr>
          <w:p w14:paraId="1F414691">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监测类别</w:t>
            </w:r>
          </w:p>
        </w:tc>
        <w:tc>
          <w:tcPr>
            <w:tcW w:w="692" w:type="pct"/>
            <w:noWrap w:val="0"/>
            <w:vAlign w:val="center"/>
          </w:tcPr>
          <w:p w14:paraId="6C44B96C">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监测项目</w:t>
            </w:r>
          </w:p>
        </w:tc>
        <w:tc>
          <w:tcPr>
            <w:tcW w:w="803" w:type="pct"/>
            <w:noWrap w:val="0"/>
            <w:vAlign w:val="center"/>
          </w:tcPr>
          <w:p w14:paraId="340E8EB3">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监测点位置</w:t>
            </w:r>
          </w:p>
        </w:tc>
        <w:tc>
          <w:tcPr>
            <w:tcW w:w="527" w:type="pct"/>
            <w:noWrap w:val="0"/>
            <w:vAlign w:val="center"/>
          </w:tcPr>
          <w:p w14:paraId="097F4E6F">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测点数</w:t>
            </w:r>
          </w:p>
        </w:tc>
        <w:tc>
          <w:tcPr>
            <w:tcW w:w="797" w:type="pct"/>
            <w:noWrap w:val="0"/>
            <w:vAlign w:val="center"/>
          </w:tcPr>
          <w:p w14:paraId="0402D400">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监测频次</w:t>
            </w:r>
          </w:p>
        </w:tc>
        <w:tc>
          <w:tcPr>
            <w:tcW w:w="1786" w:type="pct"/>
            <w:noWrap w:val="0"/>
            <w:vAlign w:val="center"/>
          </w:tcPr>
          <w:p w14:paraId="5CFDDEAB">
            <w:pPr>
              <w:keepNext w:val="0"/>
              <w:keepLines w:val="0"/>
              <w:suppressLineNumbers w:val="0"/>
              <w:spacing w:before="0" w:beforeAutospacing="0" w:after="0" w:afterAutospacing="0" w:line="360" w:lineRule="exact"/>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技术要求</w:t>
            </w:r>
          </w:p>
        </w:tc>
      </w:tr>
      <w:tr w14:paraId="64F3C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noWrap w:val="0"/>
            <w:vAlign w:val="center"/>
          </w:tcPr>
          <w:p w14:paraId="0EC5F733">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场界噪声</w:t>
            </w:r>
          </w:p>
        </w:tc>
        <w:tc>
          <w:tcPr>
            <w:tcW w:w="692" w:type="pct"/>
            <w:noWrap w:val="0"/>
            <w:vAlign w:val="center"/>
          </w:tcPr>
          <w:p w14:paraId="4618E44A">
            <w:pPr>
              <w:keepNext w:val="0"/>
              <w:keepLines w:val="0"/>
              <w:suppressLineNumbers w:val="0"/>
              <w:spacing w:before="0" w:beforeAutospacing="0" w:after="0" w:afterAutospacing="0" w:line="360" w:lineRule="exact"/>
              <w:ind w:left="0" w:right="0"/>
              <w:jc w:val="center"/>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施工场界Leq</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803" w:type="pct"/>
            <w:noWrap w:val="0"/>
            <w:vAlign w:val="center"/>
          </w:tcPr>
          <w:p w14:paraId="3A9B1768">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施工场界四周</w:t>
            </w:r>
          </w:p>
        </w:tc>
        <w:tc>
          <w:tcPr>
            <w:tcW w:w="527" w:type="pct"/>
            <w:noWrap w:val="0"/>
            <w:vAlign w:val="center"/>
          </w:tcPr>
          <w:p w14:paraId="4F8A23E8">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797" w:type="pct"/>
            <w:noWrap w:val="0"/>
            <w:vAlign w:val="center"/>
          </w:tcPr>
          <w:p w14:paraId="5D813E54">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施工期一次/季</w:t>
            </w:r>
          </w:p>
        </w:tc>
        <w:tc>
          <w:tcPr>
            <w:tcW w:w="1786" w:type="pct"/>
            <w:noWrap w:val="0"/>
            <w:vAlign w:val="center"/>
          </w:tcPr>
          <w:p w14:paraId="19277D73">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满足《建筑施工噪声排放标准》（GB12523-20</w:t>
            </w:r>
            <w:r>
              <w:rPr>
                <w:rFonts w:hint="eastAsia"/>
                <w:color w:val="000000" w:themeColor="text1"/>
                <w:lang w:val="en-US" w:eastAsia="zh-CN"/>
                <w14:textFill>
                  <w14:solidFill>
                    <w14:schemeClr w14:val="tx1"/>
                  </w14:solidFill>
                </w14:textFill>
              </w:rPr>
              <w:t>25</w:t>
            </w:r>
            <w:r>
              <w:rPr>
                <w:rFonts w:hint="default"/>
                <w:color w:val="000000" w:themeColor="text1"/>
                <w14:textFill>
                  <w14:solidFill>
                    <w14:schemeClr w14:val="tx1"/>
                  </w14:solidFill>
                </w14:textFill>
              </w:rPr>
              <w:t>）</w:t>
            </w:r>
          </w:p>
        </w:tc>
      </w:tr>
      <w:tr w14:paraId="6451C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noWrap w:val="0"/>
            <w:vAlign w:val="center"/>
          </w:tcPr>
          <w:p w14:paraId="49ED00DF">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环境空气</w:t>
            </w:r>
          </w:p>
        </w:tc>
        <w:tc>
          <w:tcPr>
            <w:tcW w:w="692" w:type="pct"/>
            <w:noWrap w:val="0"/>
            <w:vAlign w:val="center"/>
          </w:tcPr>
          <w:p w14:paraId="58827CF5">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TSP</w:t>
            </w:r>
          </w:p>
        </w:tc>
        <w:tc>
          <w:tcPr>
            <w:tcW w:w="803" w:type="pct"/>
            <w:noWrap w:val="0"/>
            <w:vAlign w:val="center"/>
          </w:tcPr>
          <w:p w14:paraId="15E16EE6">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施工场地上、下风向</w:t>
            </w:r>
          </w:p>
        </w:tc>
        <w:tc>
          <w:tcPr>
            <w:tcW w:w="527" w:type="pct"/>
            <w:noWrap w:val="0"/>
            <w:vAlign w:val="center"/>
          </w:tcPr>
          <w:p w14:paraId="1FA2E513">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c>
          <w:tcPr>
            <w:tcW w:w="797" w:type="pct"/>
            <w:noWrap w:val="0"/>
            <w:vAlign w:val="center"/>
          </w:tcPr>
          <w:p w14:paraId="1CAA0C8E">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施工期一次/季</w:t>
            </w:r>
          </w:p>
        </w:tc>
        <w:tc>
          <w:tcPr>
            <w:tcW w:w="1786" w:type="pct"/>
            <w:noWrap w:val="0"/>
            <w:vAlign w:val="center"/>
          </w:tcPr>
          <w:p w14:paraId="2FFA3B57">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满足《大气污染物综合排放标准》（16297-1996）</w:t>
            </w:r>
          </w:p>
        </w:tc>
      </w:tr>
      <w:tr w14:paraId="59697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noWrap w:val="0"/>
            <w:vAlign w:val="center"/>
          </w:tcPr>
          <w:p w14:paraId="3FBC93DE">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生态环境</w:t>
            </w:r>
          </w:p>
        </w:tc>
        <w:tc>
          <w:tcPr>
            <w:tcW w:w="692" w:type="pct"/>
            <w:noWrap w:val="0"/>
            <w:vAlign w:val="center"/>
          </w:tcPr>
          <w:p w14:paraId="5C8BAAAD">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施工现场清理</w:t>
            </w:r>
          </w:p>
        </w:tc>
        <w:tc>
          <w:tcPr>
            <w:tcW w:w="803" w:type="pct"/>
            <w:noWrap w:val="0"/>
            <w:vAlign w:val="center"/>
          </w:tcPr>
          <w:p w14:paraId="5A46AC93">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施工场地</w:t>
            </w:r>
          </w:p>
        </w:tc>
        <w:tc>
          <w:tcPr>
            <w:tcW w:w="527" w:type="pct"/>
            <w:noWrap w:val="0"/>
            <w:vAlign w:val="center"/>
          </w:tcPr>
          <w:p w14:paraId="0A936E1E">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797" w:type="pct"/>
            <w:noWrap w:val="0"/>
            <w:vAlign w:val="center"/>
          </w:tcPr>
          <w:p w14:paraId="1477A470">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施工结束后一次</w:t>
            </w:r>
          </w:p>
        </w:tc>
        <w:tc>
          <w:tcPr>
            <w:tcW w:w="1786" w:type="pct"/>
            <w:noWrap w:val="0"/>
            <w:vAlign w:val="center"/>
          </w:tcPr>
          <w:p w14:paraId="5A294A17">
            <w:pPr>
              <w:keepNext w:val="0"/>
              <w:keepLines w:val="0"/>
              <w:suppressLineNumbers w:val="0"/>
              <w:spacing w:before="0" w:beforeAutospacing="0" w:after="0" w:afterAutospacing="0" w:line="360" w:lineRule="exact"/>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施工清理后，施工现场的弃土石方等废弃物的处置和生态环境恢复情况</w:t>
            </w:r>
          </w:p>
        </w:tc>
      </w:tr>
    </w:tbl>
    <w:p w14:paraId="59D27C8B">
      <w:pPr>
        <w:widowControl/>
        <w:spacing w:line="480" w:lineRule="exact"/>
        <w:ind w:firstLine="480" w:firstLineChars="200"/>
        <w:jc w:val="left"/>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2、运营期监测内容</w:t>
      </w:r>
    </w:p>
    <w:p w14:paraId="42238F54">
      <w:pPr>
        <w:spacing w:line="480" w:lineRule="exact"/>
        <w:ind w:firstLine="480" w:firstLineChars="200"/>
        <w:rPr>
          <w:rFonts w:hint="eastAsia" w:ascii="Times New Roman" w:hAnsi="Times New Roman" w:eastAsia="宋体" w:cs="Times New Roman"/>
          <w:color w:val="000000" w:themeColor="text1"/>
          <w:sz w:val="24"/>
          <w:szCs w:val="24"/>
          <w:lang w:eastAsia="zh-CN" w:bidi="ar"/>
          <w14:textFill>
            <w14:solidFill>
              <w14:schemeClr w14:val="tx1"/>
            </w14:solidFill>
          </w14:textFill>
        </w:rPr>
      </w:pPr>
      <w:r>
        <w:rPr>
          <w:color w:val="000000" w:themeColor="text1"/>
          <w:kern w:val="0"/>
          <w:sz w:val="24"/>
          <w:szCs w:val="21"/>
          <w14:textFill>
            <w14:solidFill>
              <w14:schemeClr w14:val="tx1"/>
            </w14:solidFill>
          </w14:textFill>
        </w:rPr>
        <w:t>结合《排污单位自行监测技术指南 总则》</w:t>
      </w:r>
      <w:r>
        <w:rPr>
          <w:rFonts w:hint="eastAsia"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工业企业土壤和地下水自行监测技术指南（试行）</w:t>
      </w:r>
      <w:r>
        <w:rPr>
          <w:rFonts w:hint="eastAsia"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HJ1209-2021</w:t>
      </w:r>
      <w:r>
        <w:rPr>
          <w:rFonts w:hint="eastAsia" w:eastAsia="宋体" w:cs="Times New Roman"/>
          <w:color w:val="000000" w:themeColor="text1"/>
          <w:sz w:val="24"/>
          <w:szCs w:val="24"/>
          <w:highlight w:val="none"/>
          <w:lang w:eastAsia="zh-CN"/>
          <w14:textFill>
            <w14:solidFill>
              <w14:schemeClr w14:val="tx1"/>
            </w14:solidFill>
          </w14:textFill>
        </w:rPr>
        <w:t>）</w:t>
      </w:r>
      <w:r>
        <w:rPr>
          <w:color w:val="000000" w:themeColor="text1"/>
          <w:kern w:val="0"/>
          <w:sz w:val="24"/>
          <w:szCs w:val="21"/>
          <w14:textFill>
            <w14:solidFill>
              <w14:schemeClr w14:val="tx1"/>
            </w14:solidFill>
          </w14:textFill>
        </w:rPr>
        <w:t>要求，运营期监测内容见表8.3-2</w:t>
      </w:r>
      <w:r>
        <w:rPr>
          <w:rFonts w:hint="eastAsia"/>
          <w:color w:val="000000" w:themeColor="text1"/>
          <w:kern w:val="0"/>
          <w:sz w:val="24"/>
          <w:szCs w:val="21"/>
          <w:lang w:eastAsia="zh-CN"/>
          <w14:textFill>
            <w14:solidFill>
              <w14:schemeClr w14:val="tx1"/>
            </w14:solidFill>
          </w14:textFill>
        </w:rPr>
        <w:t>。</w:t>
      </w:r>
    </w:p>
    <w:p w14:paraId="7A9ECA4F">
      <w:pPr>
        <w:adjustRightInd w:val="0"/>
        <w:spacing w:line="480" w:lineRule="exact"/>
        <w:jc w:val="center"/>
        <w:textAlignment w:val="baseline"/>
        <w:rPr>
          <w:rFonts w:ascii="Times New Roman" w:hAnsi="Times New Roman" w:eastAsia="宋体" w:cs="Times New Roman"/>
          <w:b/>
          <w:color w:val="000000" w:themeColor="text1"/>
          <w:sz w:val="24"/>
          <w:szCs w:val="24"/>
          <w14:textFill>
            <w14:solidFill>
              <w14:schemeClr w14:val="tx1"/>
            </w14:solidFill>
          </w14:textFill>
        </w:rPr>
      </w:pPr>
      <w:bookmarkStart w:id="724" w:name="_Toc134"/>
      <w:bookmarkStart w:id="725" w:name="_Toc32616"/>
      <w:bookmarkStart w:id="726" w:name="_Toc30365"/>
      <w:r>
        <w:rPr>
          <w:rFonts w:ascii="Times New Roman" w:hAnsi="Times New Roman" w:eastAsia="宋体" w:cs="Times New Roman"/>
          <w:b/>
          <w:color w:val="000000" w:themeColor="text1"/>
          <w:sz w:val="24"/>
          <w:szCs w:val="24"/>
          <w14:textFill>
            <w14:solidFill>
              <w14:schemeClr w14:val="tx1"/>
            </w14:solidFill>
          </w14:textFill>
        </w:rPr>
        <w:t>表8.3-2    运营期环境监测计划表</w:t>
      </w:r>
    </w:p>
    <w:tbl>
      <w:tblPr>
        <w:tblStyle w:val="7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292"/>
        <w:gridCol w:w="4041"/>
        <w:gridCol w:w="1412"/>
      </w:tblGrid>
      <w:tr w14:paraId="427F7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tblHeader/>
          <w:jc w:val="center"/>
        </w:trPr>
        <w:tc>
          <w:tcPr>
            <w:tcW w:w="454" w:type="pct"/>
            <w:noWrap w:val="0"/>
            <w:vAlign w:val="center"/>
          </w:tcPr>
          <w:p w14:paraId="04A18B5A">
            <w:pPr>
              <w:keepNext w:val="0"/>
              <w:keepLines w:val="0"/>
              <w:suppressLineNumbers w:val="0"/>
              <w:spacing w:before="0" w:beforeAutospacing="0" w:after="0" w:afterAutospacing="0" w:line="360" w:lineRule="exact"/>
              <w:ind w:left="0" w:right="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环境</w:t>
            </w:r>
          </w:p>
          <w:p w14:paraId="6482EC91">
            <w:pPr>
              <w:keepNext w:val="0"/>
              <w:keepLines w:val="0"/>
              <w:suppressLineNumbers w:val="0"/>
              <w:spacing w:before="0" w:beforeAutospacing="0" w:after="0" w:afterAutospacing="0" w:line="360" w:lineRule="exact"/>
              <w:ind w:left="0" w:right="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要素</w:t>
            </w:r>
          </w:p>
        </w:tc>
        <w:tc>
          <w:tcPr>
            <w:tcW w:w="1345" w:type="pct"/>
            <w:noWrap w:val="0"/>
            <w:vAlign w:val="center"/>
          </w:tcPr>
          <w:p w14:paraId="45753679">
            <w:pPr>
              <w:keepNext w:val="0"/>
              <w:keepLines w:val="0"/>
              <w:suppressLineNumbers w:val="0"/>
              <w:spacing w:before="0" w:beforeAutospacing="0" w:after="0" w:afterAutospacing="0" w:line="360" w:lineRule="exact"/>
              <w:ind w:left="0" w:right="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监测点位</w:t>
            </w:r>
          </w:p>
        </w:tc>
        <w:tc>
          <w:tcPr>
            <w:tcW w:w="2372" w:type="pct"/>
            <w:noWrap w:val="0"/>
            <w:vAlign w:val="center"/>
          </w:tcPr>
          <w:p w14:paraId="6828F3DB">
            <w:pPr>
              <w:keepNext w:val="0"/>
              <w:keepLines w:val="0"/>
              <w:suppressLineNumbers w:val="0"/>
              <w:spacing w:before="0" w:beforeAutospacing="0" w:after="0" w:afterAutospacing="0" w:line="360" w:lineRule="exact"/>
              <w:ind w:left="0" w:right="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监测因子</w:t>
            </w:r>
          </w:p>
        </w:tc>
        <w:tc>
          <w:tcPr>
            <w:tcW w:w="829" w:type="pct"/>
            <w:noWrap w:val="0"/>
            <w:vAlign w:val="center"/>
          </w:tcPr>
          <w:p w14:paraId="0F0F0E8F">
            <w:pPr>
              <w:keepNext w:val="0"/>
              <w:keepLines w:val="0"/>
              <w:suppressLineNumbers w:val="0"/>
              <w:spacing w:before="0" w:beforeAutospacing="0" w:after="0" w:afterAutospacing="0" w:line="360" w:lineRule="exact"/>
              <w:ind w:left="0" w:right="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监测频次</w:t>
            </w:r>
          </w:p>
        </w:tc>
      </w:tr>
      <w:tr w14:paraId="41B27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4" w:type="pct"/>
            <w:noWrap w:val="0"/>
            <w:vAlign w:val="center"/>
          </w:tcPr>
          <w:p w14:paraId="7C6CCE02">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大气</w:t>
            </w:r>
          </w:p>
        </w:tc>
        <w:tc>
          <w:tcPr>
            <w:tcW w:w="1345" w:type="pct"/>
            <w:noWrap w:val="0"/>
            <w:vAlign w:val="center"/>
          </w:tcPr>
          <w:p w14:paraId="48C193A0">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无组织排放粉尘</w:t>
            </w:r>
          </w:p>
          <w:p w14:paraId="3FF2BFE3">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（矿区</w:t>
            </w:r>
            <w:r>
              <w:rPr>
                <w:rFonts w:hint="eastAsia"/>
                <w:color w:val="000000" w:themeColor="text1"/>
                <w:szCs w:val="21"/>
                <w14:textFill>
                  <w14:solidFill>
                    <w14:schemeClr w14:val="tx1"/>
                  </w14:solidFill>
                </w14:textFill>
              </w:rPr>
              <w:t>下风向</w:t>
            </w:r>
            <w:r>
              <w:rPr>
                <w:rFonts w:hint="default"/>
                <w:color w:val="000000" w:themeColor="text1"/>
                <w:szCs w:val="21"/>
                <w14:textFill>
                  <w14:solidFill>
                    <w14:schemeClr w14:val="tx1"/>
                  </w14:solidFill>
                </w14:textFill>
              </w:rPr>
              <w:t>）</w:t>
            </w:r>
          </w:p>
        </w:tc>
        <w:tc>
          <w:tcPr>
            <w:tcW w:w="2372" w:type="pct"/>
            <w:noWrap w:val="0"/>
            <w:vAlign w:val="center"/>
          </w:tcPr>
          <w:p w14:paraId="32173430">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TSP</w:t>
            </w:r>
          </w:p>
        </w:tc>
        <w:tc>
          <w:tcPr>
            <w:tcW w:w="829" w:type="pct"/>
            <w:noWrap w:val="0"/>
            <w:vAlign w:val="center"/>
          </w:tcPr>
          <w:p w14:paraId="11D2EC45">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每季度一次</w:t>
            </w:r>
          </w:p>
        </w:tc>
      </w:tr>
      <w:tr w14:paraId="58469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4" w:type="pct"/>
            <w:vMerge w:val="restart"/>
            <w:noWrap w:val="0"/>
            <w:vAlign w:val="center"/>
          </w:tcPr>
          <w:p w14:paraId="60ECC9F8">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水环境</w:t>
            </w:r>
          </w:p>
        </w:tc>
        <w:tc>
          <w:tcPr>
            <w:tcW w:w="1345" w:type="pct"/>
            <w:noWrap w:val="0"/>
            <w:vAlign w:val="center"/>
          </w:tcPr>
          <w:p w14:paraId="4F106060">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生活污水处理站进、出口</w:t>
            </w:r>
          </w:p>
        </w:tc>
        <w:tc>
          <w:tcPr>
            <w:tcW w:w="2372" w:type="pct"/>
            <w:noWrap w:val="0"/>
            <w:vAlign w:val="center"/>
          </w:tcPr>
          <w:p w14:paraId="115F5DD8">
            <w:pPr>
              <w:keepNext w:val="0"/>
              <w:keepLines w:val="0"/>
              <w:suppressLineNumbers w:val="0"/>
              <w:spacing w:before="0" w:beforeAutospacing="0" w:after="0" w:afterAutospacing="0" w:line="360" w:lineRule="exact"/>
              <w:ind w:left="0" w:right="0"/>
              <w:jc w:val="center"/>
              <w:rPr>
                <w:rFonts w:hint="eastAsia"/>
                <w:color w:val="000000" w:themeColor="text1"/>
                <w:szCs w:val="21"/>
                <w14:textFill>
                  <w14:solidFill>
                    <w14:schemeClr w14:val="tx1"/>
                  </w14:solidFill>
                </w14:textFill>
              </w:rPr>
            </w:pPr>
            <w:r>
              <w:rPr>
                <w:rFonts w:hint="default"/>
                <w:color w:val="000000" w:themeColor="text1"/>
                <w:spacing w:val="-4"/>
                <w:kern w:val="0"/>
                <w:szCs w:val="21"/>
                <w14:textFill>
                  <w14:solidFill>
                    <w14:schemeClr w14:val="tx1"/>
                  </w14:solidFill>
                </w14:textFill>
              </w:rPr>
              <w:t>pH、NH</w:t>
            </w:r>
            <w:r>
              <w:rPr>
                <w:rFonts w:hint="default"/>
                <w:color w:val="000000" w:themeColor="text1"/>
                <w:spacing w:val="-4"/>
                <w:kern w:val="0"/>
                <w:szCs w:val="21"/>
                <w:vertAlign w:val="subscript"/>
                <w14:textFill>
                  <w14:solidFill>
                    <w14:schemeClr w14:val="tx1"/>
                  </w14:solidFill>
                </w14:textFill>
              </w:rPr>
              <w:t>3</w:t>
            </w:r>
            <w:r>
              <w:rPr>
                <w:rFonts w:hint="default"/>
                <w:color w:val="000000" w:themeColor="text1"/>
                <w:spacing w:val="-4"/>
                <w:kern w:val="0"/>
                <w:szCs w:val="21"/>
                <w14:textFill>
                  <w14:solidFill>
                    <w14:schemeClr w14:val="tx1"/>
                  </w14:solidFill>
                </w14:textFill>
              </w:rPr>
              <w:t>-N、BOD</w:t>
            </w:r>
            <w:r>
              <w:rPr>
                <w:rFonts w:hint="default"/>
                <w:color w:val="000000" w:themeColor="text1"/>
                <w:spacing w:val="-4"/>
                <w:kern w:val="0"/>
                <w:szCs w:val="21"/>
                <w:vertAlign w:val="subscript"/>
                <w14:textFill>
                  <w14:solidFill>
                    <w14:schemeClr w14:val="tx1"/>
                  </w14:solidFill>
                </w14:textFill>
              </w:rPr>
              <w:t>5</w:t>
            </w:r>
            <w:r>
              <w:rPr>
                <w:rFonts w:hint="default"/>
                <w:color w:val="000000" w:themeColor="text1"/>
                <w:spacing w:val="-4"/>
                <w:kern w:val="0"/>
                <w:szCs w:val="21"/>
                <w14:textFill>
                  <w14:solidFill>
                    <w14:schemeClr w14:val="tx1"/>
                  </w14:solidFill>
                </w14:textFill>
              </w:rPr>
              <w:t>、COD、SS、LAS、</w:t>
            </w:r>
            <w:r>
              <w:rPr>
                <w:rFonts w:hint="eastAsia"/>
                <w:color w:val="000000" w:themeColor="text1"/>
                <w:spacing w:val="-4"/>
                <w:kern w:val="0"/>
                <w:szCs w:val="21"/>
                <w14:textFill>
                  <w14:solidFill>
                    <w14:schemeClr w14:val="tx1"/>
                  </w14:solidFill>
                </w14:textFill>
              </w:rPr>
              <w:t>动植物油</w:t>
            </w:r>
          </w:p>
        </w:tc>
        <w:tc>
          <w:tcPr>
            <w:tcW w:w="829" w:type="pct"/>
            <w:noWrap w:val="0"/>
            <w:vAlign w:val="center"/>
          </w:tcPr>
          <w:p w14:paraId="2FD33050">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每半年一次</w:t>
            </w:r>
          </w:p>
        </w:tc>
      </w:tr>
      <w:tr w14:paraId="0D49F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54" w:type="pct"/>
            <w:vMerge w:val="continue"/>
            <w:noWrap w:val="0"/>
            <w:vAlign w:val="center"/>
          </w:tcPr>
          <w:p w14:paraId="44187CEC">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345" w:type="pct"/>
            <w:noWrap w:val="0"/>
            <w:vAlign w:val="center"/>
          </w:tcPr>
          <w:p w14:paraId="556DFCA4">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项目区矿井涌水</w:t>
            </w:r>
            <w:r>
              <w:rPr>
                <w:rFonts w:hint="eastAsia"/>
                <w:color w:val="000000" w:themeColor="text1"/>
                <w:szCs w:val="21"/>
                <w14:textFill>
                  <w14:solidFill>
                    <w14:schemeClr w14:val="tx1"/>
                  </w14:solidFill>
                </w14:textFill>
              </w:rPr>
              <w:t>沉淀池</w:t>
            </w:r>
            <w:r>
              <w:rPr>
                <w:rFonts w:hint="default"/>
                <w:color w:val="000000" w:themeColor="text1"/>
                <w:szCs w:val="21"/>
                <w14:textFill>
                  <w14:solidFill>
                    <w14:schemeClr w14:val="tx1"/>
                  </w14:solidFill>
                </w14:textFill>
              </w:rPr>
              <w:t>进、出口</w:t>
            </w:r>
          </w:p>
        </w:tc>
        <w:tc>
          <w:tcPr>
            <w:tcW w:w="2372" w:type="pct"/>
            <w:noWrap w:val="0"/>
            <w:vAlign w:val="center"/>
          </w:tcPr>
          <w:p w14:paraId="18BBE79E">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kern w:val="0"/>
                <w:szCs w:val="21"/>
                <w14:textFill>
                  <w14:solidFill>
                    <w14:schemeClr w14:val="tx1"/>
                  </w14:solidFill>
                </w14:textFill>
              </w:rPr>
              <w:t>水位、pH、悬浮物、化学需氧量、氟化物、总氮、总磷、氨氮、总锌、石油类、总铜、硫化物、总铅、总镉、总镍、总砷、总汞</w:t>
            </w:r>
          </w:p>
        </w:tc>
        <w:tc>
          <w:tcPr>
            <w:tcW w:w="829" w:type="pct"/>
            <w:noWrap w:val="0"/>
            <w:vAlign w:val="center"/>
          </w:tcPr>
          <w:p w14:paraId="545666F8">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每半年一次</w:t>
            </w:r>
          </w:p>
        </w:tc>
      </w:tr>
      <w:tr w14:paraId="67DD8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noWrap w:val="0"/>
            <w:vAlign w:val="center"/>
          </w:tcPr>
          <w:p w14:paraId="794B6FD4">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345" w:type="pct"/>
            <w:noWrap w:val="0"/>
            <w:vAlign w:val="center"/>
          </w:tcPr>
          <w:p w14:paraId="6349613F">
            <w:pPr>
              <w:keepNext w:val="0"/>
              <w:keepLines w:val="0"/>
              <w:suppressLineNumbers w:val="0"/>
              <w:spacing w:before="0" w:beforeAutospacing="0" w:after="0" w:afterAutospacing="0" w:line="360" w:lineRule="exact"/>
              <w:ind w:left="0" w:right="0"/>
              <w:jc w:val="center"/>
              <w:rPr>
                <w:rFonts w:hint="eastAsia" w:eastAsia="宋体"/>
                <w:color w:val="000000" w:themeColor="text1"/>
                <w:szCs w:val="21"/>
                <w:lang w:eastAsia="zh-CN"/>
                <w14:textFill>
                  <w14:solidFill>
                    <w14:schemeClr w14:val="tx1"/>
                  </w14:solidFill>
                </w14:textFill>
              </w:rPr>
            </w:pPr>
            <w:r>
              <w:rPr>
                <w:rFonts w:hint="default"/>
                <w:color w:val="000000" w:themeColor="text1"/>
                <w:szCs w:val="21"/>
                <w14:textFill>
                  <w14:solidFill>
                    <w14:schemeClr w14:val="tx1"/>
                  </w14:solidFill>
                </w14:textFill>
              </w:rPr>
              <w:t>项目区地下水</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7#对照井，4#监视井、3#污染扩散井</w:t>
            </w:r>
            <w:r>
              <w:rPr>
                <w:rFonts w:hint="eastAsia"/>
                <w:color w:val="000000" w:themeColor="text1"/>
                <w:szCs w:val="21"/>
                <w:lang w:eastAsia="zh-CN"/>
                <w14:textFill>
                  <w14:solidFill>
                    <w14:schemeClr w14:val="tx1"/>
                  </w14:solidFill>
                </w14:textFill>
              </w:rPr>
              <w:t>）</w:t>
            </w:r>
          </w:p>
        </w:tc>
        <w:tc>
          <w:tcPr>
            <w:tcW w:w="2372" w:type="pct"/>
            <w:noWrap w:val="0"/>
            <w:vAlign w:val="center"/>
          </w:tcPr>
          <w:p w14:paraId="18271965">
            <w:pPr>
              <w:keepNext w:val="0"/>
              <w:keepLines w:val="0"/>
              <w:suppressLineNumbers w:val="0"/>
              <w:spacing w:before="0" w:beforeAutospacing="0" w:after="0" w:afterAutospacing="0" w:line="360" w:lineRule="exact"/>
              <w:ind w:left="0" w:right="0"/>
              <w:jc w:val="center"/>
              <w:rPr>
                <w:rFonts w:hint="default"/>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水位、pH值、挥发性酚、总硬度、氨氮、氟化物、硝酸盐氮、六价铬、铅、砷、汞、镉、铜、锌、镍、溶解性总固体、氰化物、亚硝酸盐氮、总大肠菌群、</w:t>
            </w:r>
            <w:r>
              <w:rPr>
                <w:rFonts w:hint="default"/>
                <w:color w:val="000000" w:themeColor="text1"/>
                <w:szCs w:val="21"/>
                <w14:textFill>
                  <w14:solidFill>
                    <w14:schemeClr w14:val="tx1"/>
                  </w14:solidFill>
                </w14:textFill>
              </w:rPr>
              <w:t>K</w:t>
            </w:r>
            <w:r>
              <w:rPr>
                <w:rFonts w:hint="default"/>
                <w:color w:val="000000" w:themeColor="text1"/>
                <w:szCs w:val="21"/>
                <w:vertAlign w:val="superscript"/>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rFonts w:hint="default"/>
                <w:color w:val="000000" w:themeColor="text1"/>
                <w:szCs w:val="21"/>
                <w14:textFill>
                  <w14:solidFill>
                    <w14:schemeClr w14:val="tx1"/>
                  </w14:solidFill>
                </w14:textFill>
              </w:rPr>
              <w:t>Na</w:t>
            </w:r>
            <w:r>
              <w:rPr>
                <w:rFonts w:hint="default"/>
                <w:color w:val="000000" w:themeColor="text1"/>
                <w:szCs w:val="21"/>
                <w:vertAlign w:val="superscript"/>
                <w14:textFill>
                  <w14:solidFill>
                    <w14:schemeClr w14:val="tx1"/>
                  </w14:solidFill>
                </w14:textFill>
              </w:rPr>
              <w:t>+</w:t>
            </w:r>
            <w:r>
              <w:rPr>
                <w:rFonts w:hint="default"/>
                <w:color w:val="000000" w:themeColor="text1"/>
                <w:szCs w:val="21"/>
                <w14:textFill>
                  <w14:solidFill>
                    <w14:schemeClr w14:val="tx1"/>
                  </w14:solidFill>
                </w14:textFill>
              </w:rPr>
              <w:t>、Ca</w:t>
            </w:r>
            <w:r>
              <w:rPr>
                <w:rFonts w:hint="default"/>
                <w:color w:val="000000" w:themeColor="text1"/>
                <w:szCs w:val="21"/>
                <w:vertAlign w:val="superscript"/>
                <w14:textFill>
                  <w14:solidFill>
                    <w14:schemeClr w14:val="tx1"/>
                  </w14:solidFill>
                </w14:textFill>
              </w:rPr>
              <w:t>2+</w:t>
            </w:r>
            <w:r>
              <w:rPr>
                <w:rFonts w:hint="default"/>
                <w:color w:val="000000" w:themeColor="text1"/>
                <w:szCs w:val="21"/>
                <w14:textFill>
                  <w14:solidFill>
                    <w14:schemeClr w14:val="tx1"/>
                  </w14:solidFill>
                </w14:textFill>
              </w:rPr>
              <w:t>、Mg</w:t>
            </w:r>
            <w:r>
              <w:rPr>
                <w:rFonts w:hint="default"/>
                <w:color w:val="000000" w:themeColor="text1"/>
                <w:szCs w:val="21"/>
                <w:vertAlign w:val="superscript"/>
                <w14:textFill>
                  <w14:solidFill>
                    <w14:schemeClr w14:val="tx1"/>
                  </w14:solidFill>
                </w14:textFill>
              </w:rPr>
              <w:t>2+</w:t>
            </w:r>
            <w:r>
              <w:rPr>
                <w:rFonts w:hint="default"/>
                <w:color w:val="000000" w:themeColor="text1"/>
                <w:szCs w:val="21"/>
                <w14:textFill>
                  <w14:solidFill>
                    <w14:schemeClr w14:val="tx1"/>
                  </w14:solidFill>
                </w14:textFill>
              </w:rPr>
              <w:t>、CO</w:t>
            </w:r>
            <w:r>
              <w:rPr>
                <w:rFonts w:hint="default"/>
                <w:color w:val="000000" w:themeColor="text1"/>
                <w:szCs w:val="21"/>
                <w:vertAlign w:val="subscript"/>
                <w14:textFill>
                  <w14:solidFill>
                    <w14:schemeClr w14:val="tx1"/>
                  </w14:solidFill>
                </w14:textFill>
              </w:rPr>
              <w:t>3</w:t>
            </w:r>
            <w:r>
              <w:rPr>
                <w:rFonts w:hint="default"/>
                <w:color w:val="000000" w:themeColor="text1"/>
                <w:szCs w:val="21"/>
                <w:vertAlign w:val="superscript"/>
                <w14:textFill>
                  <w14:solidFill>
                    <w14:schemeClr w14:val="tx1"/>
                  </w14:solidFill>
                </w14:textFill>
              </w:rPr>
              <w:t>2-</w:t>
            </w:r>
            <w:r>
              <w:rPr>
                <w:rFonts w:hint="default"/>
                <w:color w:val="000000" w:themeColor="text1"/>
                <w:szCs w:val="21"/>
                <w14:textFill>
                  <w14:solidFill>
                    <w14:schemeClr w14:val="tx1"/>
                  </w14:solidFill>
                </w14:textFill>
              </w:rPr>
              <w:t>、HCO</w:t>
            </w:r>
            <w:r>
              <w:rPr>
                <w:rFonts w:hint="default"/>
                <w:color w:val="000000" w:themeColor="text1"/>
                <w:szCs w:val="21"/>
                <w:vertAlign w:val="subscript"/>
                <w14:textFill>
                  <w14:solidFill>
                    <w14:schemeClr w14:val="tx1"/>
                  </w14:solidFill>
                </w14:textFill>
              </w:rPr>
              <w:t>3</w:t>
            </w:r>
            <w:r>
              <w:rPr>
                <w:rFonts w:hint="default"/>
                <w:color w:val="000000" w:themeColor="text1"/>
                <w:szCs w:val="21"/>
                <w:vertAlign w:val="superscript"/>
                <w14:textFill>
                  <w14:solidFill>
                    <w14:schemeClr w14:val="tx1"/>
                  </w14:solidFill>
                </w14:textFill>
              </w:rPr>
              <w:t>-</w:t>
            </w:r>
            <w:r>
              <w:rPr>
                <w:rFonts w:hint="default"/>
                <w:color w:val="000000" w:themeColor="text1"/>
                <w:szCs w:val="21"/>
                <w14:textFill>
                  <w14:solidFill>
                    <w14:schemeClr w14:val="tx1"/>
                  </w14:solidFill>
                </w14:textFill>
              </w:rPr>
              <w:t>、Cl</w:t>
            </w:r>
            <w:r>
              <w:rPr>
                <w:rFonts w:hint="default"/>
                <w:color w:val="000000" w:themeColor="text1"/>
                <w:szCs w:val="21"/>
                <w:vertAlign w:val="superscript"/>
                <w14:textFill>
                  <w14:solidFill>
                    <w14:schemeClr w14:val="tx1"/>
                  </w14:solidFill>
                </w14:textFill>
              </w:rPr>
              <w:t>-</w:t>
            </w:r>
            <w:r>
              <w:rPr>
                <w:rFonts w:hint="default"/>
                <w:color w:val="000000" w:themeColor="text1"/>
                <w:szCs w:val="21"/>
                <w14:textFill>
                  <w14:solidFill>
                    <w14:schemeClr w14:val="tx1"/>
                  </w14:solidFill>
                </w14:textFill>
              </w:rPr>
              <w:t>、SO</w:t>
            </w:r>
            <w:r>
              <w:rPr>
                <w:rFonts w:hint="default"/>
                <w:color w:val="000000" w:themeColor="text1"/>
                <w:szCs w:val="21"/>
                <w:vertAlign w:val="subscript"/>
                <w14:textFill>
                  <w14:solidFill>
                    <w14:schemeClr w14:val="tx1"/>
                  </w14:solidFill>
                </w14:textFill>
              </w:rPr>
              <w:t>4</w:t>
            </w:r>
            <w:r>
              <w:rPr>
                <w:rFonts w:hint="default"/>
                <w:color w:val="000000" w:themeColor="text1"/>
                <w:szCs w:val="21"/>
                <w:vertAlign w:val="superscript"/>
                <w14:textFill>
                  <w14:solidFill>
                    <w14:schemeClr w14:val="tx1"/>
                  </w14:solidFill>
                </w14:textFill>
              </w:rPr>
              <w:t>2-</w:t>
            </w:r>
            <w:r>
              <w:rPr>
                <w:rFonts w:hint="default"/>
                <w:color w:val="000000" w:themeColor="text1"/>
                <w:szCs w:val="21"/>
                <w14:textFill>
                  <w14:solidFill>
                    <w14:schemeClr w14:val="tx1"/>
                  </w14:solidFill>
                </w14:textFill>
              </w:rPr>
              <w:t>等</w:t>
            </w:r>
          </w:p>
        </w:tc>
        <w:tc>
          <w:tcPr>
            <w:tcW w:w="829" w:type="pct"/>
            <w:noWrap w:val="0"/>
            <w:vAlign w:val="center"/>
          </w:tcPr>
          <w:p w14:paraId="062680A8">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每半年一次</w:t>
            </w:r>
          </w:p>
        </w:tc>
      </w:tr>
      <w:tr w14:paraId="0454A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54" w:type="pct"/>
            <w:noWrap w:val="0"/>
            <w:vAlign w:val="center"/>
          </w:tcPr>
          <w:p w14:paraId="72E99A85">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噪声</w:t>
            </w:r>
          </w:p>
        </w:tc>
        <w:tc>
          <w:tcPr>
            <w:tcW w:w="1345" w:type="pct"/>
            <w:noWrap w:val="0"/>
            <w:vAlign w:val="center"/>
          </w:tcPr>
          <w:p w14:paraId="2E474280">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矿界四周</w:t>
            </w:r>
          </w:p>
        </w:tc>
        <w:tc>
          <w:tcPr>
            <w:tcW w:w="2372" w:type="pct"/>
            <w:noWrap w:val="0"/>
            <w:vAlign w:val="center"/>
          </w:tcPr>
          <w:p w14:paraId="69FD8FD6">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等效连续A声级</w:t>
            </w:r>
          </w:p>
        </w:tc>
        <w:tc>
          <w:tcPr>
            <w:tcW w:w="829" w:type="pct"/>
            <w:noWrap w:val="0"/>
            <w:vAlign w:val="center"/>
          </w:tcPr>
          <w:p w14:paraId="27825FB9">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每季度一次</w:t>
            </w:r>
          </w:p>
        </w:tc>
      </w:tr>
      <w:tr w14:paraId="67833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4" w:type="pct"/>
            <w:vMerge w:val="restart"/>
            <w:noWrap w:val="0"/>
            <w:vAlign w:val="center"/>
          </w:tcPr>
          <w:p w14:paraId="67F72661">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生态</w:t>
            </w:r>
          </w:p>
        </w:tc>
        <w:tc>
          <w:tcPr>
            <w:tcW w:w="1345" w:type="pct"/>
            <w:noWrap w:val="0"/>
            <w:vAlign w:val="center"/>
          </w:tcPr>
          <w:p w14:paraId="41546A2D">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工业场地、道路绿化率</w:t>
            </w:r>
          </w:p>
        </w:tc>
        <w:tc>
          <w:tcPr>
            <w:tcW w:w="2372" w:type="pct"/>
            <w:noWrap w:val="0"/>
            <w:vAlign w:val="center"/>
          </w:tcPr>
          <w:p w14:paraId="61DE0E01">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工业场地绿化率</w:t>
            </w:r>
          </w:p>
        </w:tc>
        <w:tc>
          <w:tcPr>
            <w:tcW w:w="829" w:type="pct"/>
            <w:vMerge w:val="restart"/>
            <w:noWrap w:val="0"/>
            <w:vAlign w:val="center"/>
          </w:tcPr>
          <w:p w14:paraId="2ECD9F27">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施工期及施工结束后一次</w:t>
            </w:r>
          </w:p>
        </w:tc>
      </w:tr>
      <w:tr w14:paraId="24FF0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4" w:type="pct"/>
            <w:vMerge w:val="continue"/>
            <w:noWrap w:val="0"/>
            <w:vAlign w:val="center"/>
          </w:tcPr>
          <w:p w14:paraId="529E7801">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345" w:type="pct"/>
            <w:noWrap w:val="0"/>
            <w:vAlign w:val="center"/>
          </w:tcPr>
          <w:p w14:paraId="605A8A50">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施工区域</w:t>
            </w:r>
          </w:p>
        </w:tc>
        <w:tc>
          <w:tcPr>
            <w:tcW w:w="2372" w:type="pct"/>
            <w:noWrap w:val="0"/>
            <w:vAlign w:val="center"/>
          </w:tcPr>
          <w:p w14:paraId="110277D8">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土壤侵蚀类型、侵蚀量</w:t>
            </w:r>
          </w:p>
        </w:tc>
        <w:tc>
          <w:tcPr>
            <w:tcW w:w="829" w:type="pct"/>
            <w:vMerge w:val="continue"/>
            <w:noWrap w:val="0"/>
            <w:vAlign w:val="center"/>
          </w:tcPr>
          <w:p w14:paraId="190D4D79">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r>
      <w:tr w14:paraId="1A7AE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4" w:type="pct"/>
            <w:vMerge w:val="continue"/>
            <w:noWrap w:val="0"/>
            <w:vAlign w:val="center"/>
          </w:tcPr>
          <w:p w14:paraId="17FDA9FE">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345" w:type="pct"/>
            <w:noWrap w:val="0"/>
            <w:vAlign w:val="center"/>
          </w:tcPr>
          <w:p w14:paraId="6146B802">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矿区范围内</w:t>
            </w:r>
          </w:p>
        </w:tc>
        <w:tc>
          <w:tcPr>
            <w:tcW w:w="2372" w:type="pct"/>
            <w:noWrap w:val="0"/>
            <w:vAlign w:val="center"/>
          </w:tcPr>
          <w:p w14:paraId="1C429436">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有效土层厚度、土壤容重、土壤质地、砾石含量、pH值、有机质等</w:t>
            </w:r>
          </w:p>
        </w:tc>
        <w:tc>
          <w:tcPr>
            <w:tcW w:w="829" w:type="pct"/>
            <w:noWrap w:val="0"/>
            <w:vAlign w:val="center"/>
          </w:tcPr>
          <w:p w14:paraId="4959E302">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3~5年一次</w:t>
            </w:r>
          </w:p>
        </w:tc>
      </w:tr>
      <w:tr w14:paraId="16245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4" w:type="pct"/>
            <w:vMerge w:val="continue"/>
            <w:noWrap w:val="0"/>
            <w:vAlign w:val="center"/>
          </w:tcPr>
          <w:p w14:paraId="15DDD636">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345" w:type="pct"/>
            <w:noWrap w:val="0"/>
            <w:vAlign w:val="center"/>
          </w:tcPr>
          <w:p w14:paraId="2772C33E">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矿区及周边范围</w:t>
            </w:r>
          </w:p>
        </w:tc>
        <w:tc>
          <w:tcPr>
            <w:tcW w:w="2372" w:type="pct"/>
            <w:noWrap w:val="0"/>
            <w:vAlign w:val="center"/>
          </w:tcPr>
          <w:p w14:paraId="6259AB8A">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野生动物种类、出现频率、种群数量</w:t>
            </w:r>
          </w:p>
        </w:tc>
        <w:tc>
          <w:tcPr>
            <w:tcW w:w="829" w:type="pct"/>
            <w:noWrap w:val="0"/>
            <w:vAlign w:val="center"/>
          </w:tcPr>
          <w:p w14:paraId="68EFF572">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3~5年一次</w:t>
            </w:r>
          </w:p>
        </w:tc>
      </w:tr>
      <w:tr w14:paraId="4B489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4" w:type="pct"/>
            <w:vMerge w:val="continue"/>
            <w:noWrap w:val="0"/>
            <w:vAlign w:val="center"/>
          </w:tcPr>
          <w:p w14:paraId="10016D15">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345" w:type="pct"/>
            <w:noWrap w:val="0"/>
            <w:vAlign w:val="center"/>
          </w:tcPr>
          <w:p w14:paraId="37E66BA6">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矿区范围</w:t>
            </w:r>
          </w:p>
        </w:tc>
        <w:tc>
          <w:tcPr>
            <w:tcW w:w="2372" w:type="pct"/>
            <w:noWrap w:val="0"/>
            <w:vAlign w:val="center"/>
          </w:tcPr>
          <w:p w14:paraId="38671D0D">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地表岩移观测</w:t>
            </w:r>
          </w:p>
        </w:tc>
        <w:tc>
          <w:tcPr>
            <w:tcW w:w="829" w:type="pct"/>
            <w:noWrap w:val="0"/>
            <w:vAlign w:val="center"/>
          </w:tcPr>
          <w:p w14:paraId="7BA96E79">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3~5年一次</w:t>
            </w:r>
          </w:p>
        </w:tc>
      </w:tr>
      <w:tr w14:paraId="11BE7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4" w:type="pct"/>
            <w:vMerge w:val="continue"/>
            <w:noWrap w:val="0"/>
            <w:vAlign w:val="center"/>
          </w:tcPr>
          <w:p w14:paraId="770BE60D">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345" w:type="pct"/>
            <w:noWrap w:val="0"/>
            <w:vAlign w:val="center"/>
          </w:tcPr>
          <w:p w14:paraId="2385F877">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矿区采空区</w:t>
            </w:r>
          </w:p>
        </w:tc>
        <w:tc>
          <w:tcPr>
            <w:tcW w:w="2372" w:type="pct"/>
            <w:noWrap w:val="0"/>
            <w:vAlign w:val="center"/>
          </w:tcPr>
          <w:p w14:paraId="17BE0402">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地面沉陷生态监测，包括植被生物量、沉陷范围、深度等指标</w:t>
            </w:r>
          </w:p>
        </w:tc>
        <w:tc>
          <w:tcPr>
            <w:tcW w:w="829" w:type="pct"/>
            <w:noWrap w:val="0"/>
            <w:vAlign w:val="center"/>
          </w:tcPr>
          <w:p w14:paraId="54A2FCEB">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每年一次</w:t>
            </w:r>
          </w:p>
        </w:tc>
      </w:tr>
      <w:tr w14:paraId="002BE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4" w:type="pct"/>
            <w:vMerge w:val="continue"/>
            <w:noWrap w:val="0"/>
            <w:vAlign w:val="center"/>
          </w:tcPr>
          <w:p w14:paraId="549C5FF9">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p>
        </w:tc>
        <w:tc>
          <w:tcPr>
            <w:tcW w:w="1345" w:type="pct"/>
            <w:noWrap w:val="0"/>
            <w:vAlign w:val="center"/>
          </w:tcPr>
          <w:p w14:paraId="1501E7D5">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复垦区域</w:t>
            </w:r>
          </w:p>
        </w:tc>
        <w:tc>
          <w:tcPr>
            <w:tcW w:w="2372" w:type="pct"/>
            <w:noWrap w:val="0"/>
            <w:vAlign w:val="center"/>
          </w:tcPr>
          <w:p w14:paraId="508E9A30">
            <w:pPr>
              <w:keepNext w:val="0"/>
              <w:keepLines w:val="0"/>
              <w:suppressLineNumbers w:val="0"/>
              <w:spacing w:before="0" w:beforeAutospacing="0" w:after="0" w:afterAutospacing="0" w:line="360" w:lineRule="exact"/>
              <w:ind w:left="0" w:right="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植被恢复区监测包括植被盖度等指标</w:t>
            </w:r>
          </w:p>
        </w:tc>
        <w:tc>
          <w:tcPr>
            <w:tcW w:w="829" w:type="pct"/>
            <w:noWrap w:val="0"/>
            <w:vAlign w:val="center"/>
          </w:tcPr>
          <w:p w14:paraId="70965476">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每年一次</w:t>
            </w:r>
          </w:p>
        </w:tc>
      </w:tr>
      <w:tr w14:paraId="54A6D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4" w:type="pct"/>
            <w:noWrap w:val="0"/>
            <w:vAlign w:val="center"/>
          </w:tcPr>
          <w:p w14:paraId="7353A55C">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土壤</w:t>
            </w:r>
          </w:p>
        </w:tc>
        <w:tc>
          <w:tcPr>
            <w:tcW w:w="1345" w:type="pct"/>
            <w:noWrap w:val="0"/>
            <w:vAlign w:val="center"/>
          </w:tcPr>
          <w:p w14:paraId="2022C3B5">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工业场地及废石堆场附近</w:t>
            </w:r>
          </w:p>
        </w:tc>
        <w:tc>
          <w:tcPr>
            <w:tcW w:w="2372" w:type="pct"/>
            <w:noWrap w:val="0"/>
            <w:vAlign w:val="center"/>
          </w:tcPr>
          <w:p w14:paraId="2302E4A6">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pH、含盐量及砷、镉、铜、铅、汞、镍、六价铬、锌等重金属</w:t>
            </w:r>
          </w:p>
        </w:tc>
        <w:tc>
          <w:tcPr>
            <w:tcW w:w="829" w:type="pct"/>
            <w:noWrap w:val="0"/>
            <w:vAlign w:val="center"/>
          </w:tcPr>
          <w:p w14:paraId="66BDC56A">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深层土壤：1次/3年；</w:t>
            </w:r>
          </w:p>
          <w:p w14:paraId="64AB0BFD">
            <w:pPr>
              <w:keepNext w:val="0"/>
              <w:keepLines w:val="0"/>
              <w:suppressLineNumbers w:val="0"/>
              <w:spacing w:before="0" w:beforeAutospacing="0" w:after="0" w:afterAutospacing="0" w:line="360" w:lineRule="exact"/>
              <w:ind w:left="0" w:right="0"/>
              <w:jc w:val="center"/>
              <w:rPr>
                <w:rFonts w:hint="default"/>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表层土壤：1次/年</w:t>
            </w:r>
          </w:p>
        </w:tc>
      </w:tr>
    </w:tbl>
    <w:p w14:paraId="40E8916C">
      <w:pPr>
        <w:keepNext/>
        <w:keepLines/>
        <w:spacing w:before="120" w:after="120" w:line="560" w:lineRule="exact"/>
        <w:jc w:val="left"/>
        <w:outlineLvl w:val="1"/>
        <w:rPr>
          <w:rFonts w:ascii="Times New Roman" w:hAnsi="Times New Roman" w:eastAsia="宋体" w:cs="Times New Roman"/>
          <w:b/>
          <w:bCs/>
          <w:color w:val="000000" w:themeColor="text1"/>
          <w:sz w:val="32"/>
          <w:szCs w:val="32"/>
          <w14:textFill>
            <w14:solidFill>
              <w14:schemeClr w14:val="tx1"/>
            </w14:solidFill>
          </w14:textFill>
        </w:rPr>
      </w:pPr>
      <w:bookmarkStart w:id="727" w:name="_Toc1000"/>
      <w:r>
        <w:rPr>
          <w:rFonts w:hint="eastAsia" w:ascii="Times New Roman" w:hAnsi="Times New Roman" w:eastAsia="宋体" w:cs="Times New Roman"/>
          <w:b/>
          <w:bCs/>
          <w:color w:val="000000" w:themeColor="text1"/>
          <w:sz w:val="32"/>
          <w:szCs w:val="32"/>
          <w14:textFill>
            <w14:solidFill>
              <w14:schemeClr w14:val="tx1"/>
            </w14:solidFill>
          </w14:textFill>
        </w:rPr>
        <w:t>8.4环境管理措施及环保行动计划</w:t>
      </w:r>
      <w:bookmarkEnd w:id="724"/>
      <w:bookmarkEnd w:id="725"/>
      <w:bookmarkEnd w:id="726"/>
      <w:bookmarkEnd w:id="727"/>
    </w:p>
    <w:p w14:paraId="0B8EE143">
      <w:pPr>
        <w:spacing w:line="480" w:lineRule="exact"/>
        <w:ind w:firstLine="480" w:firstLineChars="200"/>
        <w:rPr>
          <w:rFonts w:hint="eastAsia" w:ascii="Times New Roman" w:hAnsi="Times New Roman" w:eastAsia="宋体" w:cs="Times New Roman"/>
          <w:color w:val="000000" w:themeColor="text1"/>
          <w:kern w:val="0"/>
          <w:sz w:val="24"/>
          <w:szCs w:val="21"/>
          <w14:textFill>
            <w14:solidFill>
              <w14:schemeClr w14:val="tx1"/>
            </w14:solidFill>
          </w14:textFill>
        </w:rPr>
      </w:pPr>
      <w:r>
        <w:rPr>
          <w:rFonts w:hint="eastAsia" w:ascii="Times New Roman" w:hAnsi="Times New Roman" w:eastAsia="宋体" w:cs="Times New Roman"/>
          <w:color w:val="000000" w:themeColor="text1"/>
          <w:kern w:val="0"/>
          <w:sz w:val="24"/>
          <w:szCs w:val="21"/>
          <w14:textFill>
            <w14:solidFill>
              <w14:schemeClr w14:val="tx1"/>
            </w14:solidFill>
          </w14:textFill>
        </w:rPr>
        <w:t>项目环境管理措施及环保行动计划见表</w:t>
      </w:r>
      <w:r>
        <w:rPr>
          <w:rFonts w:ascii="Times New Roman" w:hAnsi="Times New Roman" w:eastAsia="宋体" w:cs="Times New Roman"/>
          <w:color w:val="000000" w:themeColor="text1"/>
          <w:kern w:val="0"/>
          <w:sz w:val="24"/>
          <w:szCs w:val="21"/>
          <w14:textFill>
            <w14:solidFill>
              <w14:schemeClr w14:val="tx1"/>
            </w14:solidFill>
          </w14:textFill>
        </w:rPr>
        <w:t>8.</w:t>
      </w:r>
      <w:r>
        <w:rPr>
          <w:rFonts w:hint="eastAsia" w:ascii="Times New Roman" w:hAnsi="Times New Roman" w:eastAsia="宋体" w:cs="Times New Roman"/>
          <w:color w:val="000000" w:themeColor="text1"/>
          <w:kern w:val="0"/>
          <w:sz w:val="24"/>
          <w:szCs w:val="21"/>
          <w14:textFill>
            <w14:solidFill>
              <w14:schemeClr w14:val="tx1"/>
            </w14:solidFill>
          </w14:textFill>
        </w:rPr>
        <w:t>4</w:t>
      </w:r>
      <w:r>
        <w:rPr>
          <w:rFonts w:ascii="Times New Roman" w:hAnsi="Times New Roman" w:eastAsia="宋体" w:cs="Times New Roman"/>
          <w:color w:val="000000" w:themeColor="text1"/>
          <w:kern w:val="0"/>
          <w:sz w:val="24"/>
          <w:szCs w:val="21"/>
          <w14:textFill>
            <w14:solidFill>
              <w14:schemeClr w14:val="tx1"/>
            </w14:solidFill>
          </w14:textFill>
        </w:rPr>
        <w:t>-1</w:t>
      </w:r>
      <w:r>
        <w:rPr>
          <w:rFonts w:hint="eastAsia" w:ascii="Times New Roman" w:hAnsi="Times New Roman" w:eastAsia="宋体" w:cs="Times New Roman"/>
          <w:color w:val="000000" w:themeColor="text1"/>
          <w:kern w:val="0"/>
          <w:sz w:val="24"/>
          <w:szCs w:val="21"/>
          <w14:textFill>
            <w14:solidFill>
              <w14:schemeClr w14:val="tx1"/>
            </w14:solidFill>
          </w14:textFill>
        </w:rPr>
        <w:t>、</w:t>
      </w:r>
      <w:r>
        <w:rPr>
          <w:rFonts w:ascii="Times New Roman" w:hAnsi="Times New Roman" w:eastAsia="宋体" w:cs="Times New Roman"/>
          <w:color w:val="000000" w:themeColor="text1"/>
          <w:kern w:val="0"/>
          <w:sz w:val="24"/>
          <w:szCs w:val="21"/>
          <w14:textFill>
            <w14:solidFill>
              <w14:schemeClr w14:val="tx1"/>
            </w14:solidFill>
          </w14:textFill>
        </w:rPr>
        <w:t>8.</w:t>
      </w:r>
      <w:r>
        <w:rPr>
          <w:rFonts w:hint="eastAsia" w:ascii="Times New Roman" w:hAnsi="Times New Roman" w:eastAsia="宋体" w:cs="Times New Roman"/>
          <w:color w:val="000000" w:themeColor="text1"/>
          <w:kern w:val="0"/>
          <w:sz w:val="24"/>
          <w:szCs w:val="21"/>
          <w14:textFill>
            <w14:solidFill>
              <w14:schemeClr w14:val="tx1"/>
            </w14:solidFill>
          </w14:textFill>
        </w:rPr>
        <w:t>4</w:t>
      </w:r>
      <w:r>
        <w:rPr>
          <w:rFonts w:ascii="Times New Roman" w:hAnsi="Times New Roman" w:eastAsia="宋体" w:cs="Times New Roman"/>
          <w:color w:val="000000" w:themeColor="text1"/>
          <w:kern w:val="0"/>
          <w:sz w:val="24"/>
          <w:szCs w:val="21"/>
          <w14:textFill>
            <w14:solidFill>
              <w14:schemeClr w14:val="tx1"/>
            </w14:solidFill>
          </w14:textFill>
        </w:rPr>
        <w:t>-2</w:t>
      </w:r>
      <w:r>
        <w:rPr>
          <w:rFonts w:hint="eastAsia" w:ascii="Times New Roman" w:hAnsi="Times New Roman" w:eastAsia="宋体" w:cs="Times New Roman"/>
          <w:color w:val="000000" w:themeColor="text1"/>
          <w:kern w:val="0"/>
          <w:sz w:val="24"/>
          <w:szCs w:val="21"/>
          <w14:textFill>
            <w14:solidFill>
              <w14:schemeClr w14:val="tx1"/>
            </w14:solidFill>
          </w14:textFill>
        </w:rPr>
        <w:t>。</w:t>
      </w:r>
    </w:p>
    <w:p w14:paraId="2626FA4C">
      <w:pPr>
        <w:widowControl/>
        <w:adjustRightInd w:val="0"/>
        <w:snapToGrid w:val="0"/>
        <w:spacing w:line="480" w:lineRule="exact"/>
        <w:jc w:val="center"/>
        <w:textAlignment w:val="baseline"/>
        <w:rPr>
          <w:rFonts w:ascii="Calibri" w:hAnsi="Calibri"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表8.</w:t>
      </w:r>
      <w:r>
        <w:rPr>
          <w:rFonts w:hint="eastAsia" w:ascii="Times New Roman" w:hAnsi="Times New Roman" w:eastAsia="宋体" w:cs="Times New Roman"/>
          <w:b/>
          <w:color w:val="000000" w:themeColor="text1"/>
          <w:sz w:val="24"/>
          <w:highlight w:val="none"/>
          <w14:textFill>
            <w14:solidFill>
              <w14:schemeClr w14:val="tx1"/>
            </w14:solidFill>
          </w14:textFill>
        </w:rPr>
        <w:t>4</w:t>
      </w:r>
      <w:r>
        <w:rPr>
          <w:rFonts w:ascii="Times New Roman" w:hAnsi="Times New Roman" w:eastAsia="宋体" w:cs="Times New Roman"/>
          <w:b/>
          <w:color w:val="000000" w:themeColor="text1"/>
          <w:sz w:val="24"/>
          <w:highlight w:val="none"/>
          <w14:textFill>
            <w14:solidFill>
              <w14:schemeClr w14:val="tx1"/>
            </w14:solidFill>
          </w14:textFill>
        </w:rPr>
        <w:t>-1    运营期环境</w:t>
      </w:r>
      <w:r>
        <w:rPr>
          <w:rFonts w:hint="eastAsia" w:ascii="Times New Roman" w:hAnsi="Times New Roman" w:eastAsia="宋体" w:cs="Times New Roman"/>
          <w:b/>
          <w:color w:val="000000" w:themeColor="text1"/>
          <w:sz w:val="24"/>
          <w:highlight w:val="none"/>
          <w14:textFill>
            <w14:solidFill>
              <w14:schemeClr w14:val="tx1"/>
            </w14:solidFill>
          </w14:textFill>
        </w:rPr>
        <w:t>管理措施</w:t>
      </w:r>
    </w:p>
    <w:tbl>
      <w:tblPr>
        <w:tblStyle w:val="8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51"/>
        <w:gridCol w:w="1308"/>
        <w:gridCol w:w="1363"/>
      </w:tblGrid>
      <w:tr w14:paraId="35F3E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851" w:type="dxa"/>
            <w:tcBorders>
              <w:tl2br w:val="nil"/>
              <w:tr2bl w:val="nil"/>
            </w:tcBorders>
            <w:vAlign w:val="center"/>
          </w:tcPr>
          <w:p w14:paraId="4D4E2BF1">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环境监控管理措施</w:t>
            </w:r>
          </w:p>
        </w:tc>
        <w:tc>
          <w:tcPr>
            <w:tcW w:w="1308" w:type="dxa"/>
            <w:tcBorders>
              <w:tl2br w:val="nil"/>
              <w:tr2bl w:val="nil"/>
            </w:tcBorders>
            <w:vAlign w:val="center"/>
          </w:tcPr>
          <w:p w14:paraId="4D23617B">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实施方</w:t>
            </w:r>
          </w:p>
        </w:tc>
        <w:tc>
          <w:tcPr>
            <w:tcW w:w="1363" w:type="dxa"/>
            <w:tcBorders>
              <w:tl2br w:val="nil"/>
              <w:tr2bl w:val="nil"/>
            </w:tcBorders>
            <w:vAlign w:val="center"/>
          </w:tcPr>
          <w:p w14:paraId="5D91349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监督管理</w:t>
            </w:r>
          </w:p>
        </w:tc>
      </w:tr>
      <w:tr w14:paraId="1D642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51" w:type="dxa"/>
            <w:tcBorders>
              <w:tl2br w:val="nil"/>
              <w:tr2bl w:val="nil"/>
            </w:tcBorders>
            <w:vAlign w:val="center"/>
          </w:tcPr>
          <w:p w14:paraId="469E4F2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（1）废气</w:t>
            </w:r>
          </w:p>
          <w:p w14:paraId="69014FE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①工作面和产尘点喷雾洒水降尘。</w:t>
            </w:r>
          </w:p>
          <w:p w14:paraId="40C3BDBA">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②保持井下合理通风。</w:t>
            </w:r>
          </w:p>
          <w:p w14:paraId="6AE431F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③矿石装卸过程控制落差，降低扬尘量。</w:t>
            </w:r>
          </w:p>
          <w:p w14:paraId="364179F9">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④运输道路洒水增湿降尘、运输车辆用苫布遮盖。</w:t>
            </w:r>
          </w:p>
          <w:p w14:paraId="572C080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⑤加强工人的个人防护</w:t>
            </w:r>
          </w:p>
          <w:p w14:paraId="621F564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⑥定期对矿区无组织排放粉尘进行监测</w:t>
            </w:r>
          </w:p>
        </w:tc>
        <w:tc>
          <w:tcPr>
            <w:tcW w:w="1308" w:type="dxa"/>
            <w:tcBorders>
              <w:tl2br w:val="nil"/>
              <w:tr2bl w:val="nil"/>
            </w:tcBorders>
            <w:vAlign w:val="center"/>
          </w:tcPr>
          <w:p w14:paraId="5C8C892F">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建设单位</w:t>
            </w:r>
          </w:p>
        </w:tc>
        <w:tc>
          <w:tcPr>
            <w:tcW w:w="1363" w:type="dxa"/>
            <w:tcBorders>
              <w:tl2br w:val="nil"/>
              <w:tr2bl w:val="nil"/>
            </w:tcBorders>
            <w:vAlign w:val="center"/>
          </w:tcPr>
          <w:p w14:paraId="44B3A394">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哈密市生态环境局</w:t>
            </w:r>
            <w:r>
              <w:rPr>
                <w:rFonts w:hint="eastAsia" w:cs="Times New Roman"/>
                <w:color w:val="000000" w:themeColor="text1"/>
                <w:szCs w:val="21"/>
                <w:lang w:eastAsia="zh-CN"/>
                <w14:textFill>
                  <w14:solidFill>
                    <w14:schemeClr w14:val="tx1"/>
                  </w14:solidFill>
                </w14:textFill>
              </w:rPr>
              <w:t>伊州分局</w:t>
            </w:r>
          </w:p>
        </w:tc>
      </w:tr>
      <w:tr w14:paraId="2E56B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51" w:type="dxa"/>
            <w:tcBorders>
              <w:tl2br w:val="nil"/>
              <w:tr2bl w:val="nil"/>
            </w:tcBorders>
            <w:vAlign w:val="center"/>
          </w:tcPr>
          <w:p w14:paraId="38B6214A">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（2）废水</w:t>
            </w:r>
          </w:p>
          <w:p w14:paraId="1419E00F">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生活污水经一体化污水处理设施处理后综合利用，不外排。矿井涌水经混凝沉淀处理达标后，回用于生产。</w:t>
            </w:r>
          </w:p>
          <w:p w14:paraId="0E2010C6">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加强矿区输送线路日常管理，矿区地下水上游、下游设立地下水监测井定期进行地下水水质及水位监测，避免因事故排放造成的对周边环境污染。加强矿区地下水监控。</w:t>
            </w:r>
          </w:p>
        </w:tc>
        <w:tc>
          <w:tcPr>
            <w:tcW w:w="1308" w:type="dxa"/>
            <w:tcBorders>
              <w:tl2br w:val="nil"/>
              <w:tr2bl w:val="nil"/>
            </w:tcBorders>
            <w:vAlign w:val="center"/>
          </w:tcPr>
          <w:p w14:paraId="24ACA00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建设单位</w:t>
            </w:r>
          </w:p>
        </w:tc>
        <w:tc>
          <w:tcPr>
            <w:tcW w:w="1363" w:type="dxa"/>
            <w:tcBorders>
              <w:tl2br w:val="nil"/>
              <w:tr2bl w:val="nil"/>
            </w:tcBorders>
            <w:vAlign w:val="center"/>
          </w:tcPr>
          <w:p w14:paraId="272CA271">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哈密市生态环境局</w:t>
            </w:r>
            <w:r>
              <w:rPr>
                <w:rFonts w:hint="eastAsia" w:cs="Times New Roman"/>
                <w:color w:val="000000" w:themeColor="text1"/>
                <w:szCs w:val="21"/>
                <w:lang w:eastAsia="zh-CN"/>
                <w14:textFill>
                  <w14:solidFill>
                    <w14:schemeClr w14:val="tx1"/>
                  </w14:solidFill>
                </w14:textFill>
              </w:rPr>
              <w:t>伊州分局</w:t>
            </w:r>
          </w:p>
        </w:tc>
      </w:tr>
      <w:tr w14:paraId="6C614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51" w:type="dxa"/>
            <w:tcBorders>
              <w:tl2br w:val="nil"/>
              <w:tr2bl w:val="nil"/>
            </w:tcBorders>
            <w:vAlign w:val="center"/>
          </w:tcPr>
          <w:p w14:paraId="3F82CA36">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（3）固体废物</w:t>
            </w:r>
          </w:p>
          <w:p w14:paraId="09735F01">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①废石合理堆放，尽量综合利用。</w:t>
            </w:r>
          </w:p>
          <w:p w14:paraId="202FEB1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②生活垃圾集中收集，定期拉运至</w:t>
            </w:r>
            <w:r>
              <w:rPr>
                <w:rFonts w:hint="eastAsia" w:ascii="Times New Roman" w:hAnsi="Times New Roman" w:eastAsia="宋体" w:cs="Times New Roman"/>
                <w:color w:val="000000" w:themeColor="text1"/>
                <w:szCs w:val="21"/>
                <w:lang w:eastAsia="zh-CN"/>
                <w14:textFill>
                  <w14:solidFill>
                    <w14:schemeClr w14:val="tx1"/>
                  </w14:solidFill>
                </w14:textFill>
              </w:rPr>
              <w:t>雅满苏镇</w:t>
            </w:r>
            <w:r>
              <w:rPr>
                <w:rFonts w:hint="eastAsia" w:ascii="Times New Roman" w:hAnsi="Times New Roman" w:eastAsia="宋体" w:cs="Times New Roman"/>
                <w:color w:val="000000" w:themeColor="text1"/>
                <w:szCs w:val="21"/>
                <w14:textFill>
                  <w14:solidFill>
                    <w14:schemeClr w14:val="tx1"/>
                  </w14:solidFill>
                </w14:textFill>
              </w:rPr>
              <w:t>生活垃圾填埋场处理。</w:t>
            </w:r>
          </w:p>
          <w:p w14:paraId="71E422C6">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③废矿物油暂存于</w:t>
            </w:r>
            <w:r>
              <w:rPr>
                <w:rFonts w:hint="eastAsia" w:cs="Times New Roman"/>
                <w:color w:val="000000" w:themeColor="text1"/>
                <w:szCs w:val="21"/>
                <w:lang w:eastAsia="zh-CN"/>
                <w14:textFill>
                  <w14:solidFill>
                    <w14:schemeClr w14:val="tx1"/>
                  </w14:solidFill>
                </w14:textFill>
              </w:rPr>
              <w:t>危废贮存点</w:t>
            </w:r>
            <w:r>
              <w:rPr>
                <w:rFonts w:hint="eastAsia" w:ascii="Times New Roman" w:hAnsi="Times New Roman" w:eastAsia="宋体" w:cs="Times New Roman"/>
                <w:color w:val="000000" w:themeColor="text1"/>
                <w:szCs w:val="21"/>
                <w14:textFill>
                  <w14:solidFill>
                    <w14:schemeClr w14:val="tx1"/>
                  </w14:solidFill>
                </w14:textFill>
              </w:rPr>
              <w:t>，定期委托有资质的单位处置。</w:t>
            </w:r>
          </w:p>
        </w:tc>
        <w:tc>
          <w:tcPr>
            <w:tcW w:w="1308" w:type="dxa"/>
            <w:tcBorders>
              <w:tl2br w:val="nil"/>
              <w:tr2bl w:val="nil"/>
            </w:tcBorders>
            <w:vAlign w:val="center"/>
          </w:tcPr>
          <w:p w14:paraId="732033FD">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建设单位</w:t>
            </w:r>
          </w:p>
        </w:tc>
        <w:tc>
          <w:tcPr>
            <w:tcW w:w="1363" w:type="dxa"/>
            <w:tcBorders>
              <w:tl2br w:val="nil"/>
              <w:tr2bl w:val="nil"/>
            </w:tcBorders>
            <w:vAlign w:val="center"/>
          </w:tcPr>
          <w:p w14:paraId="4123D9DA">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哈密市生态环境局</w:t>
            </w:r>
            <w:r>
              <w:rPr>
                <w:rFonts w:hint="eastAsia" w:cs="Times New Roman"/>
                <w:color w:val="000000" w:themeColor="text1"/>
                <w:szCs w:val="21"/>
                <w:lang w:eastAsia="zh-CN"/>
                <w14:textFill>
                  <w14:solidFill>
                    <w14:schemeClr w14:val="tx1"/>
                  </w14:solidFill>
                </w14:textFill>
              </w:rPr>
              <w:t>伊州分局</w:t>
            </w:r>
          </w:p>
        </w:tc>
      </w:tr>
      <w:tr w14:paraId="24AD9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51" w:type="dxa"/>
            <w:tcBorders>
              <w:tl2br w:val="nil"/>
              <w:tr2bl w:val="nil"/>
            </w:tcBorders>
            <w:vAlign w:val="center"/>
          </w:tcPr>
          <w:p w14:paraId="228BDD7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（4）噪声</w:t>
            </w:r>
          </w:p>
          <w:p w14:paraId="029C608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①选用低噪声设备及必要的消声措施。</w:t>
            </w:r>
          </w:p>
          <w:p w14:paraId="3B55F49F">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②保持设备良好的运营工况，及时维修检修。</w:t>
            </w:r>
          </w:p>
          <w:p w14:paraId="52EE7EC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③加强个人防护。</w:t>
            </w:r>
          </w:p>
        </w:tc>
        <w:tc>
          <w:tcPr>
            <w:tcW w:w="1308" w:type="dxa"/>
            <w:tcBorders>
              <w:tl2br w:val="nil"/>
              <w:tr2bl w:val="nil"/>
            </w:tcBorders>
            <w:vAlign w:val="center"/>
          </w:tcPr>
          <w:p w14:paraId="3F90EB2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建设单位</w:t>
            </w:r>
          </w:p>
        </w:tc>
        <w:tc>
          <w:tcPr>
            <w:tcW w:w="1363" w:type="dxa"/>
            <w:tcBorders>
              <w:tl2br w:val="nil"/>
              <w:tr2bl w:val="nil"/>
            </w:tcBorders>
            <w:vAlign w:val="center"/>
          </w:tcPr>
          <w:p w14:paraId="5030E55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哈密市生态环境局</w:t>
            </w:r>
            <w:r>
              <w:rPr>
                <w:rFonts w:hint="eastAsia" w:cs="Times New Roman"/>
                <w:color w:val="000000" w:themeColor="text1"/>
                <w:szCs w:val="21"/>
                <w:lang w:eastAsia="zh-CN"/>
                <w14:textFill>
                  <w14:solidFill>
                    <w14:schemeClr w14:val="tx1"/>
                  </w14:solidFill>
                </w14:textFill>
              </w:rPr>
              <w:t>伊州分局</w:t>
            </w:r>
          </w:p>
        </w:tc>
      </w:tr>
      <w:tr w14:paraId="4BFAD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51" w:type="dxa"/>
            <w:tcBorders>
              <w:tl2br w:val="nil"/>
              <w:tr2bl w:val="nil"/>
            </w:tcBorders>
            <w:vAlign w:val="center"/>
          </w:tcPr>
          <w:p w14:paraId="558F0509">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（5）生态保护</w:t>
            </w:r>
          </w:p>
          <w:p w14:paraId="62AF4F5D">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①控制开采活动地表扰动面积，禁止在红线范围内开采。</w:t>
            </w:r>
          </w:p>
          <w:p w14:paraId="53004FB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②限制车辆行驶路线，减小影响范围。</w:t>
            </w:r>
          </w:p>
          <w:p w14:paraId="5DD87EFA">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③做好水土保持工作。</w:t>
            </w:r>
          </w:p>
          <w:p w14:paraId="06F0043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④开采结束尽快开展生态恢复建设工作。</w:t>
            </w:r>
          </w:p>
        </w:tc>
        <w:tc>
          <w:tcPr>
            <w:tcW w:w="1308" w:type="dxa"/>
            <w:tcBorders>
              <w:tl2br w:val="nil"/>
              <w:tr2bl w:val="nil"/>
            </w:tcBorders>
            <w:vAlign w:val="center"/>
          </w:tcPr>
          <w:p w14:paraId="1B106CFB">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建设单位</w:t>
            </w:r>
          </w:p>
        </w:tc>
        <w:tc>
          <w:tcPr>
            <w:tcW w:w="1363" w:type="dxa"/>
            <w:tcBorders>
              <w:tl2br w:val="nil"/>
              <w:tr2bl w:val="nil"/>
            </w:tcBorders>
            <w:vAlign w:val="center"/>
          </w:tcPr>
          <w:p w14:paraId="6B24D22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哈密市生态环境局</w:t>
            </w:r>
            <w:r>
              <w:rPr>
                <w:rFonts w:hint="eastAsia" w:cs="Times New Roman"/>
                <w:color w:val="000000" w:themeColor="text1"/>
                <w:szCs w:val="21"/>
                <w:lang w:eastAsia="zh-CN"/>
                <w14:textFill>
                  <w14:solidFill>
                    <w14:schemeClr w14:val="tx1"/>
                  </w14:solidFill>
                </w14:textFill>
              </w:rPr>
              <w:t>伊州分局</w:t>
            </w:r>
          </w:p>
        </w:tc>
      </w:tr>
      <w:tr w14:paraId="2FDA1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51" w:type="dxa"/>
            <w:tcBorders>
              <w:tl2br w:val="nil"/>
              <w:tr2bl w:val="nil"/>
            </w:tcBorders>
            <w:vAlign w:val="center"/>
          </w:tcPr>
          <w:p w14:paraId="233C1781">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（6）安全措施</w:t>
            </w:r>
          </w:p>
          <w:p w14:paraId="7C70712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①矿区安全出口、危险地带应设置相应标识，避免事故发生。</w:t>
            </w:r>
          </w:p>
          <w:p w14:paraId="43A55804">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②爆破严格按规程操作，保证安全。</w:t>
            </w:r>
          </w:p>
          <w:p w14:paraId="748697D5">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③加强爆破材料库的安全管理。</w:t>
            </w:r>
          </w:p>
          <w:p w14:paraId="312BFC5F">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④开采期保证井下通风风量，确保安全生产。</w:t>
            </w:r>
          </w:p>
          <w:p w14:paraId="52DA37D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⑤做好错动区的栅栏标识工作，防止人机误入引起伤害。</w:t>
            </w:r>
          </w:p>
        </w:tc>
        <w:tc>
          <w:tcPr>
            <w:tcW w:w="1308" w:type="dxa"/>
            <w:tcBorders>
              <w:tl2br w:val="nil"/>
              <w:tr2bl w:val="nil"/>
            </w:tcBorders>
            <w:vAlign w:val="center"/>
          </w:tcPr>
          <w:p w14:paraId="7DE1C7D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建设单位</w:t>
            </w:r>
          </w:p>
        </w:tc>
        <w:tc>
          <w:tcPr>
            <w:tcW w:w="1363" w:type="dxa"/>
            <w:tcBorders>
              <w:tl2br w:val="nil"/>
              <w:tr2bl w:val="nil"/>
            </w:tcBorders>
            <w:vAlign w:val="center"/>
          </w:tcPr>
          <w:p w14:paraId="12EE0E1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哈密市生态环境局</w:t>
            </w:r>
            <w:r>
              <w:rPr>
                <w:rFonts w:hint="eastAsia" w:cs="Times New Roman"/>
                <w:color w:val="000000" w:themeColor="text1"/>
                <w:szCs w:val="21"/>
                <w:lang w:eastAsia="zh-CN"/>
                <w14:textFill>
                  <w14:solidFill>
                    <w14:schemeClr w14:val="tx1"/>
                  </w14:solidFill>
                </w14:textFill>
              </w:rPr>
              <w:t>伊州分局</w:t>
            </w:r>
          </w:p>
        </w:tc>
      </w:tr>
      <w:tr w14:paraId="22836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851" w:type="dxa"/>
            <w:tcBorders>
              <w:tl2br w:val="nil"/>
              <w:tr2bl w:val="nil"/>
            </w:tcBorders>
            <w:vAlign w:val="center"/>
          </w:tcPr>
          <w:p w14:paraId="3CFC3B34">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（7）环境管理</w:t>
            </w:r>
          </w:p>
          <w:p w14:paraId="4FE1DD2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建立环境管理，制定环境管理手段，按要求开展环境监测，完善矿区环境管理工作。</w:t>
            </w:r>
          </w:p>
        </w:tc>
        <w:tc>
          <w:tcPr>
            <w:tcW w:w="1308" w:type="dxa"/>
            <w:tcBorders>
              <w:tl2br w:val="nil"/>
              <w:tr2bl w:val="nil"/>
            </w:tcBorders>
            <w:vAlign w:val="center"/>
          </w:tcPr>
          <w:p w14:paraId="7848F2A6">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建设单位</w:t>
            </w:r>
          </w:p>
        </w:tc>
        <w:tc>
          <w:tcPr>
            <w:tcW w:w="1363" w:type="dxa"/>
            <w:tcBorders>
              <w:tl2br w:val="nil"/>
              <w:tr2bl w:val="nil"/>
            </w:tcBorders>
            <w:vAlign w:val="center"/>
          </w:tcPr>
          <w:p w14:paraId="03542F3D">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哈密市生态环境局</w:t>
            </w:r>
            <w:r>
              <w:rPr>
                <w:rFonts w:hint="eastAsia" w:cs="Times New Roman"/>
                <w:color w:val="000000" w:themeColor="text1"/>
                <w:szCs w:val="21"/>
                <w:lang w:eastAsia="zh-CN"/>
                <w14:textFill>
                  <w14:solidFill>
                    <w14:schemeClr w14:val="tx1"/>
                  </w14:solidFill>
                </w14:textFill>
              </w:rPr>
              <w:t>伊州分局</w:t>
            </w:r>
          </w:p>
        </w:tc>
      </w:tr>
    </w:tbl>
    <w:p w14:paraId="49B3009B">
      <w:pPr>
        <w:widowControl/>
        <w:adjustRightInd w:val="0"/>
        <w:snapToGrid w:val="0"/>
        <w:spacing w:line="480" w:lineRule="exact"/>
        <w:jc w:val="center"/>
        <w:textAlignment w:val="baseline"/>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表8.</w:t>
      </w:r>
      <w:r>
        <w:rPr>
          <w:rFonts w:hint="eastAsia" w:ascii="Times New Roman" w:hAnsi="Times New Roman" w:eastAsia="宋体" w:cs="Times New Roman"/>
          <w:b/>
          <w:color w:val="000000" w:themeColor="text1"/>
          <w:sz w:val="24"/>
          <w:highlight w:val="none"/>
          <w14:textFill>
            <w14:solidFill>
              <w14:schemeClr w14:val="tx1"/>
            </w14:solidFill>
          </w14:textFill>
        </w:rPr>
        <w:t>4</w:t>
      </w:r>
      <w:r>
        <w:rPr>
          <w:rFonts w:ascii="Times New Roman" w:hAnsi="Times New Roman" w:eastAsia="宋体" w:cs="Times New Roman"/>
          <w:b/>
          <w:color w:val="000000" w:themeColor="text1"/>
          <w:sz w:val="24"/>
          <w:highlight w:val="none"/>
          <w14:textFill>
            <w14:solidFill>
              <w14:schemeClr w14:val="tx1"/>
            </w14:solidFill>
          </w14:textFill>
        </w:rPr>
        <w:t>-</w:t>
      </w:r>
      <w:r>
        <w:rPr>
          <w:rFonts w:hint="eastAsia" w:ascii="Times New Roman" w:hAnsi="Times New Roman" w:eastAsia="宋体" w:cs="Times New Roman"/>
          <w:b/>
          <w:color w:val="000000" w:themeColor="text1"/>
          <w:sz w:val="24"/>
          <w:highlight w:val="none"/>
          <w14:textFill>
            <w14:solidFill>
              <w14:schemeClr w14:val="tx1"/>
            </w14:solidFill>
          </w14:textFill>
        </w:rPr>
        <w:t>2</w:t>
      </w:r>
      <w:r>
        <w:rPr>
          <w:rFonts w:ascii="Times New Roman" w:hAnsi="Times New Roman" w:eastAsia="宋体" w:cs="Times New Roman"/>
          <w:b/>
          <w:color w:val="000000" w:themeColor="text1"/>
          <w:sz w:val="24"/>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4"/>
          <w:highlight w:val="none"/>
          <w14:textFill>
            <w14:solidFill>
              <w14:schemeClr w14:val="tx1"/>
            </w14:solidFill>
          </w14:textFill>
        </w:rPr>
        <w:t>环境保护行动计划</w:t>
      </w:r>
    </w:p>
    <w:tbl>
      <w:tblPr>
        <w:tblStyle w:val="8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234"/>
        <w:gridCol w:w="3640"/>
        <w:gridCol w:w="1310"/>
        <w:gridCol w:w="1346"/>
      </w:tblGrid>
      <w:tr w14:paraId="7D0C3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992" w:type="dxa"/>
            <w:tcBorders>
              <w:tl2br w:val="nil"/>
              <w:tr2bl w:val="nil"/>
            </w:tcBorders>
          </w:tcPr>
          <w:p w14:paraId="7521350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4"/>
                <w:lang w:bidi="ar"/>
                <w14:textFill>
                  <w14:solidFill>
                    <w14:schemeClr w14:val="tx1"/>
                  </w14:solidFill>
                </w14:textFill>
              </w:rPr>
            </w:pPr>
            <w:r>
              <w:rPr>
                <w:rFonts w:hint="eastAsia" w:ascii="Times New Roman" w:hAnsi="Times New Roman" w:eastAsia="宋体" w:cs="Times New Roman"/>
                <w:b/>
                <w:color w:val="000000" w:themeColor="text1"/>
                <w:kern w:val="0"/>
                <w:sz w:val="24"/>
                <w:lang w:bidi="ar"/>
                <w14:textFill>
                  <w14:solidFill>
                    <w14:schemeClr w14:val="tx1"/>
                  </w14:solidFill>
                </w14:textFill>
              </w:rPr>
              <w:t>时段</w:t>
            </w:r>
          </w:p>
        </w:tc>
        <w:tc>
          <w:tcPr>
            <w:tcW w:w="1234" w:type="dxa"/>
            <w:tcBorders>
              <w:tl2br w:val="nil"/>
              <w:tr2bl w:val="nil"/>
            </w:tcBorders>
          </w:tcPr>
          <w:p w14:paraId="1ACFEE0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4"/>
                <w:lang w:bidi="ar"/>
                <w14:textFill>
                  <w14:solidFill>
                    <w14:schemeClr w14:val="tx1"/>
                  </w14:solidFill>
                </w14:textFill>
              </w:rPr>
            </w:pPr>
            <w:r>
              <w:rPr>
                <w:rFonts w:hint="eastAsia" w:ascii="Times New Roman" w:hAnsi="Times New Roman" w:eastAsia="宋体" w:cs="Times New Roman"/>
                <w:b/>
                <w:color w:val="000000" w:themeColor="text1"/>
                <w:kern w:val="0"/>
                <w:sz w:val="24"/>
                <w:lang w:bidi="ar"/>
                <w14:textFill>
                  <w14:solidFill>
                    <w14:schemeClr w14:val="tx1"/>
                  </w14:solidFill>
                </w14:textFill>
              </w:rPr>
              <w:t>环境问题</w:t>
            </w:r>
          </w:p>
        </w:tc>
        <w:tc>
          <w:tcPr>
            <w:tcW w:w="3640" w:type="dxa"/>
            <w:tcBorders>
              <w:tl2br w:val="nil"/>
              <w:tr2bl w:val="nil"/>
            </w:tcBorders>
          </w:tcPr>
          <w:p w14:paraId="1FF4F3B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4"/>
                <w:lang w:bidi="ar"/>
                <w14:textFill>
                  <w14:solidFill>
                    <w14:schemeClr w14:val="tx1"/>
                  </w14:solidFill>
                </w14:textFill>
              </w:rPr>
            </w:pPr>
            <w:r>
              <w:rPr>
                <w:rFonts w:hint="eastAsia" w:ascii="Times New Roman" w:hAnsi="Times New Roman" w:eastAsia="宋体" w:cs="Times New Roman"/>
                <w:b/>
                <w:color w:val="000000" w:themeColor="text1"/>
                <w:kern w:val="0"/>
                <w:sz w:val="24"/>
                <w:lang w:bidi="ar"/>
                <w14:textFill>
                  <w14:solidFill>
                    <w14:schemeClr w14:val="tx1"/>
                  </w14:solidFill>
                </w14:textFill>
              </w:rPr>
              <w:t>环保措施</w:t>
            </w:r>
          </w:p>
        </w:tc>
        <w:tc>
          <w:tcPr>
            <w:tcW w:w="1310" w:type="dxa"/>
            <w:tcBorders>
              <w:tl2br w:val="nil"/>
              <w:tr2bl w:val="nil"/>
            </w:tcBorders>
          </w:tcPr>
          <w:p w14:paraId="4DCD17B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4"/>
                <w:lang w:bidi="ar"/>
                <w14:textFill>
                  <w14:solidFill>
                    <w14:schemeClr w14:val="tx1"/>
                  </w14:solidFill>
                </w14:textFill>
              </w:rPr>
            </w:pPr>
            <w:r>
              <w:rPr>
                <w:rFonts w:hint="eastAsia" w:ascii="Times New Roman" w:hAnsi="Times New Roman" w:eastAsia="宋体" w:cs="Times New Roman"/>
                <w:b/>
                <w:color w:val="000000" w:themeColor="text1"/>
                <w:kern w:val="0"/>
                <w:sz w:val="24"/>
                <w:lang w:bidi="ar"/>
                <w14:textFill>
                  <w14:solidFill>
                    <w14:schemeClr w14:val="tx1"/>
                  </w14:solidFill>
                </w14:textFill>
              </w:rPr>
              <w:t>实施单位</w:t>
            </w:r>
          </w:p>
        </w:tc>
        <w:tc>
          <w:tcPr>
            <w:tcW w:w="1346" w:type="dxa"/>
            <w:tcBorders>
              <w:tl2br w:val="nil"/>
              <w:tr2bl w:val="nil"/>
            </w:tcBorders>
          </w:tcPr>
          <w:p w14:paraId="18B3F60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4"/>
                <w:lang w:bidi="ar"/>
                <w14:textFill>
                  <w14:solidFill>
                    <w14:schemeClr w14:val="tx1"/>
                  </w14:solidFill>
                </w14:textFill>
              </w:rPr>
            </w:pPr>
            <w:r>
              <w:rPr>
                <w:rFonts w:hint="eastAsia" w:ascii="Times New Roman" w:hAnsi="Times New Roman" w:eastAsia="宋体" w:cs="Times New Roman"/>
                <w:b/>
                <w:color w:val="000000" w:themeColor="text1"/>
                <w:kern w:val="0"/>
                <w:sz w:val="24"/>
                <w:lang w:bidi="ar"/>
                <w14:textFill>
                  <w14:solidFill>
                    <w14:schemeClr w14:val="tx1"/>
                  </w14:solidFill>
                </w14:textFill>
              </w:rPr>
              <w:t>监督单位</w:t>
            </w:r>
          </w:p>
        </w:tc>
      </w:tr>
      <w:tr w14:paraId="68352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dxa"/>
            <w:tcBorders>
              <w:tl2br w:val="nil"/>
              <w:tr2bl w:val="nil"/>
            </w:tcBorders>
            <w:vAlign w:val="center"/>
          </w:tcPr>
          <w:p w14:paraId="49B4DC8B">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运营期</w:t>
            </w:r>
          </w:p>
        </w:tc>
        <w:tc>
          <w:tcPr>
            <w:tcW w:w="1234" w:type="dxa"/>
            <w:tcBorders>
              <w:tl2br w:val="nil"/>
              <w:tr2bl w:val="nil"/>
            </w:tcBorders>
            <w:vAlign w:val="center"/>
          </w:tcPr>
          <w:p w14:paraId="44FEE132">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生态保护</w:t>
            </w:r>
          </w:p>
        </w:tc>
        <w:tc>
          <w:tcPr>
            <w:tcW w:w="3640" w:type="dxa"/>
            <w:tcBorders>
              <w:tl2br w:val="nil"/>
              <w:tr2bl w:val="nil"/>
            </w:tcBorders>
            <w:vAlign w:val="center"/>
          </w:tcPr>
          <w:p w14:paraId="744A1687">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1.对进入矿区的一切人员严格要求，不得随意乱扔垃圾，不得破坏植被，不得猎杀动物；</w:t>
            </w:r>
          </w:p>
          <w:p w14:paraId="35F220FC">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2.对于工程运营期产生的废石和生活垃圾等都要进行定点处理排放，最大限度</w:t>
            </w:r>
            <w:r>
              <w:rPr>
                <w:rFonts w:hint="eastAsia" w:cs="Times New Roman"/>
                <w:color w:val="000000" w:themeColor="text1"/>
                <w:szCs w:val="21"/>
                <w:lang w:eastAsia="zh-CN"/>
                <w14:textFill>
                  <w14:solidFill>
                    <w14:schemeClr w14:val="tx1"/>
                  </w14:solidFill>
                </w14:textFill>
              </w:rPr>
              <w:t>地</w:t>
            </w:r>
            <w:r>
              <w:rPr>
                <w:rFonts w:hint="eastAsia" w:ascii="Times New Roman" w:hAnsi="Times New Roman" w:eastAsia="宋体" w:cs="Times New Roman"/>
                <w:color w:val="000000" w:themeColor="text1"/>
                <w:szCs w:val="21"/>
                <w14:textFill>
                  <w14:solidFill>
                    <w14:schemeClr w14:val="tx1"/>
                  </w14:solidFill>
                </w14:textFill>
              </w:rPr>
              <w:t>保护项目区的周围环境；</w:t>
            </w:r>
          </w:p>
          <w:p w14:paraId="758CABE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3.对于采矿期和矿山公路修建期产生的废弃土石应及时综合利用，不在矿区内大量堆放。</w:t>
            </w:r>
          </w:p>
        </w:tc>
        <w:tc>
          <w:tcPr>
            <w:tcW w:w="1310" w:type="dxa"/>
            <w:vMerge w:val="restart"/>
            <w:tcBorders>
              <w:tl2br w:val="nil"/>
              <w:tr2bl w:val="nil"/>
            </w:tcBorders>
            <w:vAlign w:val="center"/>
          </w:tcPr>
          <w:p w14:paraId="61B04938">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建设单位</w:t>
            </w:r>
          </w:p>
        </w:tc>
        <w:tc>
          <w:tcPr>
            <w:tcW w:w="1346" w:type="dxa"/>
            <w:vMerge w:val="restart"/>
            <w:tcBorders>
              <w:tl2br w:val="nil"/>
              <w:tr2bl w:val="nil"/>
            </w:tcBorders>
            <w:vAlign w:val="center"/>
          </w:tcPr>
          <w:p w14:paraId="77A39DD0">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哈密市生态环境局</w:t>
            </w:r>
            <w:r>
              <w:rPr>
                <w:rFonts w:hint="eastAsia" w:cs="Times New Roman"/>
                <w:color w:val="000000" w:themeColor="text1"/>
                <w:szCs w:val="21"/>
                <w:lang w:eastAsia="zh-CN"/>
                <w14:textFill>
                  <w14:solidFill>
                    <w14:schemeClr w14:val="tx1"/>
                  </w14:solidFill>
                </w14:textFill>
              </w:rPr>
              <w:t>伊州分局</w:t>
            </w:r>
          </w:p>
        </w:tc>
      </w:tr>
      <w:tr w14:paraId="25008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2" w:type="dxa"/>
            <w:tcBorders>
              <w:tl2br w:val="nil"/>
              <w:tr2bl w:val="nil"/>
            </w:tcBorders>
            <w:vAlign w:val="center"/>
          </w:tcPr>
          <w:p w14:paraId="104057DD">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闭矿期</w:t>
            </w:r>
          </w:p>
        </w:tc>
        <w:tc>
          <w:tcPr>
            <w:tcW w:w="1234" w:type="dxa"/>
            <w:tcBorders>
              <w:tl2br w:val="nil"/>
              <w:tr2bl w:val="nil"/>
            </w:tcBorders>
            <w:vAlign w:val="center"/>
          </w:tcPr>
          <w:p w14:paraId="538C08E1">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生态保护</w:t>
            </w:r>
          </w:p>
        </w:tc>
        <w:tc>
          <w:tcPr>
            <w:tcW w:w="3640" w:type="dxa"/>
            <w:tcBorders>
              <w:tl2br w:val="nil"/>
              <w:tr2bl w:val="nil"/>
            </w:tcBorders>
            <w:vAlign w:val="center"/>
          </w:tcPr>
          <w:p w14:paraId="43D0B044">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矿山恢复、绿化</w:t>
            </w:r>
          </w:p>
        </w:tc>
        <w:tc>
          <w:tcPr>
            <w:tcW w:w="1310" w:type="dxa"/>
            <w:vMerge w:val="continue"/>
            <w:tcBorders>
              <w:tl2br w:val="nil"/>
              <w:tr2bl w:val="nil"/>
            </w:tcBorders>
            <w:vAlign w:val="center"/>
          </w:tcPr>
          <w:p w14:paraId="45B8E0B9">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p>
        </w:tc>
        <w:tc>
          <w:tcPr>
            <w:tcW w:w="1346" w:type="dxa"/>
            <w:vMerge w:val="continue"/>
            <w:tcBorders>
              <w:tl2br w:val="nil"/>
              <w:tr2bl w:val="nil"/>
            </w:tcBorders>
            <w:vAlign w:val="center"/>
          </w:tcPr>
          <w:p w14:paraId="3CA71B34">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szCs w:val="21"/>
                <w14:textFill>
                  <w14:solidFill>
                    <w14:schemeClr w14:val="tx1"/>
                  </w14:solidFill>
                </w14:textFill>
              </w:rPr>
            </w:pPr>
          </w:p>
        </w:tc>
      </w:tr>
    </w:tbl>
    <w:p w14:paraId="640D57DB">
      <w:pPr>
        <w:pStyle w:val="3"/>
        <w:rPr>
          <w:color w:val="000000" w:themeColor="text1"/>
          <w14:textFill>
            <w14:solidFill>
              <w14:schemeClr w14:val="tx1"/>
            </w14:solidFill>
          </w14:textFill>
        </w:rPr>
      </w:pPr>
      <w:bookmarkStart w:id="728" w:name="_Toc15351"/>
      <w:bookmarkStart w:id="729" w:name="_Toc118977515"/>
      <w:bookmarkStart w:id="730" w:name="_Toc107413914"/>
      <w:bookmarkStart w:id="731" w:name="_Toc107414681"/>
      <w:r>
        <w:rPr>
          <w:color w:val="000000" w:themeColor="text1"/>
          <w14:textFill>
            <w14:solidFill>
              <w14:schemeClr w14:val="tx1"/>
            </w14:solidFill>
          </w14:textFill>
        </w:rPr>
        <w:t>8.5环境保护竣工验收计划</w:t>
      </w:r>
      <w:bookmarkEnd w:id="728"/>
      <w:bookmarkEnd w:id="729"/>
      <w:bookmarkEnd w:id="730"/>
      <w:bookmarkEnd w:id="731"/>
    </w:p>
    <w:p w14:paraId="2B6AFAD4">
      <w:pPr>
        <w:spacing w:line="480" w:lineRule="exact"/>
        <w:ind w:firstLine="480" w:firstLineChars="200"/>
        <w:rPr>
          <w:rFonts w:hint="eastAsia" w:ascii="Times New Roman" w:hAnsi="Times New Roman" w:eastAsia="宋体" w:cs="Times New Roman"/>
          <w:color w:val="000000" w:themeColor="text1"/>
          <w:kern w:val="0"/>
          <w:sz w:val="24"/>
          <w:szCs w:val="21"/>
          <w14:textFill>
            <w14:solidFill>
              <w14:schemeClr w14:val="tx1"/>
            </w14:solidFill>
          </w14:textFill>
        </w:rPr>
      </w:pPr>
      <w:r>
        <w:rPr>
          <w:color w:val="000000" w:themeColor="text1"/>
          <w:sz w:val="24"/>
          <w14:textFill>
            <w14:solidFill>
              <w14:schemeClr w14:val="tx1"/>
            </w14:solidFill>
          </w14:textFill>
        </w:rPr>
        <w:t>为便于环保主管部门对工程项目进行竣工验收，现按照国家和自治区的有关规定，提出如下环境保护</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三同时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验收一览表</w:t>
      </w:r>
      <w:r>
        <w:rPr>
          <w:rFonts w:hint="eastAsia" w:ascii="Times New Roman" w:hAnsi="Times New Roman" w:eastAsia="宋体" w:cs="Times New Roman"/>
          <w:color w:val="000000" w:themeColor="text1"/>
          <w:kern w:val="0"/>
          <w:sz w:val="24"/>
          <w:szCs w:val="21"/>
          <w14:textFill>
            <w14:solidFill>
              <w14:schemeClr w14:val="tx1"/>
            </w14:solidFill>
          </w14:textFill>
        </w:rPr>
        <w:t>。</w:t>
      </w:r>
    </w:p>
    <w:p w14:paraId="6A1F0443">
      <w:pPr>
        <w:widowControl/>
        <w:adjustRightInd w:val="0"/>
        <w:snapToGrid w:val="0"/>
        <w:spacing w:line="480" w:lineRule="exact"/>
        <w:jc w:val="center"/>
        <w:textAlignment w:val="baseline"/>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eastAsia="宋体" w:cs="Times New Roman"/>
          <w:b/>
          <w:color w:val="000000" w:themeColor="text1"/>
          <w:sz w:val="24"/>
          <w:highlight w:val="none"/>
          <w14:textFill>
            <w14:solidFill>
              <w14:schemeClr w14:val="tx1"/>
            </w14:solidFill>
          </w14:textFill>
        </w:rPr>
        <w:t>表8.5-1    环境保护</w:t>
      </w:r>
      <w:r>
        <w:rPr>
          <w:rFonts w:hint="eastAsia" w:ascii="Times New Roman" w:hAnsi="Times New Roman" w:eastAsia="宋体" w:cs="Times New Roman"/>
          <w:b/>
          <w:color w:val="000000" w:themeColor="text1"/>
          <w:sz w:val="24"/>
          <w:highlight w:val="none"/>
          <w14:textFill>
            <w14:solidFill>
              <w14:schemeClr w14:val="tx1"/>
            </w14:solidFill>
          </w14:textFill>
        </w:rPr>
        <w:t>“</w:t>
      </w:r>
      <w:r>
        <w:rPr>
          <w:rFonts w:ascii="Times New Roman" w:hAnsi="Times New Roman" w:eastAsia="宋体" w:cs="Times New Roman"/>
          <w:b/>
          <w:color w:val="000000" w:themeColor="text1"/>
          <w:sz w:val="24"/>
          <w:highlight w:val="none"/>
          <w14:textFill>
            <w14:solidFill>
              <w14:schemeClr w14:val="tx1"/>
            </w14:solidFill>
          </w14:textFill>
        </w:rPr>
        <w:t>三同时</w:t>
      </w:r>
      <w:r>
        <w:rPr>
          <w:rFonts w:hint="eastAsia" w:ascii="Times New Roman" w:hAnsi="Times New Roman" w:eastAsia="宋体" w:cs="Times New Roman"/>
          <w:b/>
          <w:color w:val="000000" w:themeColor="text1"/>
          <w:sz w:val="24"/>
          <w:highlight w:val="none"/>
          <w14:textFill>
            <w14:solidFill>
              <w14:schemeClr w14:val="tx1"/>
            </w14:solidFill>
          </w14:textFill>
        </w:rPr>
        <w:t>”</w:t>
      </w:r>
      <w:r>
        <w:rPr>
          <w:rFonts w:ascii="Times New Roman" w:hAnsi="Times New Roman" w:eastAsia="宋体" w:cs="Times New Roman"/>
          <w:b/>
          <w:color w:val="000000" w:themeColor="text1"/>
          <w:sz w:val="24"/>
          <w:highlight w:val="none"/>
          <w14:textFill>
            <w14:solidFill>
              <w14:schemeClr w14:val="tx1"/>
            </w14:solidFill>
          </w14:textFill>
        </w:rPr>
        <w:t>验收一览表</w:t>
      </w:r>
    </w:p>
    <w:tbl>
      <w:tblPr>
        <w:tblStyle w:val="79"/>
        <w:tblW w:w="85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590"/>
        <w:gridCol w:w="910"/>
        <w:gridCol w:w="2540"/>
        <w:gridCol w:w="934"/>
        <w:gridCol w:w="996"/>
        <w:gridCol w:w="2146"/>
      </w:tblGrid>
      <w:tr w14:paraId="53472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7" w:type="dxa"/>
            <w:tcBorders>
              <w:tl2br w:val="nil"/>
              <w:tr2bl w:val="nil"/>
            </w:tcBorders>
            <w:vAlign w:val="center"/>
          </w:tcPr>
          <w:p w14:paraId="18ED4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工段</w:t>
            </w:r>
          </w:p>
        </w:tc>
        <w:tc>
          <w:tcPr>
            <w:tcW w:w="590" w:type="dxa"/>
            <w:tcBorders>
              <w:tl2br w:val="nil"/>
              <w:tr2bl w:val="nil"/>
            </w:tcBorders>
            <w:vAlign w:val="center"/>
          </w:tcPr>
          <w:p w14:paraId="4BEB0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类别</w:t>
            </w:r>
          </w:p>
        </w:tc>
        <w:tc>
          <w:tcPr>
            <w:tcW w:w="910" w:type="dxa"/>
            <w:tcBorders>
              <w:tl2br w:val="nil"/>
              <w:tr2bl w:val="nil"/>
            </w:tcBorders>
            <w:vAlign w:val="center"/>
          </w:tcPr>
          <w:p w14:paraId="454DA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污染源</w:t>
            </w:r>
          </w:p>
        </w:tc>
        <w:tc>
          <w:tcPr>
            <w:tcW w:w="2540" w:type="dxa"/>
            <w:tcBorders>
              <w:tl2br w:val="nil"/>
              <w:tr2bl w:val="nil"/>
            </w:tcBorders>
            <w:vAlign w:val="center"/>
          </w:tcPr>
          <w:p w14:paraId="6D946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环保设施</w:t>
            </w:r>
          </w:p>
        </w:tc>
        <w:tc>
          <w:tcPr>
            <w:tcW w:w="934" w:type="dxa"/>
            <w:tcBorders>
              <w:tl2br w:val="nil"/>
              <w:tr2bl w:val="nil"/>
            </w:tcBorders>
            <w:vAlign w:val="center"/>
          </w:tcPr>
          <w:p w14:paraId="0B3C2E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数量</w:t>
            </w:r>
          </w:p>
          <w:p w14:paraId="58F07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（套）</w:t>
            </w:r>
          </w:p>
        </w:tc>
        <w:tc>
          <w:tcPr>
            <w:tcW w:w="996" w:type="dxa"/>
            <w:tcBorders>
              <w:tl2br w:val="nil"/>
              <w:tr2bl w:val="nil"/>
            </w:tcBorders>
            <w:vAlign w:val="center"/>
          </w:tcPr>
          <w:p w14:paraId="2232B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治理</w:t>
            </w:r>
          </w:p>
          <w:p w14:paraId="6974E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对象</w:t>
            </w:r>
          </w:p>
        </w:tc>
        <w:tc>
          <w:tcPr>
            <w:tcW w:w="2146" w:type="dxa"/>
            <w:tcBorders>
              <w:tl2br w:val="nil"/>
              <w:tr2bl w:val="nil"/>
            </w:tcBorders>
            <w:vAlign w:val="center"/>
          </w:tcPr>
          <w:p w14:paraId="55D82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1"/>
                <w:szCs w:val="21"/>
                <w:highlight w:val="none"/>
                <w:lang w:val="en-US" w:eastAsia="zh-CN" w:bidi="ar"/>
                <w14:textFill>
                  <w14:solidFill>
                    <w14:schemeClr w14:val="tx1"/>
                  </w14:solidFill>
                </w14:textFill>
              </w:rPr>
              <w:t>效果及要求</w:t>
            </w:r>
          </w:p>
        </w:tc>
      </w:tr>
      <w:tr w14:paraId="0E23D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restart"/>
            <w:tcBorders>
              <w:tl2br w:val="nil"/>
              <w:tr2bl w:val="nil"/>
            </w:tcBorders>
            <w:vAlign w:val="center"/>
          </w:tcPr>
          <w:p w14:paraId="5D6B1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运营期</w:t>
            </w:r>
          </w:p>
        </w:tc>
        <w:tc>
          <w:tcPr>
            <w:tcW w:w="590" w:type="dxa"/>
            <w:vMerge w:val="restart"/>
            <w:tcBorders>
              <w:tl2br w:val="nil"/>
              <w:tr2bl w:val="nil"/>
            </w:tcBorders>
            <w:vAlign w:val="center"/>
          </w:tcPr>
          <w:p w14:paraId="59E3EA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废气</w:t>
            </w:r>
          </w:p>
        </w:tc>
        <w:tc>
          <w:tcPr>
            <w:tcW w:w="910" w:type="dxa"/>
            <w:vMerge w:val="restart"/>
            <w:tcBorders>
              <w:tl2br w:val="nil"/>
              <w:tr2bl w:val="nil"/>
            </w:tcBorders>
            <w:vAlign w:val="center"/>
          </w:tcPr>
          <w:p w14:paraId="05A80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矿井废气</w:t>
            </w:r>
          </w:p>
        </w:tc>
        <w:tc>
          <w:tcPr>
            <w:tcW w:w="2540" w:type="dxa"/>
            <w:tcBorders>
              <w:tl2br w:val="nil"/>
              <w:tr2bl w:val="nil"/>
            </w:tcBorders>
            <w:vAlign w:val="center"/>
          </w:tcPr>
          <w:p w14:paraId="0086F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通风系统</w:t>
            </w:r>
          </w:p>
        </w:tc>
        <w:tc>
          <w:tcPr>
            <w:tcW w:w="934" w:type="dxa"/>
            <w:vMerge w:val="restart"/>
            <w:tcBorders>
              <w:tl2br w:val="nil"/>
              <w:tr2bl w:val="nil"/>
            </w:tcBorders>
            <w:vAlign w:val="center"/>
          </w:tcPr>
          <w:p w14:paraId="15AED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1</w:t>
            </w:r>
          </w:p>
        </w:tc>
        <w:tc>
          <w:tcPr>
            <w:tcW w:w="996" w:type="dxa"/>
            <w:vMerge w:val="restart"/>
            <w:tcBorders>
              <w:tl2br w:val="nil"/>
              <w:tr2bl w:val="nil"/>
            </w:tcBorders>
            <w:vAlign w:val="center"/>
          </w:tcPr>
          <w:p w14:paraId="2CE80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矿井废气</w:t>
            </w:r>
          </w:p>
        </w:tc>
        <w:tc>
          <w:tcPr>
            <w:tcW w:w="2146" w:type="dxa"/>
            <w:vMerge w:val="restart"/>
            <w:tcBorders>
              <w:tl2br w:val="nil"/>
              <w:tr2bl w:val="nil"/>
            </w:tcBorders>
            <w:vAlign w:val="center"/>
          </w:tcPr>
          <w:p w14:paraId="009B8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满足</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《铁矿采选工业污染物排放标准》（GB28661-2012）</w:t>
            </w:r>
          </w:p>
        </w:tc>
      </w:tr>
      <w:tr w14:paraId="4AE0C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14E56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6D40C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vMerge w:val="continue"/>
            <w:tcBorders>
              <w:tl2br w:val="nil"/>
              <w:tr2bl w:val="nil"/>
            </w:tcBorders>
            <w:vAlign w:val="center"/>
          </w:tcPr>
          <w:p w14:paraId="56454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2540" w:type="dxa"/>
            <w:tcBorders>
              <w:tl2br w:val="nil"/>
              <w:tr2bl w:val="nil"/>
            </w:tcBorders>
            <w:vAlign w:val="center"/>
          </w:tcPr>
          <w:p w14:paraId="16452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采用湿式凿岩、爆破后作业面洒水喷雾除尘、风机井下通风</w:t>
            </w:r>
          </w:p>
        </w:tc>
        <w:tc>
          <w:tcPr>
            <w:tcW w:w="934" w:type="dxa"/>
            <w:vMerge w:val="continue"/>
            <w:tcBorders>
              <w:tl2br w:val="nil"/>
              <w:tr2bl w:val="nil"/>
            </w:tcBorders>
            <w:vAlign w:val="center"/>
          </w:tcPr>
          <w:p w14:paraId="13F2C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96" w:type="dxa"/>
            <w:vMerge w:val="continue"/>
            <w:tcBorders>
              <w:tl2br w:val="nil"/>
              <w:tr2bl w:val="nil"/>
            </w:tcBorders>
            <w:vAlign w:val="center"/>
          </w:tcPr>
          <w:p w14:paraId="772ED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2146" w:type="dxa"/>
            <w:vMerge w:val="continue"/>
            <w:tcBorders>
              <w:tl2br w:val="nil"/>
              <w:tr2bl w:val="nil"/>
            </w:tcBorders>
            <w:vAlign w:val="center"/>
          </w:tcPr>
          <w:p w14:paraId="173DA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r>
      <w:tr w14:paraId="59DCD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3EC9EA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296D7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vMerge w:val="continue"/>
            <w:tcBorders>
              <w:tl2br w:val="nil"/>
              <w:tr2bl w:val="nil"/>
            </w:tcBorders>
            <w:vAlign w:val="center"/>
          </w:tcPr>
          <w:p w14:paraId="20A07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2540" w:type="dxa"/>
            <w:tcBorders>
              <w:tl2br w:val="nil"/>
              <w:tr2bl w:val="nil"/>
            </w:tcBorders>
            <w:vAlign w:val="center"/>
          </w:tcPr>
          <w:p w14:paraId="1E929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
                <w14:textFill>
                  <w14:solidFill>
                    <w14:schemeClr w14:val="tx1"/>
                  </w14:solidFill>
                </w14:textFill>
              </w:rPr>
              <w:t>喷淋增湿抑尘</w:t>
            </w:r>
          </w:p>
        </w:tc>
        <w:tc>
          <w:tcPr>
            <w:tcW w:w="934" w:type="dxa"/>
            <w:vMerge w:val="continue"/>
            <w:tcBorders>
              <w:tl2br w:val="nil"/>
              <w:tr2bl w:val="nil"/>
            </w:tcBorders>
            <w:vAlign w:val="center"/>
          </w:tcPr>
          <w:p w14:paraId="161CB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96" w:type="dxa"/>
            <w:vMerge w:val="continue"/>
            <w:tcBorders>
              <w:tl2br w:val="nil"/>
              <w:tr2bl w:val="nil"/>
            </w:tcBorders>
            <w:vAlign w:val="center"/>
          </w:tcPr>
          <w:p w14:paraId="7F268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2146" w:type="dxa"/>
            <w:vMerge w:val="continue"/>
            <w:tcBorders>
              <w:tl2br w:val="nil"/>
              <w:tr2bl w:val="nil"/>
            </w:tcBorders>
            <w:vAlign w:val="center"/>
          </w:tcPr>
          <w:p w14:paraId="43017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r>
      <w:tr w14:paraId="26E8B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510F8D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63C9F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6D8E7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运输、废石堆场扬尘</w:t>
            </w:r>
          </w:p>
        </w:tc>
        <w:tc>
          <w:tcPr>
            <w:tcW w:w="2540" w:type="dxa"/>
            <w:tcBorders>
              <w:tl2br w:val="nil"/>
              <w:tr2bl w:val="nil"/>
            </w:tcBorders>
            <w:vAlign w:val="center"/>
          </w:tcPr>
          <w:p w14:paraId="41AC9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洒水、路面碎石铺设、车辆冲洗</w:t>
            </w:r>
          </w:p>
        </w:tc>
        <w:tc>
          <w:tcPr>
            <w:tcW w:w="934" w:type="dxa"/>
            <w:tcBorders>
              <w:tl2br w:val="nil"/>
              <w:tr2bl w:val="nil"/>
            </w:tcBorders>
            <w:vAlign w:val="center"/>
          </w:tcPr>
          <w:p w14:paraId="3E8B6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p>
        </w:tc>
        <w:tc>
          <w:tcPr>
            <w:tcW w:w="996" w:type="dxa"/>
            <w:tcBorders>
              <w:tl2br w:val="nil"/>
              <w:tr2bl w:val="nil"/>
            </w:tcBorders>
            <w:vAlign w:val="center"/>
          </w:tcPr>
          <w:p w14:paraId="5E681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运输、废石堆场扬尘</w:t>
            </w:r>
          </w:p>
        </w:tc>
        <w:tc>
          <w:tcPr>
            <w:tcW w:w="2146" w:type="dxa"/>
            <w:vMerge w:val="continue"/>
            <w:tcBorders>
              <w:tl2br w:val="nil"/>
              <w:tr2bl w:val="nil"/>
            </w:tcBorders>
            <w:vAlign w:val="center"/>
          </w:tcPr>
          <w:p w14:paraId="1F41D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r>
      <w:tr w14:paraId="4C5CA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7" w:type="dxa"/>
            <w:vMerge w:val="continue"/>
            <w:tcBorders>
              <w:tl2br w:val="nil"/>
              <w:tr2bl w:val="nil"/>
            </w:tcBorders>
            <w:vAlign w:val="center"/>
          </w:tcPr>
          <w:p w14:paraId="239AB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restart"/>
            <w:tcBorders>
              <w:tl2br w:val="nil"/>
              <w:tr2bl w:val="nil"/>
            </w:tcBorders>
            <w:vAlign w:val="center"/>
          </w:tcPr>
          <w:p w14:paraId="0A707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废水</w:t>
            </w:r>
          </w:p>
        </w:tc>
        <w:tc>
          <w:tcPr>
            <w:tcW w:w="910" w:type="dxa"/>
            <w:tcBorders>
              <w:tl2br w:val="nil"/>
              <w:tr2bl w:val="nil"/>
            </w:tcBorders>
            <w:vAlign w:val="center"/>
          </w:tcPr>
          <w:p w14:paraId="69CDC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矿井涌水</w:t>
            </w:r>
          </w:p>
        </w:tc>
        <w:tc>
          <w:tcPr>
            <w:tcW w:w="2540" w:type="dxa"/>
            <w:tcBorders>
              <w:tl2br w:val="nil"/>
              <w:tr2bl w:val="nil"/>
            </w:tcBorders>
            <w:vAlign w:val="center"/>
          </w:tcPr>
          <w:p w14:paraId="63B0B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经沉淀处理后回用于井下生产用水</w:t>
            </w:r>
            <w:r>
              <w:rPr>
                <w:rFonts w:hint="eastAsia" w:cs="Times New Roman"/>
                <w:snapToGrid/>
                <w:color w:val="000000" w:themeColor="text1"/>
                <w:kern w:val="2"/>
                <w:sz w:val="21"/>
                <w:szCs w:val="21"/>
                <w:highlight w:val="none"/>
                <w:lang w:val="en-US" w:eastAsia="zh-CN" w:bidi="ar-SA"/>
                <w14:textFill>
                  <w14:solidFill>
                    <w14:schemeClr w14:val="tx1"/>
                  </w14:solidFill>
                </w14:textFill>
              </w:rPr>
              <w:t>、道路洒水抑尘</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r>
              <w:rPr>
                <w:rFonts w:hint="eastAsia" w:cs="Times New Roman"/>
                <w:snapToGrid/>
                <w:color w:val="000000" w:themeColor="text1"/>
                <w:kern w:val="2"/>
                <w:sz w:val="21"/>
                <w:szCs w:val="21"/>
                <w:highlight w:val="none"/>
                <w:lang w:val="en-US" w:eastAsia="zh-CN" w:bidi="ar-SA"/>
                <w14:textFill>
                  <w14:solidFill>
                    <w14:schemeClr w14:val="tx1"/>
                  </w14:solidFill>
                </w14:textFill>
              </w:rPr>
              <w:t>其余</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输送至选厂用</w:t>
            </w:r>
            <w:r>
              <w:rPr>
                <w:rFonts w:hint="eastAsia" w:cs="Times New Roman"/>
                <w:snapToGrid/>
                <w:color w:val="000000" w:themeColor="text1"/>
                <w:kern w:val="2"/>
                <w:sz w:val="21"/>
                <w:szCs w:val="21"/>
                <w:highlight w:val="none"/>
                <w:lang w:val="en-US" w:eastAsia="zh-CN" w:bidi="ar-SA"/>
                <w14:textFill>
                  <w14:solidFill>
                    <w14:schemeClr w14:val="tx1"/>
                  </w14:solidFill>
                </w14:textFill>
              </w:rPr>
              <w:t>于</w:t>
            </w:r>
            <w:r>
              <w:rPr>
                <w:rFonts w:hint="eastAsia" w:ascii="Times New Roman" w:hAnsi="Times New Roman" w:eastAsia="宋体" w:cs="Times New Roman"/>
                <w:color w:val="000000" w:themeColor="text1"/>
                <w:sz w:val="21"/>
                <w:szCs w:val="21"/>
                <w:highlight w:val="none"/>
                <w14:textFill>
                  <w14:solidFill>
                    <w14:schemeClr w14:val="tx1"/>
                  </w14:solidFill>
                </w14:textFill>
              </w:rPr>
              <w:t>选矿生产</w:t>
            </w:r>
            <w:r>
              <w:rPr>
                <w:rFonts w:hint="eastAsia" w:ascii="Times New Roman" w:hAnsi="Times New Roman" w:eastAsia="宋体" w:cs="Times New Roman"/>
                <w:color w:val="000000" w:themeColor="text1"/>
                <w:sz w:val="21"/>
                <w:szCs w:val="21"/>
                <w:highlight w:val="none"/>
                <w:lang w:bidi="ar-SA"/>
                <w14:textFill>
                  <w14:solidFill>
                    <w14:schemeClr w14:val="tx1"/>
                  </w14:solidFill>
                </w14:textFill>
              </w:rPr>
              <w:t>、降尘</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，不外排。</w:t>
            </w:r>
          </w:p>
        </w:tc>
        <w:tc>
          <w:tcPr>
            <w:tcW w:w="934" w:type="dxa"/>
            <w:tcBorders>
              <w:tl2br w:val="nil"/>
              <w:tr2bl w:val="nil"/>
            </w:tcBorders>
            <w:vAlign w:val="center"/>
          </w:tcPr>
          <w:p w14:paraId="36BC3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1</w:t>
            </w:r>
          </w:p>
        </w:tc>
        <w:tc>
          <w:tcPr>
            <w:tcW w:w="996" w:type="dxa"/>
            <w:tcBorders>
              <w:tl2br w:val="nil"/>
              <w:tr2bl w:val="nil"/>
            </w:tcBorders>
            <w:vAlign w:val="center"/>
          </w:tcPr>
          <w:p w14:paraId="68002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矿井</w:t>
            </w:r>
          </w:p>
          <w:p w14:paraId="211E7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涌水</w:t>
            </w:r>
          </w:p>
        </w:tc>
        <w:tc>
          <w:tcPr>
            <w:tcW w:w="2146" w:type="dxa"/>
            <w:tcBorders>
              <w:tl2br w:val="nil"/>
              <w:tr2bl w:val="nil"/>
            </w:tcBorders>
            <w:vAlign w:val="center"/>
          </w:tcPr>
          <w:p w14:paraId="644AA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全部回用，不外排</w:t>
            </w:r>
          </w:p>
        </w:tc>
      </w:tr>
      <w:tr w14:paraId="1F4E7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27" w:type="dxa"/>
            <w:vMerge w:val="continue"/>
            <w:tcBorders>
              <w:tl2br w:val="nil"/>
              <w:tr2bl w:val="nil"/>
            </w:tcBorders>
            <w:vAlign w:val="center"/>
          </w:tcPr>
          <w:p w14:paraId="77EBC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11B45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59F6E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生活污水</w:t>
            </w:r>
          </w:p>
        </w:tc>
        <w:tc>
          <w:tcPr>
            <w:tcW w:w="2540" w:type="dxa"/>
            <w:tcBorders>
              <w:tl2br w:val="nil"/>
              <w:tr2bl w:val="nil"/>
            </w:tcBorders>
            <w:vAlign w:val="center"/>
          </w:tcPr>
          <w:p w14:paraId="6B581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经一体化污水处理设施处理达标后用于矿区降尘、选矿生产。</w:t>
            </w:r>
          </w:p>
        </w:tc>
        <w:tc>
          <w:tcPr>
            <w:tcW w:w="934" w:type="dxa"/>
            <w:tcBorders>
              <w:tl2br w:val="nil"/>
              <w:tr2bl w:val="nil"/>
            </w:tcBorders>
            <w:vAlign w:val="center"/>
          </w:tcPr>
          <w:p w14:paraId="5A5BF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1</w:t>
            </w:r>
          </w:p>
        </w:tc>
        <w:tc>
          <w:tcPr>
            <w:tcW w:w="996" w:type="dxa"/>
            <w:tcBorders>
              <w:tl2br w:val="nil"/>
              <w:tr2bl w:val="nil"/>
            </w:tcBorders>
            <w:vAlign w:val="center"/>
          </w:tcPr>
          <w:p w14:paraId="62A72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生活</w:t>
            </w:r>
          </w:p>
          <w:p w14:paraId="12A88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污水</w:t>
            </w:r>
          </w:p>
        </w:tc>
        <w:tc>
          <w:tcPr>
            <w:tcW w:w="2146" w:type="dxa"/>
            <w:tcBorders>
              <w:tl2br w:val="nil"/>
              <w:tr2bl w:val="nil"/>
            </w:tcBorders>
            <w:vAlign w:val="center"/>
          </w:tcPr>
          <w:p w14:paraId="5D10F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全部回用，不外排</w:t>
            </w:r>
          </w:p>
        </w:tc>
      </w:tr>
      <w:tr w14:paraId="72BA0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427" w:type="dxa"/>
            <w:vMerge w:val="continue"/>
            <w:tcBorders>
              <w:tl2br w:val="nil"/>
              <w:tr2bl w:val="nil"/>
            </w:tcBorders>
            <w:vAlign w:val="center"/>
          </w:tcPr>
          <w:p w14:paraId="54872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3D1267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77634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地下水</w:t>
            </w:r>
          </w:p>
        </w:tc>
        <w:tc>
          <w:tcPr>
            <w:tcW w:w="2540" w:type="dxa"/>
            <w:tcBorders>
              <w:tl2br w:val="nil"/>
              <w:tr2bl w:val="nil"/>
            </w:tcBorders>
            <w:vAlign w:val="center"/>
          </w:tcPr>
          <w:p w14:paraId="1804D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地下水</w:t>
            </w:r>
            <w:r>
              <w:rPr>
                <w:rFonts w:hint="eastAsia" w:cs="Times New Roman"/>
                <w:snapToGrid/>
                <w:color w:val="000000" w:themeColor="text1"/>
                <w:kern w:val="2"/>
                <w:sz w:val="21"/>
                <w:szCs w:val="21"/>
                <w:highlight w:val="none"/>
                <w:lang w:val="en-US" w:eastAsia="zh-CN" w:bidi="ar"/>
                <w14:textFill>
                  <w14:solidFill>
                    <w14:schemeClr w14:val="tx1"/>
                  </w14:solidFill>
                </w14:textFill>
              </w:rPr>
              <w:t>跟踪</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监测井</w:t>
            </w:r>
          </w:p>
        </w:tc>
        <w:tc>
          <w:tcPr>
            <w:tcW w:w="934" w:type="dxa"/>
            <w:tcBorders>
              <w:tl2br w:val="nil"/>
              <w:tr2bl w:val="nil"/>
            </w:tcBorders>
            <w:vAlign w:val="center"/>
          </w:tcPr>
          <w:p w14:paraId="7D752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cs="Times New Roman"/>
                <w:snapToGrid/>
                <w:color w:val="000000" w:themeColor="text1"/>
                <w:kern w:val="2"/>
                <w:sz w:val="21"/>
                <w:szCs w:val="21"/>
                <w:highlight w:val="none"/>
                <w:lang w:val="en-US" w:eastAsia="zh-CN" w:bidi="ar"/>
                <w14:textFill>
                  <w14:solidFill>
                    <w14:schemeClr w14:val="tx1"/>
                  </w14:solidFill>
                </w14:textFill>
              </w:rPr>
              <w:t>3</w:t>
            </w:r>
          </w:p>
        </w:tc>
        <w:tc>
          <w:tcPr>
            <w:tcW w:w="996" w:type="dxa"/>
            <w:tcBorders>
              <w:tl2br w:val="nil"/>
              <w:tr2bl w:val="nil"/>
            </w:tcBorders>
            <w:vAlign w:val="center"/>
          </w:tcPr>
          <w:p w14:paraId="063BB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地下水</w:t>
            </w:r>
          </w:p>
        </w:tc>
        <w:tc>
          <w:tcPr>
            <w:tcW w:w="2146" w:type="dxa"/>
            <w:tcBorders>
              <w:tl2br w:val="nil"/>
              <w:tr2bl w:val="nil"/>
            </w:tcBorders>
            <w:vAlign w:val="center"/>
          </w:tcPr>
          <w:p w14:paraId="1F3CA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地下水满足《地下水质量标准》（</w:t>
            </w: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GB/T14848-2017</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Ⅲ</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类标准</w:t>
            </w:r>
          </w:p>
        </w:tc>
      </w:tr>
      <w:tr w14:paraId="0B1B2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27" w:type="dxa"/>
            <w:vMerge w:val="continue"/>
            <w:tcBorders>
              <w:tl2br w:val="nil"/>
              <w:tr2bl w:val="nil"/>
            </w:tcBorders>
            <w:vAlign w:val="center"/>
          </w:tcPr>
          <w:p w14:paraId="48AD5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tcBorders>
              <w:tl2br w:val="nil"/>
              <w:tr2bl w:val="nil"/>
            </w:tcBorders>
            <w:vAlign w:val="center"/>
          </w:tcPr>
          <w:p w14:paraId="06035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噪声</w:t>
            </w:r>
          </w:p>
        </w:tc>
        <w:tc>
          <w:tcPr>
            <w:tcW w:w="910" w:type="dxa"/>
            <w:tcBorders>
              <w:tl2br w:val="nil"/>
              <w:tr2bl w:val="nil"/>
            </w:tcBorders>
            <w:vAlign w:val="center"/>
          </w:tcPr>
          <w:p w14:paraId="2C90B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空压机、通风机等</w:t>
            </w:r>
          </w:p>
        </w:tc>
        <w:tc>
          <w:tcPr>
            <w:tcW w:w="2540" w:type="dxa"/>
            <w:tcBorders>
              <w:tl2br w:val="nil"/>
              <w:tr2bl w:val="nil"/>
            </w:tcBorders>
            <w:vAlign w:val="center"/>
          </w:tcPr>
          <w:p w14:paraId="137DC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采用低噪声设备，对噪声源</w:t>
            </w:r>
            <w:r>
              <w:rPr>
                <w:rFonts w:hint="eastAsia" w:cs="Times New Roman"/>
                <w:snapToGrid/>
                <w:color w:val="000000" w:themeColor="text1"/>
                <w:kern w:val="2"/>
                <w:sz w:val="21"/>
                <w:szCs w:val="21"/>
                <w:highlight w:val="none"/>
                <w:lang w:val="en-US" w:eastAsia="zh-CN" w:bidi="ar"/>
                <w14:textFill>
                  <w14:solidFill>
                    <w14:schemeClr w14:val="tx1"/>
                  </w14:solidFill>
                </w14:textFill>
              </w:rPr>
              <w:t>进行隔声、</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设置</w:t>
            </w:r>
            <w:r>
              <w:rPr>
                <w:rFonts w:hint="eastAsia" w:cs="Times New Roman"/>
                <w:snapToGrid/>
                <w:color w:val="000000" w:themeColor="text1"/>
                <w:kern w:val="2"/>
                <w:sz w:val="21"/>
                <w:szCs w:val="21"/>
                <w:highlight w:val="none"/>
                <w:lang w:val="en-US" w:eastAsia="zh-CN" w:bidi="ar"/>
                <w14:textFill>
                  <w14:solidFill>
                    <w14:schemeClr w14:val="tx1"/>
                  </w14:solidFill>
                </w14:textFill>
              </w:rPr>
              <w:t>减振</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装置</w:t>
            </w:r>
          </w:p>
        </w:tc>
        <w:tc>
          <w:tcPr>
            <w:tcW w:w="934" w:type="dxa"/>
            <w:tcBorders>
              <w:tl2br w:val="nil"/>
              <w:tr2bl w:val="nil"/>
            </w:tcBorders>
            <w:vAlign w:val="center"/>
          </w:tcPr>
          <w:p w14:paraId="4570F1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p>
        </w:tc>
        <w:tc>
          <w:tcPr>
            <w:tcW w:w="996" w:type="dxa"/>
            <w:tcBorders>
              <w:tl2br w:val="nil"/>
              <w:tr2bl w:val="nil"/>
            </w:tcBorders>
            <w:vAlign w:val="center"/>
          </w:tcPr>
          <w:p w14:paraId="1823E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噪声</w:t>
            </w:r>
          </w:p>
        </w:tc>
        <w:tc>
          <w:tcPr>
            <w:tcW w:w="2146" w:type="dxa"/>
            <w:tcBorders>
              <w:tl2br w:val="nil"/>
              <w:tr2bl w:val="nil"/>
            </w:tcBorders>
            <w:vAlign w:val="center"/>
          </w:tcPr>
          <w:p w14:paraId="1E057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厂界噪声达到《工业企业厂界环境噪声排放标准》2类标准</w:t>
            </w:r>
          </w:p>
        </w:tc>
      </w:tr>
      <w:tr w14:paraId="5D0EF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4585F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restart"/>
            <w:tcBorders>
              <w:tl2br w:val="nil"/>
              <w:tr2bl w:val="nil"/>
            </w:tcBorders>
            <w:vAlign w:val="center"/>
          </w:tcPr>
          <w:p w14:paraId="72D55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固废</w:t>
            </w:r>
          </w:p>
        </w:tc>
        <w:tc>
          <w:tcPr>
            <w:tcW w:w="910" w:type="dxa"/>
            <w:tcBorders>
              <w:tl2br w:val="nil"/>
              <w:tr2bl w:val="nil"/>
            </w:tcBorders>
            <w:vAlign w:val="center"/>
          </w:tcPr>
          <w:p w14:paraId="16CB8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废石</w:t>
            </w:r>
          </w:p>
        </w:tc>
        <w:tc>
          <w:tcPr>
            <w:tcW w:w="2540" w:type="dxa"/>
            <w:tcBorders>
              <w:tl2br w:val="nil"/>
              <w:tr2bl w:val="nil"/>
            </w:tcBorders>
            <w:vAlign w:val="center"/>
          </w:tcPr>
          <w:p w14:paraId="4B318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0"/>
                <w:sz w:val="21"/>
                <w:szCs w:val="21"/>
                <w:highlight w:val="none"/>
                <w:lang w:val="en-US" w:eastAsia="zh-CN" w:bidi="ar"/>
                <w14:textFill>
                  <w14:solidFill>
                    <w14:schemeClr w14:val="tx1"/>
                  </w14:solidFill>
                </w14:textFill>
              </w:rPr>
              <w:t>废石堆放至</w:t>
            </w:r>
            <w:r>
              <w:rPr>
                <w:rFonts w:hint="eastAsia" w:cs="Times New Roman"/>
                <w:snapToGrid/>
                <w:color w:val="000000" w:themeColor="text1"/>
                <w:kern w:val="0"/>
                <w:sz w:val="21"/>
                <w:szCs w:val="21"/>
                <w:highlight w:val="none"/>
                <w:lang w:val="en-US" w:eastAsia="zh-CN" w:bidi="ar"/>
                <w14:textFill>
                  <w14:solidFill>
                    <w14:schemeClr w14:val="tx1"/>
                  </w14:solidFill>
                </w14:textFill>
              </w:rPr>
              <w:t>废石堆场，待开采结束并稳沉后，回填至采空区</w:t>
            </w:r>
          </w:p>
        </w:tc>
        <w:tc>
          <w:tcPr>
            <w:tcW w:w="934" w:type="dxa"/>
            <w:tcBorders>
              <w:tl2br w:val="nil"/>
              <w:tr2bl w:val="nil"/>
            </w:tcBorders>
            <w:vAlign w:val="center"/>
          </w:tcPr>
          <w:p w14:paraId="2262A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cs="Times New Roman"/>
                <w:snapToGrid/>
                <w:color w:val="000000" w:themeColor="text1"/>
                <w:kern w:val="2"/>
                <w:sz w:val="21"/>
                <w:highlight w:val="none"/>
                <w:lang w:val="en-US" w:eastAsia="zh-CN" w:bidi="ar-SA"/>
                <w14:textFill>
                  <w14:solidFill>
                    <w14:schemeClr w14:val="tx1"/>
                  </w14:solidFill>
                </w14:textFill>
              </w:rPr>
              <w:t>/</w:t>
            </w:r>
          </w:p>
        </w:tc>
        <w:tc>
          <w:tcPr>
            <w:tcW w:w="996" w:type="dxa"/>
            <w:tcBorders>
              <w:tl2br w:val="nil"/>
              <w:tr2bl w:val="nil"/>
            </w:tcBorders>
            <w:vAlign w:val="center"/>
          </w:tcPr>
          <w:p w14:paraId="068DC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废石</w:t>
            </w:r>
          </w:p>
        </w:tc>
        <w:tc>
          <w:tcPr>
            <w:tcW w:w="2146" w:type="dxa"/>
            <w:tcBorders>
              <w:tl2br w:val="nil"/>
              <w:tr2bl w:val="nil"/>
            </w:tcBorders>
            <w:vAlign w:val="center"/>
          </w:tcPr>
          <w:p w14:paraId="4B195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废石综合利用</w:t>
            </w:r>
          </w:p>
        </w:tc>
      </w:tr>
      <w:tr w14:paraId="093EE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66789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387D8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45AAF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危废</w:t>
            </w:r>
          </w:p>
        </w:tc>
        <w:tc>
          <w:tcPr>
            <w:tcW w:w="2540" w:type="dxa"/>
            <w:tcBorders>
              <w:tl2br w:val="nil"/>
              <w:tr2bl w:val="nil"/>
            </w:tcBorders>
            <w:vAlign w:val="center"/>
          </w:tcPr>
          <w:p w14:paraId="7BFF0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cs="Times New Roman"/>
                <w:snapToGrid/>
                <w:color w:val="000000" w:themeColor="text1"/>
                <w:kern w:val="2"/>
                <w:sz w:val="21"/>
                <w:szCs w:val="21"/>
                <w:highlight w:val="none"/>
                <w:lang w:val="en-US" w:eastAsia="zh-CN" w:bidi="ar"/>
                <w14:textFill>
                  <w14:solidFill>
                    <w14:schemeClr w14:val="tx1"/>
                  </w14:solidFill>
                </w14:textFill>
              </w:rPr>
              <w:t>废矿物油</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暂存于防渗</w:t>
            </w:r>
            <w:r>
              <w:rPr>
                <w:rFonts w:hint="eastAsia" w:cs="Times New Roman"/>
                <w:snapToGrid/>
                <w:color w:val="000000" w:themeColor="text1"/>
                <w:kern w:val="2"/>
                <w:sz w:val="21"/>
                <w:szCs w:val="21"/>
                <w:highlight w:val="none"/>
                <w:lang w:val="en-US" w:eastAsia="zh-CN" w:bidi="ar"/>
                <w14:textFill>
                  <w14:solidFill>
                    <w14:schemeClr w14:val="tx1"/>
                  </w14:solidFill>
                </w14:textFill>
              </w:rPr>
              <w:t>危废贮存点</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，定期交由有资质单位处置</w:t>
            </w:r>
          </w:p>
        </w:tc>
        <w:tc>
          <w:tcPr>
            <w:tcW w:w="934" w:type="dxa"/>
            <w:tcBorders>
              <w:tl2br w:val="nil"/>
              <w:tr2bl w:val="nil"/>
            </w:tcBorders>
            <w:vAlign w:val="center"/>
          </w:tcPr>
          <w:p w14:paraId="57D45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1</w:t>
            </w:r>
          </w:p>
        </w:tc>
        <w:tc>
          <w:tcPr>
            <w:tcW w:w="996" w:type="dxa"/>
            <w:tcBorders>
              <w:tl2br w:val="nil"/>
              <w:tr2bl w:val="nil"/>
            </w:tcBorders>
            <w:vAlign w:val="center"/>
          </w:tcPr>
          <w:p w14:paraId="34525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危废</w:t>
            </w:r>
          </w:p>
        </w:tc>
        <w:tc>
          <w:tcPr>
            <w:tcW w:w="2146" w:type="dxa"/>
            <w:tcBorders>
              <w:tl2br w:val="nil"/>
              <w:tr2bl w:val="nil"/>
            </w:tcBorders>
            <w:vAlign w:val="center"/>
          </w:tcPr>
          <w:p w14:paraId="17897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t>《危险废物贮存污染控制标准》（GB18597-2023）</w:t>
            </w:r>
          </w:p>
        </w:tc>
      </w:tr>
      <w:tr w14:paraId="6BDB8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762BE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4CE38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7A3C6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t>沉淀污泥</w:t>
            </w:r>
          </w:p>
        </w:tc>
        <w:tc>
          <w:tcPr>
            <w:tcW w:w="2540" w:type="dxa"/>
            <w:tcBorders>
              <w:tl2br w:val="nil"/>
              <w:tr2bl w:val="nil"/>
            </w:tcBorders>
            <w:vAlign w:val="center"/>
          </w:tcPr>
          <w:p w14:paraId="4DF9D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定期回填于采空区或综合利用</w:t>
            </w:r>
          </w:p>
        </w:tc>
        <w:tc>
          <w:tcPr>
            <w:tcW w:w="934" w:type="dxa"/>
            <w:tcBorders>
              <w:tl2br w:val="nil"/>
              <w:tr2bl w:val="nil"/>
            </w:tcBorders>
            <w:vAlign w:val="center"/>
          </w:tcPr>
          <w:p w14:paraId="1C7497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p>
        </w:tc>
        <w:tc>
          <w:tcPr>
            <w:tcW w:w="996" w:type="dxa"/>
            <w:tcBorders>
              <w:tl2br w:val="nil"/>
              <w:tr2bl w:val="nil"/>
            </w:tcBorders>
            <w:vAlign w:val="center"/>
          </w:tcPr>
          <w:p w14:paraId="325E2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固废</w:t>
            </w:r>
          </w:p>
        </w:tc>
        <w:tc>
          <w:tcPr>
            <w:tcW w:w="2146" w:type="dxa"/>
            <w:tcBorders>
              <w:tl2br w:val="nil"/>
              <w:tr2bl w:val="nil"/>
            </w:tcBorders>
            <w:vAlign w:val="center"/>
          </w:tcPr>
          <w:p w14:paraId="5E9BF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综合利用，不外排</w:t>
            </w:r>
          </w:p>
        </w:tc>
      </w:tr>
      <w:tr w14:paraId="42174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77E4E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3DB69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6EE208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生活垃圾</w:t>
            </w:r>
          </w:p>
        </w:tc>
        <w:tc>
          <w:tcPr>
            <w:tcW w:w="2540" w:type="dxa"/>
            <w:tcBorders>
              <w:tl2br w:val="nil"/>
              <w:tr2bl w:val="nil"/>
            </w:tcBorders>
            <w:vAlign w:val="center"/>
          </w:tcPr>
          <w:p w14:paraId="0D622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生活垃圾集中收集，定期拉运至雅满苏镇生活垃圾填埋场填埋处置</w:t>
            </w:r>
          </w:p>
        </w:tc>
        <w:tc>
          <w:tcPr>
            <w:tcW w:w="934" w:type="dxa"/>
            <w:tcBorders>
              <w:tl2br w:val="nil"/>
              <w:tr2bl w:val="nil"/>
            </w:tcBorders>
            <w:vAlign w:val="center"/>
          </w:tcPr>
          <w:p w14:paraId="3E3E1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1</w:t>
            </w:r>
          </w:p>
        </w:tc>
        <w:tc>
          <w:tcPr>
            <w:tcW w:w="996" w:type="dxa"/>
            <w:tcBorders>
              <w:tl2br w:val="nil"/>
              <w:tr2bl w:val="nil"/>
            </w:tcBorders>
            <w:vAlign w:val="center"/>
          </w:tcPr>
          <w:p w14:paraId="3836BC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生活</w:t>
            </w:r>
          </w:p>
          <w:p w14:paraId="55B16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垃圾</w:t>
            </w:r>
          </w:p>
        </w:tc>
        <w:tc>
          <w:tcPr>
            <w:tcW w:w="2146" w:type="dxa"/>
            <w:tcBorders>
              <w:tl2br w:val="nil"/>
              <w:tr2bl w:val="nil"/>
            </w:tcBorders>
            <w:vAlign w:val="center"/>
          </w:tcPr>
          <w:p w14:paraId="61C11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合理处置</w:t>
            </w:r>
          </w:p>
        </w:tc>
      </w:tr>
      <w:tr w14:paraId="1BCF0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75E723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5A8F58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120D7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生活污水处理站底泥</w:t>
            </w:r>
          </w:p>
        </w:tc>
        <w:tc>
          <w:tcPr>
            <w:tcW w:w="2540" w:type="dxa"/>
            <w:tcBorders>
              <w:tl2br w:val="nil"/>
              <w:tr2bl w:val="nil"/>
            </w:tcBorders>
            <w:vAlign w:val="center"/>
          </w:tcPr>
          <w:p w14:paraId="5E35D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集中收集，定期拉运至雅满苏镇生活垃圾填埋场填埋处置</w:t>
            </w:r>
          </w:p>
        </w:tc>
        <w:tc>
          <w:tcPr>
            <w:tcW w:w="934" w:type="dxa"/>
            <w:tcBorders>
              <w:tl2br w:val="nil"/>
              <w:tr2bl w:val="nil"/>
            </w:tcBorders>
            <w:vAlign w:val="center"/>
          </w:tcPr>
          <w:p w14:paraId="7494D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p>
        </w:tc>
        <w:tc>
          <w:tcPr>
            <w:tcW w:w="996" w:type="dxa"/>
            <w:tcBorders>
              <w:tl2br w:val="nil"/>
              <w:tr2bl w:val="nil"/>
            </w:tcBorders>
            <w:vAlign w:val="center"/>
          </w:tcPr>
          <w:p w14:paraId="21D53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固废</w:t>
            </w:r>
          </w:p>
        </w:tc>
        <w:tc>
          <w:tcPr>
            <w:tcW w:w="2146" w:type="dxa"/>
            <w:tcBorders>
              <w:tl2br w:val="nil"/>
              <w:tr2bl w:val="nil"/>
            </w:tcBorders>
            <w:vAlign w:val="center"/>
          </w:tcPr>
          <w:p w14:paraId="54453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合理处置</w:t>
            </w:r>
          </w:p>
        </w:tc>
      </w:tr>
      <w:tr w14:paraId="2B973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732D1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tcBorders>
              <w:tl2br w:val="nil"/>
              <w:tr2bl w:val="nil"/>
            </w:tcBorders>
            <w:vAlign w:val="center"/>
          </w:tcPr>
          <w:p w14:paraId="70159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环境风险</w:t>
            </w:r>
          </w:p>
        </w:tc>
        <w:tc>
          <w:tcPr>
            <w:tcW w:w="910" w:type="dxa"/>
            <w:tcBorders>
              <w:tl2br w:val="nil"/>
              <w:tr2bl w:val="nil"/>
            </w:tcBorders>
            <w:vAlign w:val="center"/>
          </w:tcPr>
          <w:p w14:paraId="417E9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cs="Times New Roman"/>
                <w:snapToGrid/>
                <w:color w:val="000000" w:themeColor="text1"/>
                <w:kern w:val="2"/>
                <w:sz w:val="21"/>
                <w:szCs w:val="21"/>
                <w:highlight w:val="none"/>
                <w:lang w:val="en-US" w:eastAsia="zh-CN" w:bidi="ar"/>
                <w14:textFill>
                  <w14:solidFill>
                    <w14:schemeClr w14:val="tx1"/>
                  </w14:solidFill>
                </w14:textFill>
              </w:rPr>
              <w:t>危废贮存点、柴油库等</w:t>
            </w:r>
          </w:p>
        </w:tc>
        <w:tc>
          <w:tcPr>
            <w:tcW w:w="2540" w:type="dxa"/>
            <w:tcBorders>
              <w:tl2br w:val="nil"/>
              <w:tr2bl w:val="nil"/>
            </w:tcBorders>
            <w:vAlign w:val="center"/>
          </w:tcPr>
          <w:p w14:paraId="2C6D9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制定突发环境事件应急预案，危废贮存点防渗、设置收集池、</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配备消防器材</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设置警戒设施，设置防静电设施、避雷针和接地保护</w:t>
            </w: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934" w:type="dxa"/>
            <w:tcBorders>
              <w:tl2br w:val="nil"/>
              <w:tr2bl w:val="nil"/>
            </w:tcBorders>
            <w:vAlign w:val="center"/>
          </w:tcPr>
          <w:p w14:paraId="5D22D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1</w:t>
            </w:r>
          </w:p>
        </w:tc>
        <w:tc>
          <w:tcPr>
            <w:tcW w:w="3142" w:type="dxa"/>
            <w:gridSpan w:val="2"/>
            <w:tcBorders>
              <w:tl2br w:val="nil"/>
              <w:tr2bl w:val="nil"/>
            </w:tcBorders>
            <w:vAlign w:val="center"/>
          </w:tcPr>
          <w:p w14:paraId="3C8FB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cs="Times New Roman"/>
                <w:snapToGrid/>
                <w:color w:val="000000" w:themeColor="text1"/>
                <w:kern w:val="2"/>
                <w:sz w:val="21"/>
                <w:highlight w:val="none"/>
                <w:lang w:val="en-US" w:eastAsia="zh-CN" w:bidi="ar-SA"/>
                <w14:textFill>
                  <w14:solidFill>
                    <w14:schemeClr w14:val="tx1"/>
                  </w14:solidFill>
                </w14:textFill>
              </w:rPr>
              <w:t>不破坏地下水和土壤</w:t>
            </w:r>
          </w:p>
        </w:tc>
      </w:tr>
      <w:tr w14:paraId="3D1F3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7624D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p>
        </w:tc>
        <w:tc>
          <w:tcPr>
            <w:tcW w:w="590" w:type="dxa"/>
            <w:tcBorders>
              <w:tl2br w:val="nil"/>
              <w:tr2bl w:val="nil"/>
            </w:tcBorders>
            <w:vAlign w:val="center"/>
          </w:tcPr>
          <w:p w14:paraId="33337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生态</w:t>
            </w:r>
          </w:p>
        </w:tc>
        <w:tc>
          <w:tcPr>
            <w:tcW w:w="910" w:type="dxa"/>
            <w:tcBorders>
              <w:tl2br w:val="nil"/>
              <w:tr2bl w:val="nil"/>
            </w:tcBorders>
            <w:vAlign w:val="center"/>
          </w:tcPr>
          <w:p w14:paraId="7E491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施工场地恢复</w:t>
            </w:r>
          </w:p>
        </w:tc>
        <w:tc>
          <w:tcPr>
            <w:tcW w:w="2540" w:type="dxa"/>
            <w:tcBorders>
              <w:tl2br w:val="nil"/>
              <w:tr2bl w:val="nil"/>
            </w:tcBorders>
            <w:vAlign w:val="center"/>
          </w:tcPr>
          <w:p w14:paraId="737DA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spacing w:val="6"/>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spacing w:val="6"/>
                <w:kern w:val="2"/>
                <w:sz w:val="21"/>
                <w:szCs w:val="21"/>
                <w:highlight w:val="none"/>
                <w:lang w:val="en-US" w:eastAsia="zh-CN" w:bidi="ar"/>
                <w14:textFill>
                  <w14:solidFill>
                    <w14:schemeClr w14:val="tx1"/>
                  </w14:solidFill>
                </w14:textFill>
              </w:rPr>
              <w:t>/</w:t>
            </w:r>
          </w:p>
        </w:tc>
        <w:tc>
          <w:tcPr>
            <w:tcW w:w="934" w:type="dxa"/>
            <w:tcBorders>
              <w:tl2br w:val="nil"/>
              <w:tr2bl w:val="nil"/>
            </w:tcBorders>
            <w:vAlign w:val="center"/>
          </w:tcPr>
          <w:p w14:paraId="06255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p>
        </w:tc>
        <w:tc>
          <w:tcPr>
            <w:tcW w:w="3142" w:type="dxa"/>
            <w:gridSpan w:val="2"/>
            <w:tcBorders>
              <w:tl2br w:val="nil"/>
              <w:tr2bl w:val="nil"/>
            </w:tcBorders>
            <w:vAlign w:val="center"/>
          </w:tcPr>
          <w:p w14:paraId="0F530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spacing w:val="6"/>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6"/>
                <w:kern w:val="2"/>
                <w:sz w:val="21"/>
                <w:szCs w:val="21"/>
                <w:highlight w:val="none"/>
                <w:lang w:val="en-US" w:eastAsia="zh-CN" w:bidi="ar"/>
                <w14:textFill>
                  <w14:solidFill>
                    <w14:schemeClr w14:val="tx1"/>
                  </w14:solidFill>
                </w14:textFill>
              </w:rPr>
              <w:t>对施工遗迹进行恢复</w:t>
            </w:r>
          </w:p>
        </w:tc>
      </w:tr>
      <w:tr w14:paraId="46894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restart"/>
            <w:tcBorders>
              <w:tl2br w:val="nil"/>
              <w:tr2bl w:val="nil"/>
            </w:tcBorders>
            <w:vAlign w:val="center"/>
          </w:tcPr>
          <w:p w14:paraId="09AAA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闭矿期</w:t>
            </w:r>
          </w:p>
        </w:tc>
        <w:tc>
          <w:tcPr>
            <w:tcW w:w="590" w:type="dxa"/>
            <w:vMerge w:val="restart"/>
            <w:tcBorders>
              <w:tl2br w:val="nil"/>
              <w:tr2bl w:val="nil"/>
            </w:tcBorders>
            <w:vAlign w:val="center"/>
          </w:tcPr>
          <w:p w14:paraId="227B2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生态</w:t>
            </w:r>
          </w:p>
        </w:tc>
        <w:tc>
          <w:tcPr>
            <w:tcW w:w="910" w:type="dxa"/>
            <w:tcBorders>
              <w:tl2br w:val="nil"/>
              <w:tr2bl w:val="nil"/>
            </w:tcBorders>
            <w:vAlign w:val="center"/>
          </w:tcPr>
          <w:p w14:paraId="4F4CC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土地</w:t>
            </w:r>
          </w:p>
          <w:p w14:paraId="14D995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恢复</w:t>
            </w:r>
          </w:p>
        </w:tc>
        <w:tc>
          <w:tcPr>
            <w:tcW w:w="2540" w:type="dxa"/>
            <w:tcBorders>
              <w:tl2br w:val="nil"/>
              <w:tr2bl w:val="nil"/>
            </w:tcBorders>
            <w:vAlign w:val="center"/>
          </w:tcPr>
          <w:p w14:paraId="738BF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拆除不用的建筑，恢复土地原有功能</w:t>
            </w:r>
          </w:p>
        </w:tc>
        <w:tc>
          <w:tcPr>
            <w:tcW w:w="934" w:type="dxa"/>
            <w:tcBorders>
              <w:tl2br w:val="nil"/>
              <w:tr2bl w:val="nil"/>
            </w:tcBorders>
            <w:vAlign w:val="center"/>
          </w:tcPr>
          <w:p w14:paraId="7C1FE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p>
        </w:tc>
        <w:tc>
          <w:tcPr>
            <w:tcW w:w="3142" w:type="dxa"/>
            <w:gridSpan w:val="2"/>
            <w:tcBorders>
              <w:tl2br w:val="nil"/>
              <w:tr2bl w:val="nil"/>
            </w:tcBorders>
            <w:vAlign w:val="center"/>
          </w:tcPr>
          <w:p w14:paraId="7A869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6"/>
                <w:kern w:val="2"/>
                <w:sz w:val="21"/>
                <w:szCs w:val="21"/>
                <w:highlight w:val="none"/>
                <w:lang w:val="en-US" w:eastAsia="zh-CN" w:bidi="ar"/>
                <w14:textFill>
                  <w14:solidFill>
                    <w14:schemeClr w14:val="tx1"/>
                  </w14:solidFill>
                </w14:textFill>
              </w:rPr>
              <w:t>景观和植被恢复</w:t>
            </w:r>
          </w:p>
        </w:tc>
      </w:tr>
      <w:tr w14:paraId="38C42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352CD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5314E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1248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井口</w:t>
            </w:r>
          </w:p>
          <w:p w14:paraId="03A1C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封堵</w:t>
            </w:r>
          </w:p>
        </w:tc>
        <w:tc>
          <w:tcPr>
            <w:tcW w:w="2540" w:type="dxa"/>
            <w:tcBorders>
              <w:tl2br w:val="nil"/>
              <w:tr2bl w:val="nil"/>
            </w:tcBorders>
            <w:vAlign w:val="center"/>
          </w:tcPr>
          <w:p w14:paraId="6C65F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6"/>
                <w:kern w:val="2"/>
                <w:sz w:val="21"/>
                <w:szCs w:val="21"/>
                <w:highlight w:val="none"/>
                <w:lang w:val="en-US" w:eastAsia="zh-CN" w:bidi="ar"/>
                <w14:textFill>
                  <w14:solidFill>
                    <w14:schemeClr w14:val="tx1"/>
                  </w14:solidFill>
                </w14:textFill>
              </w:rPr>
              <w:t>井口封堵完整，错动区充填或者设置围栏采取遮挡和防护措施，并设立警示牌</w:t>
            </w:r>
          </w:p>
        </w:tc>
        <w:tc>
          <w:tcPr>
            <w:tcW w:w="934" w:type="dxa"/>
            <w:tcBorders>
              <w:tl2br w:val="nil"/>
              <w:tr2bl w:val="nil"/>
            </w:tcBorders>
            <w:vAlign w:val="center"/>
          </w:tcPr>
          <w:p w14:paraId="49784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p>
        </w:tc>
        <w:tc>
          <w:tcPr>
            <w:tcW w:w="3142" w:type="dxa"/>
            <w:gridSpan w:val="2"/>
            <w:tcBorders>
              <w:tl2br w:val="nil"/>
              <w:tr2bl w:val="nil"/>
            </w:tcBorders>
            <w:vAlign w:val="center"/>
          </w:tcPr>
          <w:p w14:paraId="1A942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矿山闭矿后安全管理，防止野生动物掉进矿井及错动区</w:t>
            </w:r>
          </w:p>
        </w:tc>
      </w:tr>
      <w:tr w14:paraId="37A0E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14:paraId="46F5C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590" w:type="dxa"/>
            <w:vMerge w:val="continue"/>
            <w:tcBorders>
              <w:tl2br w:val="nil"/>
              <w:tr2bl w:val="nil"/>
            </w:tcBorders>
            <w:vAlign w:val="center"/>
          </w:tcPr>
          <w:p w14:paraId="7729C8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0"/>
                <w:szCs w:val="20"/>
                <w:highlight w:val="none"/>
                <w:lang w:val="en-US" w:eastAsia="zh-CN" w:bidi="ar-SA"/>
                <w14:textFill>
                  <w14:solidFill>
                    <w14:schemeClr w14:val="tx1"/>
                  </w14:solidFill>
                </w14:textFill>
              </w:rPr>
            </w:pPr>
          </w:p>
        </w:tc>
        <w:tc>
          <w:tcPr>
            <w:tcW w:w="910" w:type="dxa"/>
            <w:tcBorders>
              <w:tl2br w:val="nil"/>
              <w:tr2bl w:val="nil"/>
            </w:tcBorders>
            <w:vAlign w:val="center"/>
          </w:tcPr>
          <w:p w14:paraId="2DD24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采矿</w:t>
            </w:r>
          </w:p>
          <w:p w14:paraId="53EEF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回填</w:t>
            </w:r>
          </w:p>
        </w:tc>
        <w:tc>
          <w:tcPr>
            <w:tcW w:w="2540" w:type="dxa"/>
            <w:tcBorders>
              <w:tl2br w:val="nil"/>
              <w:tr2bl w:val="nil"/>
            </w:tcBorders>
            <w:vAlign w:val="center"/>
          </w:tcPr>
          <w:p w14:paraId="448E2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spacing w:val="6"/>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6"/>
                <w:kern w:val="2"/>
                <w:sz w:val="21"/>
                <w:szCs w:val="21"/>
                <w:highlight w:val="none"/>
                <w:lang w:val="en-US" w:eastAsia="zh-CN" w:bidi="ar"/>
                <w14:textFill>
                  <w14:solidFill>
                    <w14:schemeClr w14:val="tx1"/>
                  </w14:solidFill>
                </w14:textFill>
              </w:rPr>
              <w:t>废石回填，尽可能恢复原有地貌</w:t>
            </w:r>
          </w:p>
        </w:tc>
        <w:tc>
          <w:tcPr>
            <w:tcW w:w="934" w:type="dxa"/>
            <w:tcBorders>
              <w:tl2br w:val="nil"/>
              <w:tr2bl w:val="nil"/>
            </w:tcBorders>
            <w:vAlign w:val="center"/>
          </w:tcPr>
          <w:p w14:paraId="35291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w:t>
            </w:r>
          </w:p>
        </w:tc>
        <w:tc>
          <w:tcPr>
            <w:tcW w:w="3142" w:type="dxa"/>
            <w:gridSpan w:val="2"/>
            <w:tcBorders>
              <w:tl2br w:val="nil"/>
              <w:tr2bl w:val="nil"/>
            </w:tcBorders>
            <w:vAlign w:val="center"/>
          </w:tcPr>
          <w:p w14:paraId="00EE1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6"/>
                <w:kern w:val="2"/>
                <w:sz w:val="21"/>
                <w:szCs w:val="21"/>
                <w:highlight w:val="none"/>
                <w:lang w:val="en-US" w:eastAsia="zh-CN" w:bidi="ar"/>
                <w14:textFill>
                  <w14:solidFill>
                    <w14:schemeClr w14:val="tx1"/>
                  </w14:solidFill>
                </w14:textFill>
              </w:rPr>
              <w:t>恢复地表植被</w:t>
            </w:r>
          </w:p>
        </w:tc>
      </w:tr>
    </w:tbl>
    <w:p w14:paraId="10F7EC72">
      <w:pPr>
        <w:keepNext/>
        <w:keepLines/>
        <w:numPr>
          <w:ilvl w:val="1"/>
          <w:numId w:val="0"/>
        </w:numPr>
        <w:spacing w:before="120" w:after="120" w:line="560" w:lineRule="exact"/>
        <w:outlineLvl w:val="1"/>
        <w:rPr>
          <w:rFonts w:ascii="Times New Roman" w:hAnsi="Times New Roman" w:eastAsia="宋体" w:cs="Times New Roman"/>
          <w:b/>
          <w:bCs/>
          <w:color w:val="000000" w:themeColor="text1"/>
          <w:sz w:val="32"/>
          <w:szCs w:val="32"/>
          <w14:textFill>
            <w14:solidFill>
              <w14:schemeClr w14:val="tx1"/>
            </w14:solidFill>
          </w14:textFill>
        </w:rPr>
      </w:pPr>
      <w:bookmarkStart w:id="732" w:name="_Toc23428"/>
      <w:bookmarkStart w:id="733" w:name="_Toc107413915"/>
      <w:bookmarkStart w:id="734" w:name="_Toc118977516"/>
      <w:bookmarkStart w:id="735" w:name="_Toc107414682"/>
      <w:r>
        <w:rPr>
          <w:rFonts w:ascii="Times New Roman" w:hAnsi="Times New Roman" w:eastAsia="宋体" w:cs="Times New Roman"/>
          <w:b/>
          <w:bCs/>
          <w:color w:val="000000" w:themeColor="text1"/>
          <w:sz w:val="32"/>
          <w:szCs w:val="32"/>
          <w14:textFill>
            <w14:solidFill>
              <w14:schemeClr w14:val="tx1"/>
            </w14:solidFill>
          </w14:textFill>
        </w:rPr>
        <w:t>8.6</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污染物排放</w:t>
      </w:r>
      <w:r>
        <w:rPr>
          <w:rFonts w:ascii="Times New Roman" w:hAnsi="Times New Roman" w:eastAsia="宋体" w:cs="Times New Roman"/>
          <w:b/>
          <w:bCs/>
          <w:color w:val="000000" w:themeColor="text1"/>
          <w:sz w:val="32"/>
          <w:szCs w:val="32"/>
          <w14:textFill>
            <w14:solidFill>
              <w14:schemeClr w14:val="tx1"/>
            </w14:solidFill>
          </w14:textFill>
        </w:rPr>
        <w:t>清单</w:t>
      </w:r>
      <w:bookmarkEnd w:id="732"/>
      <w:bookmarkEnd w:id="733"/>
      <w:bookmarkEnd w:id="734"/>
      <w:bookmarkEnd w:id="735"/>
    </w:p>
    <w:p w14:paraId="42F4C823">
      <w:pPr>
        <w:spacing w:line="480" w:lineRule="exact"/>
        <w:ind w:firstLine="48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w:t>
      </w:r>
      <w:r>
        <w:rPr>
          <w:rFonts w:hint="eastAsia" w:cs="Times New Roman"/>
          <w:color w:val="000000" w:themeColor="text1"/>
          <w:sz w:val="24"/>
          <w:lang w:val="en-US" w:eastAsia="zh-CN"/>
          <w14:textFill>
            <w14:solidFill>
              <w14:schemeClr w14:val="tx1"/>
            </w14:solidFill>
          </w14:textFill>
        </w:rPr>
        <w:t>污染物排放</w:t>
      </w:r>
      <w:r>
        <w:rPr>
          <w:rFonts w:hint="eastAsia" w:ascii="Times New Roman" w:hAnsi="Times New Roman" w:eastAsia="宋体" w:cs="Times New Roman"/>
          <w:color w:val="000000" w:themeColor="text1"/>
          <w:sz w:val="24"/>
          <w14:textFill>
            <w14:solidFill>
              <w14:schemeClr w14:val="tx1"/>
            </w14:solidFill>
          </w14:textFill>
        </w:rPr>
        <w:t>清单见表8.6-1。</w:t>
      </w:r>
    </w:p>
    <w:p w14:paraId="5D607A81">
      <w:pPr>
        <w:adjustRightInd w:val="0"/>
        <w:spacing w:line="480" w:lineRule="exact"/>
        <w:jc w:val="center"/>
        <w:textAlignment w:val="baseline"/>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 xml:space="preserve">表8.6-1    </w:t>
      </w:r>
      <w:r>
        <w:rPr>
          <w:rFonts w:hint="eastAsia" w:cs="Times New Roman"/>
          <w:b/>
          <w:color w:val="000000" w:themeColor="text1"/>
          <w:sz w:val="24"/>
          <w:szCs w:val="24"/>
          <w:lang w:val="en-US" w:eastAsia="zh-CN"/>
          <w14:textFill>
            <w14:solidFill>
              <w14:schemeClr w14:val="tx1"/>
            </w14:solidFill>
          </w14:textFill>
        </w:rPr>
        <w:t>本</w:t>
      </w:r>
      <w:r>
        <w:rPr>
          <w:rFonts w:ascii="Times New Roman" w:hAnsi="Times New Roman" w:eastAsia="宋体" w:cs="Times New Roman"/>
          <w:b/>
          <w:color w:val="000000" w:themeColor="text1"/>
          <w:sz w:val="24"/>
          <w:szCs w:val="24"/>
          <w14:textFill>
            <w14:solidFill>
              <w14:schemeClr w14:val="tx1"/>
            </w14:solidFill>
          </w14:textFill>
        </w:rPr>
        <w:t>项目</w:t>
      </w:r>
      <w:r>
        <w:rPr>
          <w:rFonts w:hint="eastAsia" w:ascii="Times New Roman" w:hAnsi="Times New Roman" w:eastAsia="宋体" w:cs="Times New Roman"/>
          <w:b/>
          <w:color w:val="000000" w:themeColor="text1"/>
          <w:sz w:val="24"/>
          <w:szCs w:val="24"/>
          <w14:textFill>
            <w14:solidFill>
              <w14:schemeClr w14:val="tx1"/>
            </w14:solidFill>
          </w14:textFill>
        </w:rPr>
        <w:t>污染物排放清单</w:t>
      </w:r>
      <w:r>
        <w:rPr>
          <w:rFonts w:ascii="Times New Roman" w:hAnsi="Times New Roman" w:eastAsia="宋体" w:cs="Times New Roman"/>
          <w:b/>
          <w:color w:val="000000" w:themeColor="text1"/>
          <w:sz w:val="24"/>
          <w:szCs w:val="24"/>
          <w14:textFill>
            <w14:solidFill>
              <w14:schemeClr w14:val="tx1"/>
            </w14:solidFill>
          </w14:textFill>
        </w:rPr>
        <w:t>一览表</w:t>
      </w:r>
    </w:p>
    <w:tbl>
      <w:tblPr>
        <w:tblStyle w:val="79"/>
        <w:tblW w:w="85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7"/>
        <w:gridCol w:w="967"/>
        <w:gridCol w:w="853"/>
        <w:gridCol w:w="1150"/>
        <w:gridCol w:w="1050"/>
        <w:gridCol w:w="1697"/>
        <w:gridCol w:w="2108"/>
      </w:tblGrid>
      <w:tr w14:paraId="343C85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2" w:hRule="atLeast"/>
          <w:tblHeader/>
          <w:jc w:val="center"/>
        </w:trPr>
        <w:tc>
          <w:tcPr>
            <w:tcW w:w="697" w:type="dxa"/>
            <w:tcBorders>
              <w:tl2br w:val="nil"/>
              <w:tr2bl w:val="nil"/>
            </w:tcBorders>
            <w:vAlign w:val="center"/>
          </w:tcPr>
          <w:p w14:paraId="02AAB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类别</w:t>
            </w:r>
          </w:p>
        </w:tc>
        <w:tc>
          <w:tcPr>
            <w:tcW w:w="967" w:type="dxa"/>
            <w:tcBorders>
              <w:tl2br w:val="nil"/>
              <w:tr2bl w:val="nil"/>
            </w:tcBorders>
            <w:vAlign w:val="center"/>
          </w:tcPr>
          <w:p w14:paraId="46F67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污染源</w:t>
            </w:r>
          </w:p>
        </w:tc>
        <w:tc>
          <w:tcPr>
            <w:tcW w:w="853" w:type="dxa"/>
            <w:tcBorders>
              <w:tl2br w:val="nil"/>
              <w:tr2bl w:val="nil"/>
            </w:tcBorders>
            <w:vAlign w:val="center"/>
          </w:tcPr>
          <w:p w14:paraId="56916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污染物</w:t>
            </w:r>
          </w:p>
        </w:tc>
        <w:tc>
          <w:tcPr>
            <w:tcW w:w="1150" w:type="dxa"/>
            <w:tcBorders>
              <w:tl2br w:val="nil"/>
              <w:tr2bl w:val="nil"/>
            </w:tcBorders>
            <w:vAlign w:val="center"/>
          </w:tcPr>
          <w:p w14:paraId="61B02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排放浓度</w:t>
            </w:r>
          </w:p>
        </w:tc>
        <w:tc>
          <w:tcPr>
            <w:tcW w:w="1050" w:type="dxa"/>
            <w:tcBorders>
              <w:tl2br w:val="nil"/>
              <w:tr2bl w:val="nil"/>
            </w:tcBorders>
            <w:vAlign w:val="center"/>
          </w:tcPr>
          <w:p w14:paraId="0C6E3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排放量</w:t>
            </w:r>
          </w:p>
        </w:tc>
        <w:tc>
          <w:tcPr>
            <w:tcW w:w="1697" w:type="dxa"/>
            <w:tcBorders>
              <w:tl2br w:val="nil"/>
              <w:tr2bl w:val="nil"/>
            </w:tcBorders>
            <w:vAlign w:val="center"/>
          </w:tcPr>
          <w:p w14:paraId="7C090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环保措施</w:t>
            </w:r>
          </w:p>
        </w:tc>
        <w:tc>
          <w:tcPr>
            <w:tcW w:w="2108" w:type="dxa"/>
            <w:tcBorders>
              <w:tl2br w:val="nil"/>
              <w:tr2bl w:val="nil"/>
            </w:tcBorders>
            <w:vAlign w:val="center"/>
          </w:tcPr>
          <w:p w14:paraId="64ED7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排放标准</w:t>
            </w:r>
          </w:p>
        </w:tc>
      </w:tr>
      <w:tr w14:paraId="4FA531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restart"/>
            <w:tcBorders>
              <w:tl2br w:val="nil"/>
              <w:tr2bl w:val="nil"/>
            </w:tcBorders>
            <w:vAlign w:val="center"/>
          </w:tcPr>
          <w:p w14:paraId="3B313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废气</w:t>
            </w:r>
          </w:p>
        </w:tc>
        <w:tc>
          <w:tcPr>
            <w:tcW w:w="967" w:type="dxa"/>
            <w:vMerge w:val="restart"/>
            <w:tcBorders>
              <w:tl2br w:val="nil"/>
              <w:tr2bl w:val="nil"/>
            </w:tcBorders>
            <w:shd w:val="clear" w:color="auto" w:fill="auto"/>
            <w:vAlign w:val="center"/>
          </w:tcPr>
          <w:p w14:paraId="4BDE50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爆破</w:t>
            </w:r>
            <w:r>
              <w:rPr>
                <w:rFonts w:hint="eastAsia" w:cs="Times New Roman"/>
                <w:snapToGrid/>
                <w:color w:val="000000" w:themeColor="text1"/>
                <w:kern w:val="2"/>
                <w:sz w:val="21"/>
                <w:szCs w:val="21"/>
                <w:highlight w:val="none"/>
                <w:lang w:val="en-US" w:eastAsia="zh-CN" w:bidi="ar-SA"/>
                <w14:textFill>
                  <w14:solidFill>
                    <w14:schemeClr w14:val="tx1"/>
                  </w14:solidFill>
                </w14:textFill>
              </w:rPr>
              <w:t>废气</w:t>
            </w:r>
          </w:p>
        </w:tc>
        <w:tc>
          <w:tcPr>
            <w:tcW w:w="853" w:type="dxa"/>
            <w:tcBorders>
              <w:tl2br w:val="nil"/>
              <w:tr2bl w:val="nil"/>
            </w:tcBorders>
            <w:shd w:val="clear" w:color="auto" w:fill="auto"/>
            <w:vAlign w:val="center"/>
          </w:tcPr>
          <w:p w14:paraId="1C56A1D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颗粒物</w:t>
            </w:r>
          </w:p>
        </w:tc>
        <w:tc>
          <w:tcPr>
            <w:tcW w:w="1150" w:type="dxa"/>
            <w:tcBorders>
              <w:tl2br w:val="nil"/>
              <w:tr2bl w:val="nil"/>
            </w:tcBorders>
            <w:shd w:val="clear" w:color="auto" w:fill="auto"/>
            <w:vAlign w:val="center"/>
          </w:tcPr>
          <w:p w14:paraId="0F5C0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shd w:val="clear" w:color="auto" w:fill="auto"/>
            <w:vAlign w:val="center"/>
          </w:tcPr>
          <w:p w14:paraId="0B66F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0.852</w:t>
            </w:r>
            <w:r>
              <w:rPr>
                <w:rFonts w:hint="eastAsia" w:ascii="Times New Roman" w:hAnsi="Times New Roman" w:cs="Times New Roman"/>
                <w:bCs/>
                <w:color w:val="000000" w:themeColor="text1"/>
                <w14:textFill>
                  <w14:solidFill>
                    <w14:schemeClr w14:val="tx1"/>
                  </w14:solidFill>
                </w14:textFill>
              </w:rPr>
              <w:t>t/a</w:t>
            </w:r>
          </w:p>
        </w:tc>
        <w:tc>
          <w:tcPr>
            <w:tcW w:w="1697" w:type="dxa"/>
            <w:vMerge w:val="restart"/>
            <w:tcBorders>
              <w:tl2br w:val="nil"/>
              <w:tr2bl w:val="nil"/>
            </w:tcBorders>
            <w:vAlign w:val="center"/>
          </w:tcPr>
          <w:p w14:paraId="0A81E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湿式凿岩、爆破后洒水除尘、加大井下通风</w:t>
            </w:r>
          </w:p>
        </w:tc>
        <w:tc>
          <w:tcPr>
            <w:tcW w:w="2108" w:type="dxa"/>
            <w:vMerge w:val="restart"/>
            <w:tcBorders>
              <w:tl2br w:val="nil"/>
              <w:tr2bl w:val="nil"/>
            </w:tcBorders>
            <w:vAlign w:val="center"/>
          </w:tcPr>
          <w:p w14:paraId="35BFAE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《铁矿采选工业污染物排放标准》（GB28661-2012）</w:t>
            </w:r>
          </w:p>
        </w:tc>
      </w:tr>
      <w:tr w14:paraId="6C92FE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6D26B9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vMerge w:val="continue"/>
            <w:tcBorders>
              <w:tl2br w:val="nil"/>
              <w:tr2bl w:val="nil"/>
            </w:tcBorders>
            <w:shd w:val="clear" w:color="auto" w:fill="auto"/>
            <w:vAlign w:val="center"/>
          </w:tcPr>
          <w:p w14:paraId="159D7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853" w:type="dxa"/>
            <w:tcBorders>
              <w:tl2br w:val="nil"/>
              <w:tr2bl w:val="nil"/>
            </w:tcBorders>
            <w:shd w:val="clear" w:color="auto" w:fill="auto"/>
            <w:vAlign w:val="center"/>
          </w:tcPr>
          <w:p w14:paraId="555C526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CO</w:t>
            </w:r>
          </w:p>
        </w:tc>
        <w:tc>
          <w:tcPr>
            <w:tcW w:w="1150" w:type="dxa"/>
            <w:tcBorders>
              <w:tl2br w:val="nil"/>
              <w:tr2bl w:val="nil"/>
            </w:tcBorders>
            <w:shd w:val="clear" w:color="auto" w:fill="auto"/>
            <w:vAlign w:val="center"/>
          </w:tcPr>
          <w:p w14:paraId="38736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shd w:val="clear" w:color="auto" w:fill="auto"/>
            <w:vAlign w:val="center"/>
          </w:tcPr>
          <w:p w14:paraId="7D2ED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1.512t/a</w:t>
            </w:r>
          </w:p>
        </w:tc>
        <w:tc>
          <w:tcPr>
            <w:tcW w:w="1697" w:type="dxa"/>
            <w:vMerge w:val="continue"/>
            <w:tcBorders>
              <w:tl2br w:val="nil"/>
              <w:tr2bl w:val="nil"/>
            </w:tcBorders>
            <w:vAlign w:val="center"/>
          </w:tcPr>
          <w:p w14:paraId="32E20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2108" w:type="dxa"/>
            <w:vMerge w:val="continue"/>
            <w:tcBorders>
              <w:tl2br w:val="nil"/>
              <w:tr2bl w:val="nil"/>
            </w:tcBorders>
            <w:vAlign w:val="center"/>
          </w:tcPr>
          <w:p w14:paraId="55F73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14F8CD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7D31AB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vMerge w:val="continue"/>
            <w:tcBorders>
              <w:tl2br w:val="nil"/>
              <w:tr2bl w:val="nil"/>
            </w:tcBorders>
            <w:shd w:val="clear" w:color="auto" w:fill="auto"/>
            <w:vAlign w:val="center"/>
          </w:tcPr>
          <w:p w14:paraId="5EF20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853" w:type="dxa"/>
            <w:tcBorders>
              <w:tl2br w:val="nil"/>
              <w:tr2bl w:val="nil"/>
            </w:tcBorders>
            <w:shd w:val="clear" w:color="auto" w:fill="auto"/>
            <w:vAlign w:val="center"/>
          </w:tcPr>
          <w:p w14:paraId="4D1D26B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NO</w:t>
            </w:r>
            <w:r>
              <w:rPr>
                <w:rFonts w:hint="eastAsia" w:ascii="Times New Roman" w:hAnsi="Times New Roman" w:eastAsia="宋体" w:cs="Times New Roman"/>
                <w:snapToGrid/>
                <w:color w:val="000000" w:themeColor="text1"/>
                <w:kern w:val="2"/>
                <w:sz w:val="21"/>
                <w:szCs w:val="21"/>
                <w:highlight w:val="none"/>
                <w:vertAlign w:val="subscript"/>
                <w:lang w:val="en-US" w:eastAsia="zh-CN" w:bidi="ar-SA"/>
                <w14:textFill>
                  <w14:solidFill>
                    <w14:schemeClr w14:val="tx1"/>
                  </w14:solidFill>
                </w14:textFill>
              </w:rPr>
              <w:t>X</w:t>
            </w:r>
          </w:p>
        </w:tc>
        <w:tc>
          <w:tcPr>
            <w:tcW w:w="1150" w:type="dxa"/>
            <w:tcBorders>
              <w:tl2br w:val="nil"/>
              <w:tr2bl w:val="nil"/>
            </w:tcBorders>
            <w:shd w:val="clear" w:color="auto" w:fill="auto"/>
            <w:vAlign w:val="center"/>
          </w:tcPr>
          <w:p w14:paraId="58BB2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shd w:val="clear" w:color="auto" w:fill="auto"/>
            <w:vAlign w:val="center"/>
          </w:tcPr>
          <w:p w14:paraId="35D19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3.504t/a</w:t>
            </w:r>
          </w:p>
        </w:tc>
        <w:tc>
          <w:tcPr>
            <w:tcW w:w="1697" w:type="dxa"/>
            <w:vMerge w:val="continue"/>
            <w:tcBorders>
              <w:tl2br w:val="nil"/>
              <w:tr2bl w:val="nil"/>
            </w:tcBorders>
            <w:vAlign w:val="center"/>
          </w:tcPr>
          <w:p w14:paraId="3763E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2108" w:type="dxa"/>
            <w:vMerge w:val="continue"/>
            <w:tcBorders>
              <w:tl2br w:val="nil"/>
              <w:tr2bl w:val="nil"/>
            </w:tcBorders>
            <w:vAlign w:val="center"/>
          </w:tcPr>
          <w:p w14:paraId="19457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183AB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697" w:type="dxa"/>
            <w:vMerge w:val="continue"/>
            <w:tcBorders>
              <w:tl2br w:val="nil"/>
              <w:tr2bl w:val="nil"/>
            </w:tcBorders>
            <w:vAlign w:val="center"/>
          </w:tcPr>
          <w:p w14:paraId="013E30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54DD339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原矿、废石井下装载、运输粉尘</w:t>
            </w:r>
          </w:p>
        </w:tc>
        <w:tc>
          <w:tcPr>
            <w:tcW w:w="853" w:type="dxa"/>
            <w:tcBorders>
              <w:tl2br w:val="nil"/>
              <w:tr2bl w:val="nil"/>
            </w:tcBorders>
            <w:vAlign w:val="center"/>
          </w:tcPr>
          <w:p w14:paraId="1F924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粉尘</w:t>
            </w:r>
          </w:p>
        </w:tc>
        <w:tc>
          <w:tcPr>
            <w:tcW w:w="1150" w:type="dxa"/>
            <w:tcBorders>
              <w:tl2br w:val="nil"/>
              <w:tr2bl w:val="nil"/>
            </w:tcBorders>
            <w:vAlign w:val="center"/>
          </w:tcPr>
          <w:p w14:paraId="076DE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7129D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697" w:type="dxa"/>
            <w:tcBorders>
              <w:tl2br w:val="nil"/>
              <w:tr2bl w:val="nil"/>
            </w:tcBorders>
            <w:vAlign w:val="center"/>
          </w:tcPr>
          <w:p w14:paraId="12A51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井下溜矿、装车等作业地点采取洒水喷雾降尘措施</w:t>
            </w:r>
          </w:p>
        </w:tc>
        <w:tc>
          <w:tcPr>
            <w:tcW w:w="2108" w:type="dxa"/>
            <w:vMerge w:val="continue"/>
            <w:tcBorders>
              <w:tl2br w:val="nil"/>
              <w:tr2bl w:val="nil"/>
            </w:tcBorders>
            <w:vAlign w:val="center"/>
          </w:tcPr>
          <w:p w14:paraId="048DFB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20AFD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47771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70A70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废石堆场扬尘</w:t>
            </w:r>
          </w:p>
        </w:tc>
        <w:tc>
          <w:tcPr>
            <w:tcW w:w="853" w:type="dxa"/>
            <w:tcBorders>
              <w:tl2br w:val="nil"/>
              <w:tr2bl w:val="nil"/>
            </w:tcBorders>
            <w:vAlign w:val="center"/>
          </w:tcPr>
          <w:p w14:paraId="6F288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粉尘</w:t>
            </w:r>
          </w:p>
        </w:tc>
        <w:tc>
          <w:tcPr>
            <w:tcW w:w="1150" w:type="dxa"/>
            <w:tcBorders>
              <w:tl2br w:val="nil"/>
              <w:tr2bl w:val="nil"/>
            </w:tcBorders>
            <w:vAlign w:val="center"/>
          </w:tcPr>
          <w:p w14:paraId="35327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420A9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3.658</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1697" w:type="dxa"/>
            <w:tcBorders>
              <w:tl2br w:val="nil"/>
              <w:tr2bl w:val="nil"/>
            </w:tcBorders>
            <w:vAlign w:val="center"/>
          </w:tcPr>
          <w:p w14:paraId="738CC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洒水抑尘</w:t>
            </w:r>
          </w:p>
        </w:tc>
        <w:tc>
          <w:tcPr>
            <w:tcW w:w="2108" w:type="dxa"/>
            <w:vMerge w:val="continue"/>
            <w:tcBorders>
              <w:tl2br w:val="nil"/>
              <w:tr2bl w:val="nil"/>
            </w:tcBorders>
            <w:vAlign w:val="center"/>
          </w:tcPr>
          <w:p w14:paraId="37A76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4541A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187B2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61ADFB8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道路</w:t>
            </w:r>
            <w:r>
              <w:rPr>
                <w:rFonts w:hint="eastAsia" w:ascii="Times New Roman" w:hAnsi="Times New Roman" w:eastAsia="宋体" w:cs="Times New Roman"/>
                <w:color w:val="000000" w:themeColor="text1"/>
                <w:sz w:val="21"/>
                <w:szCs w:val="21"/>
                <w:highlight w:val="none"/>
                <w14:textFill>
                  <w14:solidFill>
                    <w14:schemeClr w14:val="tx1"/>
                  </w14:solidFill>
                </w14:textFill>
              </w:rPr>
              <w:t>运输扬尘</w:t>
            </w:r>
          </w:p>
        </w:tc>
        <w:tc>
          <w:tcPr>
            <w:tcW w:w="853" w:type="dxa"/>
            <w:tcBorders>
              <w:tl2br w:val="nil"/>
              <w:tr2bl w:val="nil"/>
            </w:tcBorders>
            <w:vAlign w:val="center"/>
          </w:tcPr>
          <w:p w14:paraId="347F91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粉尘</w:t>
            </w:r>
          </w:p>
        </w:tc>
        <w:tc>
          <w:tcPr>
            <w:tcW w:w="1150" w:type="dxa"/>
            <w:tcBorders>
              <w:tl2br w:val="nil"/>
              <w:tr2bl w:val="nil"/>
            </w:tcBorders>
            <w:vAlign w:val="center"/>
          </w:tcPr>
          <w:p w14:paraId="1203D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564C0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8.19</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1697" w:type="dxa"/>
            <w:tcBorders>
              <w:tl2br w:val="nil"/>
              <w:tr2bl w:val="nil"/>
            </w:tcBorders>
            <w:vAlign w:val="center"/>
          </w:tcPr>
          <w:p w14:paraId="55645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道路洒水降尘，</w:t>
            </w:r>
            <w:r>
              <w:rPr>
                <w:rFonts w:hint="eastAsia" w:ascii="Times New Roman" w:hAnsi="Times New Roman" w:eastAsia="宋体" w:cs="Times New Roman"/>
                <w:color w:val="000000" w:themeColor="text1"/>
                <w:sz w:val="21"/>
                <w:szCs w:val="21"/>
                <w:highlight w:val="none"/>
                <w14:textFill>
                  <w14:solidFill>
                    <w14:schemeClr w14:val="tx1"/>
                  </w14:solidFill>
                </w14:textFill>
              </w:rPr>
              <w:t>道路路面铺碎石等措施</w:t>
            </w:r>
          </w:p>
        </w:tc>
        <w:tc>
          <w:tcPr>
            <w:tcW w:w="2108" w:type="dxa"/>
            <w:vMerge w:val="continue"/>
            <w:tcBorders>
              <w:tl2br w:val="nil"/>
              <w:tr2bl w:val="nil"/>
            </w:tcBorders>
            <w:vAlign w:val="center"/>
          </w:tcPr>
          <w:p w14:paraId="75D7E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7EFEA7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23300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vMerge w:val="restart"/>
            <w:tcBorders>
              <w:tl2br w:val="nil"/>
              <w:tr2bl w:val="nil"/>
            </w:tcBorders>
            <w:vAlign w:val="center"/>
          </w:tcPr>
          <w:p w14:paraId="0ECEF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柴油燃烧废气</w:t>
            </w:r>
          </w:p>
        </w:tc>
        <w:tc>
          <w:tcPr>
            <w:tcW w:w="853" w:type="dxa"/>
            <w:tcBorders>
              <w:tl2br w:val="nil"/>
              <w:tr2bl w:val="nil"/>
            </w:tcBorders>
            <w:vAlign w:val="center"/>
          </w:tcPr>
          <w:p w14:paraId="0A144269">
            <w:pPr>
              <w:keepNext w:val="0"/>
              <w:keepLines w:val="0"/>
              <w:widowControl w:val="0"/>
              <w:suppressLineNumbers w:val="0"/>
              <w:adjustRightInd/>
              <w:snapToGrid/>
              <w:spacing w:before="0" w:beforeAutospacing="0" w:after="0" w:afterAutospacing="0"/>
              <w:ind w:left="0" w:right="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CO</w:t>
            </w:r>
          </w:p>
        </w:tc>
        <w:tc>
          <w:tcPr>
            <w:tcW w:w="1150" w:type="dxa"/>
            <w:tcBorders>
              <w:tl2br w:val="nil"/>
              <w:tr2bl w:val="nil"/>
            </w:tcBorders>
            <w:vAlign w:val="center"/>
          </w:tcPr>
          <w:p w14:paraId="08E95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350AA933">
            <w:pPr>
              <w:keepNext w:val="0"/>
              <w:keepLines w:val="0"/>
              <w:widowControl w:val="0"/>
              <w:suppressLineNumbers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5.60</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1697" w:type="dxa"/>
            <w:vMerge w:val="restart"/>
            <w:tcBorders>
              <w:tl2br w:val="nil"/>
              <w:tr2bl w:val="nil"/>
            </w:tcBorders>
            <w:vAlign w:val="center"/>
          </w:tcPr>
          <w:p w14:paraId="3A59F5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2108" w:type="dxa"/>
            <w:vMerge w:val="continue"/>
            <w:tcBorders>
              <w:tl2br w:val="nil"/>
              <w:tr2bl w:val="nil"/>
            </w:tcBorders>
            <w:vAlign w:val="center"/>
          </w:tcPr>
          <w:p w14:paraId="0A28C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492FD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29872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vMerge w:val="continue"/>
            <w:tcBorders>
              <w:tl2br w:val="nil"/>
              <w:tr2bl w:val="nil"/>
            </w:tcBorders>
            <w:vAlign w:val="center"/>
          </w:tcPr>
          <w:p w14:paraId="5E44EE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853" w:type="dxa"/>
            <w:tcBorders>
              <w:tl2br w:val="nil"/>
              <w:tr2bl w:val="nil"/>
            </w:tcBorders>
            <w:vAlign w:val="center"/>
          </w:tcPr>
          <w:p w14:paraId="7B2AF0AC">
            <w:pPr>
              <w:keepNext w:val="0"/>
              <w:keepLines w:val="0"/>
              <w:widowControl w:val="0"/>
              <w:suppressLineNumbers w:val="0"/>
              <w:adjustRightInd/>
              <w:snapToGrid/>
              <w:spacing w:before="0" w:beforeAutospacing="0" w:after="0" w:afterAutospacing="0"/>
              <w:ind w:left="0" w:right="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NO</w:t>
            </w:r>
            <w:r>
              <w:rPr>
                <w:rFonts w:hint="eastAsia"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X</w:t>
            </w:r>
          </w:p>
        </w:tc>
        <w:tc>
          <w:tcPr>
            <w:tcW w:w="1150" w:type="dxa"/>
            <w:tcBorders>
              <w:tl2br w:val="nil"/>
              <w:tr2bl w:val="nil"/>
            </w:tcBorders>
            <w:vAlign w:val="center"/>
          </w:tcPr>
          <w:p w14:paraId="33236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442D4BB4">
            <w:pPr>
              <w:keepNext w:val="0"/>
              <w:keepLines w:val="0"/>
              <w:widowControl w:val="0"/>
              <w:suppressLineNumbers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25.62</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1697" w:type="dxa"/>
            <w:vMerge w:val="continue"/>
            <w:tcBorders>
              <w:tl2br w:val="nil"/>
              <w:tr2bl w:val="nil"/>
            </w:tcBorders>
            <w:vAlign w:val="center"/>
          </w:tcPr>
          <w:p w14:paraId="65E3B7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2108" w:type="dxa"/>
            <w:vMerge w:val="continue"/>
            <w:tcBorders>
              <w:tl2br w:val="nil"/>
              <w:tr2bl w:val="nil"/>
            </w:tcBorders>
            <w:vAlign w:val="center"/>
          </w:tcPr>
          <w:p w14:paraId="15C7F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065AF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575D7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vMerge w:val="continue"/>
            <w:tcBorders>
              <w:tl2br w:val="nil"/>
              <w:tr2bl w:val="nil"/>
            </w:tcBorders>
            <w:vAlign w:val="center"/>
          </w:tcPr>
          <w:p w14:paraId="2B198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853" w:type="dxa"/>
            <w:tcBorders>
              <w:tl2br w:val="nil"/>
              <w:tr2bl w:val="nil"/>
            </w:tcBorders>
            <w:vAlign w:val="center"/>
          </w:tcPr>
          <w:p w14:paraId="5962BEA7">
            <w:pPr>
              <w:keepNext w:val="0"/>
              <w:keepLines w:val="0"/>
              <w:widowControl w:val="0"/>
              <w:suppressLineNumbers w:val="0"/>
              <w:adjustRightInd/>
              <w:snapToGrid/>
              <w:spacing w:before="0" w:beforeAutospacing="0" w:after="0" w:afterAutospacing="0"/>
              <w:ind w:left="0" w:right="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THC</w:t>
            </w:r>
          </w:p>
        </w:tc>
        <w:tc>
          <w:tcPr>
            <w:tcW w:w="1150" w:type="dxa"/>
            <w:tcBorders>
              <w:tl2br w:val="nil"/>
              <w:tr2bl w:val="nil"/>
            </w:tcBorders>
            <w:vAlign w:val="center"/>
          </w:tcPr>
          <w:p w14:paraId="0CDAA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361D4B89">
            <w:pPr>
              <w:keepNext w:val="0"/>
              <w:keepLines w:val="0"/>
              <w:widowControl w:val="0"/>
              <w:suppressLineNumbers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9.51</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1697" w:type="dxa"/>
            <w:vMerge w:val="continue"/>
            <w:tcBorders>
              <w:tl2br w:val="nil"/>
              <w:tr2bl w:val="nil"/>
            </w:tcBorders>
            <w:vAlign w:val="center"/>
          </w:tcPr>
          <w:p w14:paraId="290E4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2108" w:type="dxa"/>
            <w:vMerge w:val="continue"/>
            <w:tcBorders>
              <w:tl2br w:val="nil"/>
              <w:tr2bl w:val="nil"/>
            </w:tcBorders>
            <w:vAlign w:val="center"/>
          </w:tcPr>
          <w:p w14:paraId="16ABD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0BBB91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1CC15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vMerge w:val="continue"/>
            <w:tcBorders>
              <w:tl2br w:val="nil"/>
              <w:tr2bl w:val="nil"/>
            </w:tcBorders>
            <w:vAlign w:val="center"/>
          </w:tcPr>
          <w:p w14:paraId="104E4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853" w:type="dxa"/>
            <w:tcBorders>
              <w:tl2br w:val="nil"/>
              <w:tr2bl w:val="nil"/>
            </w:tcBorders>
            <w:vAlign w:val="center"/>
          </w:tcPr>
          <w:p w14:paraId="5BC55D17">
            <w:pPr>
              <w:keepNext w:val="0"/>
              <w:keepLines w:val="0"/>
              <w:widowControl w:val="0"/>
              <w:suppressLineNumbers w:val="0"/>
              <w:adjustRightInd/>
              <w:snapToGrid/>
              <w:spacing w:before="0" w:beforeAutospacing="0" w:after="0" w:afterAutospacing="0"/>
              <w:ind w:left="0" w:right="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SO</w:t>
            </w:r>
            <w:r>
              <w:rPr>
                <w:rFonts w:hint="eastAsia"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2</w:t>
            </w:r>
          </w:p>
        </w:tc>
        <w:tc>
          <w:tcPr>
            <w:tcW w:w="1150" w:type="dxa"/>
            <w:tcBorders>
              <w:tl2br w:val="nil"/>
              <w:tr2bl w:val="nil"/>
            </w:tcBorders>
            <w:vAlign w:val="center"/>
          </w:tcPr>
          <w:p w14:paraId="27A59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1252D692">
            <w:pPr>
              <w:keepNext w:val="0"/>
              <w:keepLines w:val="0"/>
              <w:widowControl w:val="0"/>
              <w:suppressLineNumbers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1.63</w:t>
            </w:r>
            <w:r>
              <w:rPr>
                <w:rFonts w:hint="eastAsia" w:ascii="Times New Roman" w:hAnsi="Times New Roman" w:eastAsia="宋体" w:cs="Times New Roman"/>
                <w:color w:val="000000" w:themeColor="text1"/>
                <w:sz w:val="21"/>
                <w:szCs w:val="21"/>
                <w:highlight w:val="none"/>
                <w14:textFill>
                  <w14:solidFill>
                    <w14:schemeClr w14:val="tx1"/>
                  </w14:solidFill>
                </w14:textFill>
              </w:rPr>
              <w:t>t/a</w:t>
            </w:r>
          </w:p>
        </w:tc>
        <w:tc>
          <w:tcPr>
            <w:tcW w:w="1697" w:type="dxa"/>
            <w:vMerge w:val="continue"/>
            <w:tcBorders>
              <w:tl2br w:val="nil"/>
              <w:tr2bl w:val="nil"/>
            </w:tcBorders>
            <w:vAlign w:val="center"/>
          </w:tcPr>
          <w:p w14:paraId="12C77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2108" w:type="dxa"/>
            <w:vMerge w:val="continue"/>
            <w:tcBorders>
              <w:tl2br w:val="nil"/>
              <w:tr2bl w:val="nil"/>
            </w:tcBorders>
            <w:vAlign w:val="center"/>
          </w:tcPr>
          <w:p w14:paraId="4303A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4DCBB9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restart"/>
            <w:tcBorders>
              <w:tl2br w:val="nil"/>
              <w:tr2bl w:val="nil"/>
            </w:tcBorders>
            <w:vAlign w:val="center"/>
          </w:tcPr>
          <w:p w14:paraId="2468D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废水</w:t>
            </w:r>
          </w:p>
        </w:tc>
        <w:tc>
          <w:tcPr>
            <w:tcW w:w="967" w:type="dxa"/>
            <w:tcBorders>
              <w:tl2br w:val="nil"/>
              <w:tr2bl w:val="nil"/>
            </w:tcBorders>
            <w:vAlign w:val="center"/>
          </w:tcPr>
          <w:p w14:paraId="0138F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矿井涌水</w:t>
            </w:r>
          </w:p>
        </w:tc>
        <w:tc>
          <w:tcPr>
            <w:tcW w:w="853" w:type="dxa"/>
            <w:tcBorders>
              <w:tl2br w:val="nil"/>
              <w:tr2bl w:val="nil"/>
            </w:tcBorders>
            <w:vAlign w:val="center"/>
          </w:tcPr>
          <w:p w14:paraId="2481D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废水量</w:t>
            </w:r>
          </w:p>
        </w:tc>
        <w:tc>
          <w:tcPr>
            <w:tcW w:w="1150" w:type="dxa"/>
            <w:tcBorders>
              <w:tl2br w:val="nil"/>
              <w:tr2bl w:val="nil"/>
            </w:tcBorders>
            <w:vAlign w:val="center"/>
          </w:tcPr>
          <w:p w14:paraId="06D8E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177FA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0m</w:t>
            </w:r>
            <w:r>
              <w:rPr>
                <w:rFonts w:hint="eastAsia" w:ascii="Times New Roman" w:hAnsi="Times New Roman" w:eastAsia="宋体" w:cs="Times New Roman"/>
                <w:snapToGrid/>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/a</w:t>
            </w:r>
          </w:p>
        </w:tc>
        <w:tc>
          <w:tcPr>
            <w:tcW w:w="1697" w:type="dxa"/>
            <w:tcBorders>
              <w:tl2br w:val="nil"/>
              <w:tr2bl w:val="nil"/>
            </w:tcBorders>
            <w:vAlign w:val="center"/>
          </w:tcPr>
          <w:p w14:paraId="2EC9B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经沉淀处理后回用于井下生产用水，回用不完的输送至选厂用</w:t>
            </w:r>
            <w:r>
              <w:rPr>
                <w:rFonts w:hint="eastAsia" w:ascii="Times New Roman" w:hAnsi="Times New Roman" w:eastAsia="宋体" w:cs="Times New Roman"/>
                <w:color w:val="000000" w:themeColor="text1"/>
                <w:sz w:val="21"/>
                <w:szCs w:val="21"/>
                <w:highlight w:val="none"/>
                <w14:textFill>
                  <w14:solidFill>
                    <w14:schemeClr w14:val="tx1"/>
                  </w14:solidFill>
                </w14:textFill>
              </w:rPr>
              <w:t>于选矿生产</w:t>
            </w:r>
            <w:r>
              <w:rPr>
                <w:rFonts w:hint="eastAsia" w:ascii="Times New Roman" w:hAnsi="Times New Roman" w:eastAsia="宋体" w:cs="Times New Roman"/>
                <w:color w:val="000000" w:themeColor="text1"/>
                <w:sz w:val="21"/>
                <w:szCs w:val="21"/>
                <w:highlight w:val="none"/>
                <w:lang w:bidi="ar-SA"/>
                <w14:textFill>
                  <w14:solidFill>
                    <w14:schemeClr w14:val="tx1"/>
                  </w14:solidFill>
                </w14:textFill>
              </w:rPr>
              <w:t>、降尘</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，不外排</w:t>
            </w:r>
          </w:p>
        </w:tc>
        <w:tc>
          <w:tcPr>
            <w:tcW w:w="2108" w:type="dxa"/>
            <w:tcBorders>
              <w:tl2br w:val="nil"/>
              <w:tr2bl w:val="nil"/>
            </w:tcBorders>
            <w:vAlign w:val="center"/>
          </w:tcPr>
          <w:p w14:paraId="409FE0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《城市污水再生利用 城市杂用水水质》（GB/T18920-2002）中城市绿化、道路清扫、消防、建筑施工限值标准</w:t>
            </w:r>
          </w:p>
        </w:tc>
      </w:tr>
      <w:tr w14:paraId="3137EB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7CD03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0E535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生活污水</w:t>
            </w:r>
          </w:p>
        </w:tc>
        <w:tc>
          <w:tcPr>
            <w:tcW w:w="853" w:type="dxa"/>
            <w:tcBorders>
              <w:tl2br w:val="nil"/>
              <w:tr2bl w:val="nil"/>
            </w:tcBorders>
            <w:vAlign w:val="center"/>
          </w:tcPr>
          <w:p w14:paraId="7FA87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废水量</w:t>
            </w:r>
          </w:p>
        </w:tc>
        <w:tc>
          <w:tcPr>
            <w:tcW w:w="1150" w:type="dxa"/>
            <w:tcBorders>
              <w:tl2br w:val="nil"/>
              <w:tr2bl w:val="nil"/>
            </w:tcBorders>
            <w:vAlign w:val="center"/>
          </w:tcPr>
          <w:p w14:paraId="41859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606EE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0m</w:t>
            </w:r>
            <w:r>
              <w:rPr>
                <w:rFonts w:hint="eastAsia" w:ascii="Times New Roman" w:hAnsi="Times New Roman" w:eastAsia="宋体" w:cs="Times New Roman"/>
                <w:snapToGrid/>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/a</w:t>
            </w:r>
          </w:p>
        </w:tc>
        <w:tc>
          <w:tcPr>
            <w:tcW w:w="1697" w:type="dxa"/>
            <w:tcBorders>
              <w:tl2br w:val="nil"/>
              <w:tr2bl w:val="nil"/>
            </w:tcBorders>
            <w:vAlign w:val="center"/>
          </w:tcPr>
          <w:p w14:paraId="7AEC98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经一体化污水处理设施处理达标后用于矿区降尘、选矿生产</w:t>
            </w:r>
          </w:p>
        </w:tc>
        <w:tc>
          <w:tcPr>
            <w:tcW w:w="2108" w:type="dxa"/>
            <w:tcBorders>
              <w:tl2br w:val="nil"/>
              <w:tr2bl w:val="nil"/>
            </w:tcBorders>
            <w:vAlign w:val="center"/>
          </w:tcPr>
          <w:p w14:paraId="676AB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2"/>
                <w:sz w:val="21"/>
                <w:szCs w:val="21"/>
                <w:highlight w:val="none"/>
                <w:lang w:val="en-US" w:eastAsia="zh-CN" w:bidi="ar-SA"/>
                <w14:textFill>
                  <w14:solidFill>
                    <w14:schemeClr w14:val="tx1"/>
                  </w14:solidFill>
                </w14:textFill>
              </w:rPr>
              <w:t>《农村生活污水处理排放标准》（DB65 4275-2019）表1中一级标准</w:t>
            </w:r>
          </w:p>
        </w:tc>
      </w:tr>
      <w:tr w14:paraId="2EBE3F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7BF52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1B99DE5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废石堆场淋溶水</w:t>
            </w:r>
          </w:p>
        </w:tc>
        <w:tc>
          <w:tcPr>
            <w:tcW w:w="853" w:type="dxa"/>
            <w:tcBorders>
              <w:tl2br w:val="nil"/>
              <w:tr2bl w:val="nil"/>
            </w:tcBorders>
            <w:vAlign w:val="center"/>
          </w:tcPr>
          <w:p w14:paraId="718CF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废水量</w:t>
            </w:r>
          </w:p>
        </w:tc>
        <w:tc>
          <w:tcPr>
            <w:tcW w:w="1150" w:type="dxa"/>
            <w:tcBorders>
              <w:tl2br w:val="nil"/>
              <w:tr2bl w:val="nil"/>
            </w:tcBorders>
            <w:vAlign w:val="center"/>
          </w:tcPr>
          <w:p w14:paraId="3B3FC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07BAE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697" w:type="dxa"/>
            <w:tcBorders>
              <w:tl2br w:val="nil"/>
              <w:tr2bl w:val="nil"/>
            </w:tcBorders>
            <w:vAlign w:val="center"/>
          </w:tcPr>
          <w:p w14:paraId="34827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2108" w:type="dxa"/>
            <w:tcBorders>
              <w:tl2br w:val="nil"/>
              <w:tr2bl w:val="nil"/>
            </w:tcBorders>
            <w:vAlign w:val="center"/>
          </w:tcPr>
          <w:p w14:paraId="01D415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2"/>
                <w:sz w:val="21"/>
                <w:szCs w:val="21"/>
                <w:highlight w:val="none"/>
                <w:lang w:val="en-US" w:eastAsia="zh-CN" w:bidi="ar-SA"/>
                <w14:textFill>
                  <w14:solidFill>
                    <w14:schemeClr w14:val="tx1"/>
                  </w14:solidFill>
                </w14:textFill>
              </w:rPr>
              <w:t>/</w:t>
            </w:r>
          </w:p>
        </w:tc>
      </w:tr>
      <w:tr w14:paraId="6F5D7C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restart"/>
            <w:tcBorders>
              <w:tl2br w:val="nil"/>
              <w:tr2bl w:val="nil"/>
            </w:tcBorders>
            <w:vAlign w:val="center"/>
          </w:tcPr>
          <w:p w14:paraId="48E34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固废</w:t>
            </w:r>
          </w:p>
        </w:tc>
        <w:tc>
          <w:tcPr>
            <w:tcW w:w="967" w:type="dxa"/>
            <w:tcBorders>
              <w:tl2br w:val="nil"/>
              <w:tr2bl w:val="nil"/>
            </w:tcBorders>
            <w:vAlign w:val="center"/>
          </w:tcPr>
          <w:p w14:paraId="43A6C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生活垃圾</w:t>
            </w:r>
          </w:p>
        </w:tc>
        <w:tc>
          <w:tcPr>
            <w:tcW w:w="853" w:type="dxa"/>
            <w:tcBorders>
              <w:tl2br w:val="nil"/>
              <w:tr2bl w:val="nil"/>
            </w:tcBorders>
            <w:vAlign w:val="center"/>
          </w:tcPr>
          <w:p w14:paraId="467B3B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生活</w:t>
            </w:r>
          </w:p>
          <w:p w14:paraId="0AEA3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垃圾</w:t>
            </w:r>
          </w:p>
        </w:tc>
        <w:tc>
          <w:tcPr>
            <w:tcW w:w="1150" w:type="dxa"/>
            <w:tcBorders>
              <w:tl2br w:val="nil"/>
              <w:tr2bl w:val="nil"/>
            </w:tcBorders>
            <w:vAlign w:val="center"/>
          </w:tcPr>
          <w:p w14:paraId="098FC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0800F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cs="Times New Roman"/>
                <w:snapToGrid/>
                <w:color w:val="000000" w:themeColor="text1"/>
                <w:kern w:val="2"/>
                <w:sz w:val="21"/>
                <w:szCs w:val="21"/>
                <w:highlight w:val="none"/>
                <w:lang w:val="en-US" w:eastAsia="zh-CN" w:bidi="ar-SA"/>
                <w14:textFill>
                  <w14:solidFill>
                    <w14:schemeClr w14:val="tx1"/>
                  </w14:solidFill>
                </w14:textFill>
              </w:rPr>
              <w:t>10</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t/a</w:t>
            </w:r>
          </w:p>
        </w:tc>
        <w:tc>
          <w:tcPr>
            <w:tcW w:w="1697" w:type="dxa"/>
            <w:tcBorders>
              <w:tl2br w:val="nil"/>
              <w:tr2bl w:val="nil"/>
            </w:tcBorders>
            <w:vAlign w:val="center"/>
          </w:tcPr>
          <w:p w14:paraId="4F906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生活垃圾集中收集，拉运至雅满苏镇生活垃圾填埋场处置</w:t>
            </w:r>
          </w:p>
        </w:tc>
        <w:tc>
          <w:tcPr>
            <w:tcW w:w="2108" w:type="dxa"/>
            <w:vMerge w:val="restart"/>
            <w:tcBorders>
              <w:tl2br w:val="nil"/>
              <w:tr2bl w:val="nil"/>
            </w:tcBorders>
            <w:vAlign w:val="center"/>
          </w:tcPr>
          <w:p w14:paraId="4FA18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执行《一般工业固体废物贮存和填埋污染控制标准》（GB18599-2020）中相关标准</w:t>
            </w:r>
            <w:r>
              <w:rPr>
                <w:rFonts w:hint="eastAsia" w:cs="Times New Roman"/>
                <w:snapToGrid/>
                <w:color w:val="000000" w:themeColor="text1"/>
                <w:kern w:val="2"/>
                <w:sz w:val="21"/>
                <w:szCs w:val="21"/>
                <w:highlight w:val="none"/>
                <w:lang w:val="en-US" w:eastAsia="zh-CN" w:bidi="ar-SA"/>
                <w14:textFill>
                  <w14:solidFill>
                    <w14:schemeClr w14:val="tx1"/>
                  </w14:solidFill>
                </w14:textFill>
              </w:rPr>
              <w:t>，合理处置</w:t>
            </w:r>
          </w:p>
        </w:tc>
      </w:tr>
      <w:tr w14:paraId="4DD90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697" w:type="dxa"/>
            <w:vMerge w:val="continue"/>
            <w:tcBorders>
              <w:tl2br w:val="nil"/>
              <w:tr2bl w:val="nil"/>
            </w:tcBorders>
            <w:vAlign w:val="center"/>
          </w:tcPr>
          <w:p w14:paraId="51D46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7C1F4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污水站污泥</w:t>
            </w:r>
          </w:p>
        </w:tc>
        <w:tc>
          <w:tcPr>
            <w:tcW w:w="853" w:type="dxa"/>
            <w:tcBorders>
              <w:tl2br w:val="nil"/>
              <w:tr2bl w:val="nil"/>
            </w:tcBorders>
            <w:vAlign w:val="center"/>
          </w:tcPr>
          <w:p w14:paraId="5E623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污水站污泥</w:t>
            </w:r>
          </w:p>
        </w:tc>
        <w:tc>
          <w:tcPr>
            <w:tcW w:w="1150" w:type="dxa"/>
            <w:tcBorders>
              <w:tl2br w:val="nil"/>
              <w:tr2bl w:val="nil"/>
            </w:tcBorders>
            <w:vAlign w:val="center"/>
          </w:tcPr>
          <w:p w14:paraId="0D018B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33A8C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cs="Times New Roman"/>
                <w:snapToGrid/>
                <w:color w:val="000000" w:themeColor="text1"/>
                <w:kern w:val="2"/>
                <w:sz w:val="21"/>
                <w:szCs w:val="21"/>
                <w:highlight w:val="none"/>
                <w:lang w:val="en-US" w:eastAsia="zh-CN" w:bidi="ar-SA"/>
                <w14:textFill>
                  <w14:solidFill>
                    <w14:schemeClr w14:val="tx1"/>
                  </w14:solidFill>
                </w14:textFill>
              </w:rPr>
              <w:t>3.5</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t/a</w:t>
            </w:r>
          </w:p>
        </w:tc>
        <w:tc>
          <w:tcPr>
            <w:tcW w:w="1697" w:type="dxa"/>
            <w:tcBorders>
              <w:tl2br w:val="nil"/>
              <w:tr2bl w:val="nil"/>
            </w:tcBorders>
            <w:vAlign w:val="center"/>
          </w:tcPr>
          <w:p w14:paraId="69026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集中收集，拉运至雅满苏镇生活垃圾填埋场处置</w:t>
            </w:r>
          </w:p>
        </w:tc>
        <w:tc>
          <w:tcPr>
            <w:tcW w:w="2108" w:type="dxa"/>
            <w:vMerge w:val="continue"/>
            <w:tcBorders>
              <w:tl2br w:val="nil"/>
              <w:tr2bl w:val="nil"/>
            </w:tcBorders>
            <w:vAlign w:val="center"/>
          </w:tcPr>
          <w:p w14:paraId="3DA01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4DE653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jc w:val="center"/>
        </w:trPr>
        <w:tc>
          <w:tcPr>
            <w:tcW w:w="697" w:type="dxa"/>
            <w:vMerge w:val="continue"/>
            <w:tcBorders>
              <w:tl2br w:val="nil"/>
              <w:tr2bl w:val="nil"/>
            </w:tcBorders>
            <w:vAlign w:val="center"/>
          </w:tcPr>
          <w:p w14:paraId="2680D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4422E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采矿废石</w:t>
            </w:r>
          </w:p>
        </w:tc>
        <w:tc>
          <w:tcPr>
            <w:tcW w:w="853" w:type="dxa"/>
            <w:tcBorders>
              <w:tl2br w:val="nil"/>
              <w:tr2bl w:val="nil"/>
            </w:tcBorders>
            <w:vAlign w:val="center"/>
          </w:tcPr>
          <w:p w14:paraId="251C7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采矿废石</w:t>
            </w:r>
          </w:p>
        </w:tc>
        <w:tc>
          <w:tcPr>
            <w:tcW w:w="1150" w:type="dxa"/>
            <w:tcBorders>
              <w:tl2br w:val="nil"/>
              <w:tr2bl w:val="nil"/>
            </w:tcBorders>
            <w:vAlign w:val="center"/>
          </w:tcPr>
          <w:p w14:paraId="4D2F5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013DFC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0t/a</w:t>
            </w:r>
          </w:p>
        </w:tc>
        <w:tc>
          <w:tcPr>
            <w:tcW w:w="1697" w:type="dxa"/>
            <w:tcBorders>
              <w:tl2br w:val="nil"/>
              <w:tr2bl w:val="nil"/>
            </w:tcBorders>
            <w:vAlign w:val="center"/>
          </w:tcPr>
          <w:p w14:paraId="5E68E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堆存于废石堆场，定期洒水，压实平整处理，</w:t>
            </w:r>
            <w:r>
              <w:rPr>
                <w:rFonts w:hint="eastAsia" w:cs="Times New Roman"/>
                <w:snapToGrid/>
                <w:color w:val="000000" w:themeColor="text1"/>
                <w:kern w:val="2"/>
                <w:sz w:val="21"/>
                <w:szCs w:val="21"/>
                <w:highlight w:val="none"/>
                <w:lang w:val="en-US" w:eastAsia="zh-CN" w:bidi="ar-SA"/>
                <w14:textFill>
                  <w14:solidFill>
                    <w14:schemeClr w14:val="tx1"/>
                  </w14:solidFill>
                </w14:textFill>
              </w:rPr>
              <w:t>待沉稳后回填井下采空区</w:t>
            </w:r>
          </w:p>
        </w:tc>
        <w:tc>
          <w:tcPr>
            <w:tcW w:w="2108" w:type="dxa"/>
            <w:vMerge w:val="continue"/>
            <w:tcBorders>
              <w:tl2br w:val="nil"/>
              <w:tr2bl w:val="nil"/>
            </w:tcBorders>
            <w:vAlign w:val="center"/>
          </w:tcPr>
          <w:p w14:paraId="41CE32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086ACC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697" w:type="dxa"/>
            <w:vMerge w:val="continue"/>
            <w:tcBorders>
              <w:tl2br w:val="nil"/>
              <w:tr2bl w:val="nil"/>
            </w:tcBorders>
            <w:vAlign w:val="center"/>
          </w:tcPr>
          <w:p w14:paraId="361FE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325D2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沉淀池底泥</w:t>
            </w:r>
          </w:p>
        </w:tc>
        <w:tc>
          <w:tcPr>
            <w:tcW w:w="853" w:type="dxa"/>
            <w:tcBorders>
              <w:tl2br w:val="nil"/>
              <w:tr2bl w:val="nil"/>
            </w:tcBorders>
            <w:vAlign w:val="center"/>
          </w:tcPr>
          <w:p w14:paraId="63DA9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沉淀池底泥</w:t>
            </w:r>
          </w:p>
        </w:tc>
        <w:tc>
          <w:tcPr>
            <w:tcW w:w="1150" w:type="dxa"/>
            <w:tcBorders>
              <w:tl2br w:val="nil"/>
              <w:tr2bl w:val="nil"/>
            </w:tcBorders>
            <w:vAlign w:val="center"/>
          </w:tcPr>
          <w:p w14:paraId="733FB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69413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0t/a</w:t>
            </w:r>
          </w:p>
        </w:tc>
        <w:tc>
          <w:tcPr>
            <w:tcW w:w="1697" w:type="dxa"/>
            <w:tcBorders>
              <w:tl2br w:val="nil"/>
              <w:tr2bl w:val="nil"/>
            </w:tcBorders>
            <w:vAlign w:val="center"/>
          </w:tcPr>
          <w:p w14:paraId="34E5F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堆存于废石堆场</w:t>
            </w:r>
            <w:r>
              <w:rPr>
                <w:rFonts w:hint="eastAsia" w:ascii="Times New Roman" w:hAnsi="Times New Roman" w:eastAsia="宋体" w:cs="Times New Roman"/>
                <w:snapToGrid/>
                <w:color w:val="000000" w:themeColor="text1"/>
                <w:kern w:val="2"/>
                <w:sz w:val="21"/>
                <w:szCs w:val="21"/>
                <w:highlight w:val="none"/>
                <w:lang w:val="en-US" w:eastAsia="zh-CN" w:bidi="ar"/>
                <w14:textFill>
                  <w14:solidFill>
                    <w14:schemeClr w14:val="tx1"/>
                  </w14:solidFill>
                </w14:textFill>
              </w:rPr>
              <w:t>，回填于采空区或综合利用</w:t>
            </w:r>
          </w:p>
        </w:tc>
        <w:tc>
          <w:tcPr>
            <w:tcW w:w="2108" w:type="dxa"/>
            <w:vMerge w:val="continue"/>
            <w:tcBorders>
              <w:tl2br w:val="nil"/>
              <w:tr2bl w:val="nil"/>
            </w:tcBorders>
            <w:vAlign w:val="center"/>
          </w:tcPr>
          <w:p w14:paraId="44FB8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r>
      <w:tr w14:paraId="0828C5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jc w:val="center"/>
        </w:trPr>
        <w:tc>
          <w:tcPr>
            <w:tcW w:w="697" w:type="dxa"/>
            <w:vMerge w:val="continue"/>
            <w:tcBorders>
              <w:tl2br w:val="nil"/>
              <w:tr2bl w:val="nil"/>
            </w:tcBorders>
            <w:vAlign w:val="center"/>
          </w:tcPr>
          <w:p w14:paraId="268B0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967" w:type="dxa"/>
            <w:tcBorders>
              <w:tl2br w:val="nil"/>
              <w:tr2bl w:val="nil"/>
            </w:tcBorders>
            <w:vAlign w:val="center"/>
          </w:tcPr>
          <w:p w14:paraId="1A74D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废矿物油</w:t>
            </w:r>
            <w:r>
              <w:rPr>
                <w:rFonts w:hint="eastAsia" w:cs="Times New Roman"/>
                <w:snapToGrid/>
                <w:color w:val="000000" w:themeColor="text1"/>
                <w:kern w:val="2"/>
                <w:sz w:val="21"/>
                <w:szCs w:val="21"/>
                <w:highlight w:val="none"/>
                <w:lang w:val="en-US" w:eastAsia="zh-CN" w:bidi="ar-SA"/>
                <w14:textFill>
                  <w14:solidFill>
                    <w14:schemeClr w14:val="tx1"/>
                  </w14:solidFill>
                </w14:textFill>
              </w:rPr>
              <w:t>、废油桶</w:t>
            </w:r>
          </w:p>
        </w:tc>
        <w:tc>
          <w:tcPr>
            <w:tcW w:w="853" w:type="dxa"/>
            <w:tcBorders>
              <w:tl2br w:val="nil"/>
              <w:tr2bl w:val="nil"/>
            </w:tcBorders>
            <w:vAlign w:val="center"/>
          </w:tcPr>
          <w:p w14:paraId="09F62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废矿物油</w:t>
            </w:r>
            <w:r>
              <w:rPr>
                <w:rFonts w:hint="eastAsia" w:cs="Times New Roman"/>
                <w:snapToGrid/>
                <w:color w:val="000000" w:themeColor="text1"/>
                <w:kern w:val="2"/>
                <w:sz w:val="21"/>
                <w:szCs w:val="21"/>
                <w:highlight w:val="none"/>
                <w:lang w:val="en-US" w:eastAsia="zh-CN" w:bidi="ar-SA"/>
                <w14:textFill>
                  <w14:solidFill>
                    <w14:schemeClr w14:val="tx1"/>
                  </w14:solidFill>
                </w14:textFill>
              </w:rPr>
              <w:t>、废油桶</w:t>
            </w:r>
          </w:p>
        </w:tc>
        <w:tc>
          <w:tcPr>
            <w:tcW w:w="1150" w:type="dxa"/>
            <w:tcBorders>
              <w:tl2br w:val="nil"/>
              <w:tr2bl w:val="nil"/>
            </w:tcBorders>
            <w:vAlign w:val="center"/>
          </w:tcPr>
          <w:p w14:paraId="2898AD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w:t>
            </w:r>
          </w:p>
        </w:tc>
        <w:tc>
          <w:tcPr>
            <w:tcW w:w="1050" w:type="dxa"/>
            <w:tcBorders>
              <w:tl2br w:val="nil"/>
              <w:tr2bl w:val="nil"/>
            </w:tcBorders>
            <w:vAlign w:val="center"/>
          </w:tcPr>
          <w:p w14:paraId="02D93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cs="Times New Roman"/>
                <w:snapToGrid/>
                <w:color w:val="000000" w:themeColor="text1"/>
                <w:kern w:val="2"/>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t/a</w:t>
            </w:r>
          </w:p>
        </w:tc>
        <w:tc>
          <w:tcPr>
            <w:tcW w:w="1697" w:type="dxa"/>
            <w:tcBorders>
              <w:tl2br w:val="nil"/>
              <w:tr2bl w:val="nil"/>
            </w:tcBorders>
            <w:vAlign w:val="center"/>
          </w:tcPr>
          <w:p w14:paraId="0C107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收集至矿区防渗</w:t>
            </w:r>
            <w:r>
              <w:rPr>
                <w:rFonts w:hint="eastAsia" w:cs="Times New Roman"/>
                <w:snapToGrid/>
                <w:color w:val="000000" w:themeColor="text1"/>
                <w:kern w:val="2"/>
                <w:sz w:val="21"/>
                <w:szCs w:val="21"/>
                <w:highlight w:val="none"/>
                <w:lang w:val="en-US" w:eastAsia="zh-CN" w:bidi="ar-SA"/>
                <w14:textFill>
                  <w14:solidFill>
                    <w14:schemeClr w14:val="tx1"/>
                  </w14:solidFill>
                </w14:textFill>
              </w:rPr>
              <w:t>危废贮存点</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，定期委托有危废处置资质的单位回收</w:t>
            </w:r>
          </w:p>
        </w:tc>
        <w:tc>
          <w:tcPr>
            <w:tcW w:w="2108" w:type="dxa"/>
            <w:tcBorders>
              <w:tl2br w:val="nil"/>
              <w:tr2bl w:val="nil"/>
            </w:tcBorders>
            <w:vAlign w:val="center"/>
          </w:tcPr>
          <w:p w14:paraId="6AA03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highlight w:val="none"/>
                <w:lang w:val="en-US" w:eastAsia="zh-CN" w:bidi="ar-SA"/>
                <w14:textFill>
                  <w14:solidFill>
                    <w14:schemeClr w14:val="tx1"/>
                  </w14:solidFill>
                </w14:textFill>
              </w:rPr>
              <w:t>《危险废物贮存污染控制标准》（GB18597-2023）</w:t>
            </w:r>
          </w:p>
        </w:tc>
      </w:tr>
    </w:tbl>
    <w:p w14:paraId="3D2B63AE">
      <w:pPr>
        <w:pStyle w:val="3"/>
        <w:numPr>
          <w:ilvl w:val="1"/>
          <w:numId w:val="0"/>
        </w:numPr>
        <w:rPr>
          <w:bCs/>
          <w:color w:val="000000" w:themeColor="text1"/>
          <w14:textFill>
            <w14:solidFill>
              <w14:schemeClr w14:val="tx1"/>
            </w14:solidFill>
          </w14:textFill>
        </w:rPr>
      </w:pPr>
      <w:bookmarkStart w:id="736" w:name="_Toc12836"/>
      <w:r>
        <w:rPr>
          <w:rFonts w:hint="eastAsia"/>
          <w:bCs/>
          <w:color w:val="000000" w:themeColor="text1"/>
          <w:lang w:val="en-US" w:eastAsia="zh-CN"/>
          <w14:textFill>
            <w14:solidFill>
              <w14:schemeClr w14:val="tx1"/>
            </w14:solidFill>
          </w14:textFill>
        </w:rPr>
        <w:t>8</w:t>
      </w:r>
      <w:r>
        <w:rPr>
          <w:rFonts w:hint="eastAsia"/>
          <w:bCs/>
          <w:color w:val="000000" w:themeColor="text1"/>
          <w14:textFill>
            <w14:solidFill>
              <w14:schemeClr w14:val="tx1"/>
            </w14:solidFill>
          </w14:textFill>
        </w:rPr>
        <w:t>.7总量控制</w:t>
      </w:r>
      <w:bookmarkEnd w:id="736"/>
    </w:p>
    <w:p w14:paraId="65403B1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根据《关于印发新疆维吾尔自治区加强涉重金属行业污染防控工作方案的通知》，铁矿采选不属于重点行业，本项目原矿石鉴定涉重金属为微量，可不申请重金属总量指标。</w:t>
      </w:r>
    </w:p>
    <w:p w14:paraId="30E53374">
      <w:pPr>
        <w:pStyle w:val="2"/>
        <w:keepNext/>
        <w:keepLines/>
        <w:spacing w:before="0" w:after="0" w:line="720" w:lineRule="exact"/>
        <w:jc w:val="both"/>
        <w:rPr>
          <w:rFonts w:hint="eastAsia"/>
          <w:color w:val="000000" w:themeColor="text1"/>
          <w:szCs w:val="36"/>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737" w:name="_Toc9469"/>
      <w:bookmarkStart w:id="738" w:name="_Toc13649"/>
      <w:bookmarkStart w:id="739" w:name="_Toc111767581"/>
    </w:p>
    <w:p w14:paraId="2874DEE3">
      <w:pPr>
        <w:pStyle w:val="2"/>
        <w:keepNext/>
        <w:keepLines/>
        <w:spacing w:before="0" w:after="0" w:line="720" w:lineRule="exact"/>
        <w:jc w:val="both"/>
        <w:rPr>
          <w:rFonts w:hint="eastAsia"/>
          <w:color w:val="000000" w:themeColor="text1"/>
          <w:szCs w:val="36"/>
          <w:highlight w:val="none"/>
          <w14:textFill>
            <w14:solidFill>
              <w14:schemeClr w14:val="tx1"/>
            </w14:solidFill>
          </w14:textFill>
        </w:rPr>
      </w:pPr>
      <w:bookmarkStart w:id="740" w:name="_Toc10527"/>
      <w:r>
        <w:rPr>
          <w:rFonts w:hint="eastAsia"/>
          <w:color w:val="000000" w:themeColor="text1"/>
          <w:szCs w:val="36"/>
          <w:highlight w:val="none"/>
          <w14:textFill>
            <w14:solidFill>
              <w14:schemeClr w14:val="tx1"/>
            </w14:solidFill>
          </w14:textFill>
        </w:rPr>
        <w:t>9</w:t>
      </w:r>
      <w:bookmarkEnd w:id="737"/>
      <w:bookmarkEnd w:id="738"/>
      <w:bookmarkEnd w:id="739"/>
      <w:bookmarkEnd w:id="740"/>
      <w:r>
        <w:rPr>
          <w:rFonts w:hint="eastAsia"/>
          <w:color w:val="000000" w:themeColor="text1"/>
          <w:szCs w:val="36"/>
          <w:highlight w:val="none"/>
          <w14:textFill>
            <w14:solidFill>
              <w14:schemeClr w14:val="tx1"/>
            </w14:solidFill>
          </w14:textFill>
        </w:rPr>
        <w:t>环境影响评价结论</w:t>
      </w:r>
    </w:p>
    <w:p w14:paraId="28717BA6">
      <w:pPr>
        <w:pStyle w:val="3"/>
        <w:numPr>
          <w:ilvl w:val="1"/>
          <w:numId w:val="0"/>
        </w:numPr>
        <w:rPr>
          <w:bCs/>
          <w:color w:val="000000" w:themeColor="text1"/>
          <w14:textFill>
            <w14:solidFill>
              <w14:schemeClr w14:val="tx1"/>
            </w14:solidFill>
          </w14:textFill>
        </w:rPr>
      </w:pPr>
      <w:bookmarkStart w:id="741" w:name="_Toc111767582"/>
      <w:bookmarkStart w:id="742" w:name="_Toc17293"/>
      <w:r>
        <w:rPr>
          <w:rFonts w:hint="eastAsia"/>
          <w:bCs/>
          <w:color w:val="000000" w:themeColor="text1"/>
          <w14:textFill>
            <w14:solidFill>
              <w14:schemeClr w14:val="tx1"/>
            </w14:solidFill>
          </w14:textFill>
        </w:rPr>
        <w:t>9.1工程概况</w:t>
      </w:r>
      <w:bookmarkEnd w:id="741"/>
      <w:bookmarkEnd w:id="742"/>
    </w:p>
    <w:p w14:paraId="3E63CC53">
      <w:pPr>
        <w:pStyle w:val="962"/>
        <w:spacing w:line="480" w:lineRule="exact"/>
        <w:ind w:firstLine="480"/>
        <w:rPr>
          <w:rFonts w:hint="eastAsia" w:eastAsia="宋体"/>
          <w:color w:val="000000" w:themeColor="text1"/>
          <w:kern w:val="0"/>
          <w:lang w:eastAsia="zh-CN"/>
          <w14:textFill>
            <w14:solidFill>
              <w14:schemeClr w14:val="tx1"/>
            </w14:solidFill>
          </w14:textFill>
        </w:rPr>
      </w:pPr>
      <w:r>
        <w:rPr>
          <w:rFonts w:hint="eastAsia" w:eastAsia="宋体"/>
          <w:color w:val="000000" w:themeColor="text1"/>
          <w:kern w:val="0"/>
          <w14:textFill>
            <w14:solidFill>
              <w14:schemeClr w14:val="tx1"/>
            </w14:solidFill>
          </w14:textFill>
        </w:rPr>
        <w:t>项目名称：</w:t>
      </w:r>
      <w:r>
        <w:rPr>
          <w:rFonts w:hint="eastAsia" w:eastAsia="宋体"/>
          <w:color w:val="000000" w:themeColor="text1"/>
          <w:kern w:val="0"/>
          <w:lang w:eastAsia="zh-CN"/>
          <w14:textFill>
            <w14:solidFill>
              <w14:schemeClr w14:val="tx1"/>
            </w14:solidFill>
          </w14:textFill>
        </w:rPr>
        <w:t>哈密市西成矿业有限责任公司M1033矿年产30万吨铁矿采矿建设项目（重大变动）</w:t>
      </w:r>
    </w:p>
    <w:p w14:paraId="37070B47">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建设单位：哈密市西成矿业有限责任公司</w:t>
      </w:r>
    </w:p>
    <w:p w14:paraId="28983CC2">
      <w:pPr>
        <w:pStyle w:val="962"/>
        <w:spacing w:line="480" w:lineRule="exact"/>
        <w:ind w:firstLine="480"/>
        <w:rPr>
          <w:rFonts w:hint="eastAsia" w:eastAsia="宋体"/>
          <w:color w:val="000000" w:themeColor="text1"/>
          <w:kern w:val="0"/>
          <w:lang w:eastAsia="zh-CN"/>
          <w14:textFill>
            <w14:solidFill>
              <w14:schemeClr w14:val="tx1"/>
            </w14:solidFill>
          </w14:textFill>
        </w:rPr>
      </w:pPr>
      <w:r>
        <w:rPr>
          <w:rFonts w:hint="eastAsia" w:eastAsia="宋体"/>
          <w:color w:val="000000" w:themeColor="text1"/>
          <w:kern w:val="0"/>
          <w14:textFill>
            <w14:solidFill>
              <w14:schemeClr w14:val="tx1"/>
            </w14:solidFill>
          </w14:textFill>
        </w:rPr>
        <w:t>建设性质：</w:t>
      </w:r>
      <w:r>
        <w:rPr>
          <w:rFonts w:hint="eastAsia" w:eastAsia="宋体"/>
          <w:color w:val="000000" w:themeColor="text1"/>
          <w:kern w:val="0"/>
          <w:lang w:val="en-US" w:eastAsia="zh-CN"/>
          <w14:textFill>
            <w14:solidFill>
              <w14:schemeClr w14:val="tx1"/>
            </w14:solidFill>
          </w14:textFill>
        </w:rPr>
        <w:t>新建</w:t>
      </w:r>
    </w:p>
    <w:p w14:paraId="4E95F45D">
      <w:pPr>
        <w:pStyle w:val="962"/>
        <w:spacing w:line="480" w:lineRule="exact"/>
        <w:ind w:firstLine="480"/>
        <w:rPr>
          <w:rFonts w:hint="default" w:ascii="Times New Roman" w:hAnsi="Times New Roman" w:eastAsia="宋体" w:cs="Times New Roman"/>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建设地点：矿区位于新疆维吾尔自治区哈密市168°方位（与哈密市直线距离约179km），雅满苏镇以南约70km处，行政区划属于新疆维吾尔自治区哈密市雅满苏镇管辖。矿区中心地理坐标</w:t>
      </w:r>
      <w:r>
        <w:rPr>
          <w:rFonts w:hint="default" w:ascii="Times New Roman" w:hAnsi="Times New Roman" w:eastAsia="宋体" w:cs="Times New Roman"/>
          <w:color w:val="000000" w:themeColor="text1"/>
          <w:kern w:val="0"/>
          <w14:textFill>
            <w14:solidFill>
              <w14:schemeClr w14:val="tx1"/>
            </w14:solidFill>
          </w14:textFill>
        </w:rPr>
        <w:t>：E</w:t>
      </w:r>
      <w:r>
        <w:rPr>
          <w:rFonts w:hint="eastAsia"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kern w:val="0"/>
          <w14:textFill>
            <w14:solidFill>
              <w14:schemeClr w14:val="tx1"/>
            </w14:solidFill>
          </w14:textFill>
        </w:rPr>
        <w:t>，N</w:t>
      </w:r>
      <w:r>
        <w:rPr>
          <w:rFonts w:hint="eastAsia"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kern w:val="0"/>
          <w14:textFill>
            <w14:solidFill>
              <w14:schemeClr w14:val="tx1"/>
            </w14:solidFill>
          </w14:textFill>
        </w:rPr>
        <w:t>（2000地理坐标）。</w:t>
      </w:r>
    </w:p>
    <w:p w14:paraId="6FA2592A">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哈密市西成矿业有限责任公司M1033铁矿采矿许可证列明的生产规模为28.8万t/a，开采方式为地下开采，矿区范围由4个拐点圈定，矿区面积1.0401km</w:t>
      </w:r>
      <w:r>
        <w:rPr>
          <w:rFonts w:hint="eastAsia" w:eastAsia="宋体"/>
          <w:color w:val="000000" w:themeColor="text1"/>
          <w:kern w:val="0"/>
          <w:vertAlign w:val="superscript"/>
          <w14:textFill>
            <w14:solidFill>
              <w14:schemeClr w14:val="tx1"/>
            </w14:solidFill>
          </w14:textFill>
        </w:rPr>
        <w:t>2</w:t>
      </w:r>
      <w:r>
        <w:rPr>
          <w:rFonts w:hint="eastAsia" w:eastAsia="宋体"/>
          <w:color w:val="000000" w:themeColor="text1"/>
          <w:kern w:val="0"/>
          <w14:textFill>
            <w14:solidFill>
              <w14:schemeClr w14:val="tx1"/>
            </w14:solidFill>
          </w14:textFill>
        </w:rPr>
        <w:t>，开采标高为1240～900m，开采对象主要是矿区内隐伏的9个矿体，包括矿区西部Ⅰ-1、Ⅰ-2、Ⅰ-5、Ⅲ-1、Ⅲ-2、Ⅲ-3号矿体和矿区东部Ⅰ-3、Ⅰ-4和Ⅲ-4号矿体。2015年至今，矿山处于停产状态。</w:t>
      </w:r>
    </w:p>
    <w:p w14:paraId="03D23E41">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lang w:eastAsia="zh-CN"/>
          <w14:textFill>
            <w14:solidFill>
              <w14:schemeClr w14:val="tx1"/>
            </w14:solidFill>
          </w14:textFill>
        </w:rPr>
        <w:t>截至</w:t>
      </w:r>
      <w:r>
        <w:rPr>
          <w:rFonts w:hint="eastAsia" w:eastAsia="宋体"/>
          <w:color w:val="000000" w:themeColor="text1"/>
          <w:kern w:val="0"/>
          <w14:textFill>
            <w14:solidFill>
              <w14:schemeClr w14:val="tx1"/>
            </w14:solidFill>
          </w14:textFill>
        </w:rPr>
        <w:t>目前，矿山共动用矿石量约245.07万t。矿山现已有1个采空区，位于Ⅰ-1号矿体。采空区平面投影面积4764</w:t>
      </w:r>
      <w:r>
        <w:rPr>
          <w:rFonts w:hint="eastAsia" w:eastAsia="宋体"/>
          <w:color w:val="000000" w:themeColor="text1"/>
          <w:kern w:val="0"/>
          <w:lang w:val="en-US" w:eastAsia="zh-CN"/>
          <w14:textFill>
            <w14:solidFill>
              <w14:schemeClr w14:val="tx1"/>
            </w14:solidFill>
          </w14:textFill>
        </w:rPr>
        <w:t>m</w:t>
      </w:r>
      <w:r>
        <w:rPr>
          <w:rFonts w:hint="eastAsia" w:eastAsia="宋体"/>
          <w:color w:val="000000" w:themeColor="text1"/>
          <w:kern w:val="0"/>
          <w:vertAlign w:val="superscript"/>
          <w:lang w:val="en-US" w:eastAsia="zh-CN"/>
          <w14:textFill>
            <w14:solidFill>
              <w14:schemeClr w14:val="tx1"/>
            </w14:solidFill>
          </w14:textFill>
        </w:rPr>
        <w:t>2</w:t>
      </w:r>
      <w:r>
        <w:rPr>
          <w:rFonts w:hint="eastAsia" w:eastAsia="宋体"/>
          <w:color w:val="000000" w:themeColor="text1"/>
          <w:kern w:val="0"/>
          <w14:textFill>
            <w14:solidFill>
              <w14:schemeClr w14:val="tx1"/>
            </w14:solidFill>
          </w14:textFill>
        </w:rPr>
        <w:t>。</w:t>
      </w:r>
    </w:p>
    <w:p w14:paraId="382D7FA4">
      <w:pPr>
        <w:pStyle w:val="962"/>
        <w:spacing w:line="480" w:lineRule="exact"/>
        <w:ind w:firstLine="480"/>
        <w:rPr>
          <w:rFonts w:hint="eastAsia" w:eastAsia="宋体"/>
          <w:color w:val="000000" w:themeColor="text1"/>
          <w:kern w:val="0"/>
          <w:szCs w:val="28"/>
          <w:lang w:eastAsia="zh-CN"/>
          <w14:textFill>
            <w14:solidFill>
              <w14:schemeClr w14:val="tx1"/>
            </w14:solidFill>
          </w14:textFill>
        </w:rPr>
      </w:pPr>
      <w:r>
        <w:rPr>
          <w:rFonts w:hint="eastAsia" w:eastAsia="宋体"/>
          <w:color w:val="000000" w:themeColor="text1"/>
          <w:kern w:val="0"/>
          <w:lang w:eastAsia="zh-CN"/>
          <w14:textFill>
            <w14:solidFill>
              <w14:schemeClr w14:val="tx1"/>
            </w14:solidFill>
          </w14:textFill>
        </w:rPr>
        <w:t>项目</w:t>
      </w:r>
      <w:r>
        <w:rPr>
          <w:rFonts w:hint="eastAsia" w:eastAsia="宋体"/>
          <w:color w:val="000000" w:themeColor="text1"/>
          <w:kern w:val="0"/>
          <w:szCs w:val="28"/>
          <w14:textFill>
            <w14:solidFill>
              <w14:schemeClr w14:val="tx1"/>
            </w14:solidFill>
          </w14:textFill>
        </w:rPr>
        <w:t>已建工程包括办公生活区、主竖井工业广场、副竖井工业广场、选矿厂、尾矿库、爆破器材库、辅助生产区、废石堆、矿石堆、已建矿山道路，本次新建工程</w:t>
      </w:r>
      <w:r>
        <w:rPr>
          <w:rFonts w:hint="eastAsia" w:eastAsia="宋体"/>
          <w:color w:val="000000" w:themeColor="text1"/>
          <w:kern w:val="0"/>
          <w:szCs w:val="28"/>
          <w:lang w:eastAsia="zh-CN"/>
          <w14:textFill>
            <w14:solidFill>
              <w14:schemeClr w14:val="tx1"/>
            </w14:solidFill>
          </w14:textFill>
        </w:rPr>
        <w:t>主要建设内容</w:t>
      </w:r>
      <w:r>
        <w:rPr>
          <w:rFonts w:hint="eastAsia" w:eastAsia="宋体"/>
          <w:color w:val="000000" w:themeColor="text1"/>
          <w:kern w:val="0"/>
          <w:szCs w:val="28"/>
          <w14:textFill>
            <w14:solidFill>
              <w14:schemeClr w14:val="tx1"/>
            </w14:solidFill>
          </w14:textFill>
        </w:rPr>
        <w:t>包括2处</w:t>
      </w:r>
      <w:r>
        <w:rPr>
          <w:rFonts w:hint="eastAsia" w:eastAsia="宋体"/>
          <w:color w:val="000000" w:themeColor="text1"/>
          <w:kern w:val="0"/>
          <w:szCs w:val="28"/>
          <w:lang w:eastAsia="zh-CN"/>
          <w14:textFill>
            <w14:solidFill>
              <w14:schemeClr w14:val="tx1"/>
            </w14:solidFill>
          </w14:textFill>
        </w:rPr>
        <w:t>废石堆场</w:t>
      </w:r>
      <w:r>
        <w:rPr>
          <w:rFonts w:hint="eastAsia" w:eastAsia="宋体"/>
          <w:color w:val="000000" w:themeColor="text1"/>
          <w:kern w:val="0"/>
          <w:szCs w:val="28"/>
          <w14:textFill>
            <w14:solidFill>
              <w14:schemeClr w14:val="tx1"/>
            </w14:solidFill>
          </w14:textFill>
        </w:rPr>
        <w:t>、2处西风井工业场地及联通道路。项目建成后，矿区总占地面积48.14hm</w:t>
      </w:r>
      <w:r>
        <w:rPr>
          <w:rFonts w:hint="eastAsia" w:eastAsia="宋体"/>
          <w:color w:val="000000" w:themeColor="text1"/>
          <w:kern w:val="0"/>
          <w:szCs w:val="28"/>
          <w:vertAlign w:val="superscript"/>
          <w14:textFill>
            <w14:solidFill>
              <w14:schemeClr w14:val="tx1"/>
            </w14:solidFill>
          </w14:textFill>
        </w:rPr>
        <w:t>2</w:t>
      </w:r>
      <w:r>
        <w:rPr>
          <w:rFonts w:hint="eastAsia" w:eastAsia="宋体"/>
          <w:color w:val="000000" w:themeColor="text1"/>
          <w:kern w:val="0"/>
          <w:szCs w:val="28"/>
          <w14:textFill>
            <w14:solidFill>
              <w14:schemeClr w14:val="tx1"/>
            </w14:solidFill>
          </w14:textFill>
        </w:rPr>
        <w:t>，其中采矿工程占地面积14.41hm</w:t>
      </w:r>
      <w:r>
        <w:rPr>
          <w:rFonts w:hint="eastAsia" w:eastAsia="宋体"/>
          <w:color w:val="000000" w:themeColor="text1"/>
          <w:kern w:val="0"/>
          <w:szCs w:val="28"/>
          <w:vertAlign w:val="superscript"/>
          <w14:textFill>
            <w14:solidFill>
              <w14:schemeClr w14:val="tx1"/>
            </w14:solidFill>
          </w14:textFill>
        </w:rPr>
        <w:t>2</w:t>
      </w:r>
      <w:r>
        <w:rPr>
          <w:rFonts w:hint="eastAsia" w:eastAsia="宋体"/>
          <w:color w:val="000000" w:themeColor="text1"/>
          <w:kern w:val="0"/>
          <w:szCs w:val="28"/>
          <w14:textFill>
            <w14:solidFill>
              <w14:schemeClr w14:val="tx1"/>
            </w14:solidFill>
          </w14:textFill>
        </w:rPr>
        <w:t>，其余为选矿工程占地，企业正在办理建设用地手续</w:t>
      </w:r>
      <w:r>
        <w:rPr>
          <w:rFonts w:hint="eastAsia" w:eastAsia="宋体"/>
          <w:color w:val="000000" w:themeColor="text1"/>
          <w:kern w:val="0"/>
          <w:szCs w:val="28"/>
          <w:lang w:eastAsia="zh-CN"/>
          <w14:textFill>
            <w14:solidFill>
              <w14:schemeClr w14:val="tx1"/>
            </w14:solidFill>
          </w14:textFill>
        </w:rPr>
        <w:t>。</w:t>
      </w:r>
    </w:p>
    <w:p w14:paraId="6AAAB7C3">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szCs w:val="28"/>
          <w14:textFill>
            <w14:solidFill>
              <w14:schemeClr w14:val="tx1"/>
            </w14:solidFill>
          </w14:textFill>
        </w:rPr>
        <w:t>矿山生产能力为60万t/a矿石，块度≤350mm，产品方案为原矿石，开采标高为1240～900m，矿区面积1.0401km</w:t>
      </w:r>
      <w:r>
        <w:rPr>
          <w:rFonts w:hint="eastAsia" w:eastAsia="宋体"/>
          <w:color w:val="000000" w:themeColor="text1"/>
          <w:kern w:val="0"/>
          <w:szCs w:val="28"/>
          <w:vertAlign w:val="superscript"/>
          <w14:textFill>
            <w14:solidFill>
              <w14:schemeClr w14:val="tx1"/>
            </w14:solidFill>
          </w14:textFill>
        </w:rPr>
        <w:t>2</w:t>
      </w:r>
      <w:r>
        <w:rPr>
          <w:rFonts w:hint="eastAsia" w:eastAsia="宋体"/>
          <w:color w:val="000000" w:themeColor="text1"/>
          <w:kern w:val="0"/>
          <w:szCs w:val="28"/>
          <w14:textFill>
            <w14:solidFill>
              <w14:schemeClr w14:val="tx1"/>
            </w14:solidFill>
          </w14:textFill>
        </w:rPr>
        <w:t>，采用地下开采方式，生产服务年限</w:t>
      </w:r>
      <w:r>
        <w:rPr>
          <w:rFonts w:hint="eastAsia" w:eastAsia="宋体"/>
          <w:color w:val="000000" w:themeColor="text1"/>
          <w:kern w:val="0"/>
          <w:szCs w:val="28"/>
          <w:lang w:val="en-US" w:eastAsia="zh-CN"/>
          <w14:textFill>
            <w14:solidFill>
              <w14:schemeClr w14:val="tx1"/>
            </w14:solidFill>
          </w14:textFill>
        </w:rPr>
        <w:t>13.31</w:t>
      </w:r>
      <w:r>
        <w:rPr>
          <w:rFonts w:hint="eastAsia" w:eastAsia="宋体"/>
          <w:color w:val="000000" w:themeColor="text1"/>
          <w:kern w:val="0"/>
          <w:szCs w:val="28"/>
          <w14:textFill>
            <w14:solidFill>
              <w14:schemeClr w14:val="tx1"/>
            </w14:solidFill>
          </w14:textFill>
        </w:rPr>
        <w:t>a（约</w:t>
      </w:r>
      <w:r>
        <w:rPr>
          <w:rFonts w:hint="eastAsia" w:eastAsia="宋体"/>
          <w:color w:val="000000" w:themeColor="text1"/>
          <w:kern w:val="0"/>
          <w:szCs w:val="28"/>
          <w:lang w:val="en-US" w:eastAsia="zh-CN"/>
          <w14:textFill>
            <w14:solidFill>
              <w14:schemeClr w14:val="tx1"/>
            </w14:solidFill>
          </w14:textFill>
        </w:rPr>
        <w:t>13</w:t>
      </w:r>
      <w:r>
        <w:rPr>
          <w:rFonts w:hint="eastAsia" w:eastAsia="宋体"/>
          <w:color w:val="000000" w:themeColor="text1"/>
          <w:kern w:val="0"/>
          <w:szCs w:val="28"/>
          <w14:textFill>
            <w14:solidFill>
              <w14:schemeClr w14:val="tx1"/>
            </w14:solidFill>
          </w14:textFill>
        </w:rPr>
        <w:t>年</w:t>
      </w:r>
      <w:r>
        <w:rPr>
          <w:rFonts w:hint="eastAsia" w:eastAsia="宋体"/>
          <w:color w:val="000000" w:themeColor="text1"/>
          <w:kern w:val="0"/>
          <w:szCs w:val="28"/>
          <w:lang w:val="en-US" w:eastAsia="zh-CN"/>
          <w14:textFill>
            <w14:solidFill>
              <w14:schemeClr w14:val="tx1"/>
            </w14:solidFill>
          </w14:textFill>
        </w:rPr>
        <w:t>4</w:t>
      </w:r>
      <w:r>
        <w:rPr>
          <w:rFonts w:hint="eastAsia" w:eastAsia="宋体"/>
          <w:color w:val="000000" w:themeColor="text1"/>
          <w:kern w:val="0"/>
          <w:szCs w:val="28"/>
          <w14:textFill>
            <w14:solidFill>
              <w14:schemeClr w14:val="tx1"/>
            </w14:solidFill>
          </w14:textFill>
        </w:rPr>
        <w:t>个月）。采矿方法为</w:t>
      </w:r>
      <w:r>
        <w:rPr>
          <w:rFonts w:hint="eastAsia" w:eastAsia="宋体"/>
          <w:color w:val="000000" w:themeColor="text1"/>
          <w:kern w:val="0"/>
          <w:szCs w:val="28"/>
          <w:lang w:val="en-US" w:eastAsia="zh-CN"/>
          <w14:textFill>
            <w14:solidFill>
              <w14:schemeClr w14:val="tx1"/>
            </w14:solidFill>
          </w14:textFill>
        </w:rPr>
        <w:t>无底柱分段崩落法</w:t>
      </w:r>
      <w:r>
        <w:rPr>
          <w:rFonts w:hint="eastAsia" w:eastAsia="宋体"/>
          <w:color w:val="000000" w:themeColor="text1"/>
          <w:kern w:val="0"/>
          <w:szCs w:val="28"/>
          <w14:textFill>
            <w14:solidFill>
              <w14:schemeClr w14:val="tx1"/>
            </w14:solidFill>
          </w14:textFill>
        </w:rPr>
        <w:t>，采矿综合回采率85%，贫化率1</w:t>
      </w:r>
      <w:r>
        <w:rPr>
          <w:rFonts w:hint="eastAsia" w:eastAsia="宋体"/>
          <w:color w:val="000000" w:themeColor="text1"/>
          <w:kern w:val="0"/>
          <w:szCs w:val="28"/>
          <w:lang w:val="en-US" w:eastAsia="zh-CN"/>
          <w14:textFill>
            <w14:solidFill>
              <w14:schemeClr w14:val="tx1"/>
            </w14:solidFill>
          </w14:textFill>
        </w:rPr>
        <w:t>0</w:t>
      </w:r>
      <w:r>
        <w:rPr>
          <w:rFonts w:hint="eastAsia" w:eastAsia="宋体"/>
          <w:color w:val="000000" w:themeColor="text1"/>
          <w:kern w:val="0"/>
          <w:szCs w:val="28"/>
          <w14:textFill>
            <w14:solidFill>
              <w14:schemeClr w14:val="tx1"/>
            </w14:solidFill>
          </w14:textFill>
        </w:rPr>
        <w:t>%，采用竖井开拓方案。</w:t>
      </w:r>
    </w:p>
    <w:p w14:paraId="3BDA9468">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lang w:eastAsia="zh-CN"/>
          <w14:textFill>
            <w14:solidFill>
              <w14:schemeClr w14:val="tx1"/>
            </w14:solidFill>
          </w14:textFill>
        </w:rPr>
        <w:t>本项目</w:t>
      </w:r>
      <w:r>
        <w:rPr>
          <w:rFonts w:eastAsia="宋体"/>
          <w:color w:val="000000" w:themeColor="text1"/>
          <w14:textFill>
            <w14:solidFill>
              <w14:schemeClr w14:val="tx1"/>
            </w14:solidFill>
          </w14:textFill>
        </w:rPr>
        <w:t>总投资</w:t>
      </w:r>
      <w:r>
        <w:rPr>
          <w:rFonts w:hint="eastAsia" w:cs="Times New Roman"/>
          <w:color w:val="000000" w:themeColor="text1"/>
          <w:sz w:val="24"/>
          <w:szCs w:val="24"/>
          <w:highlight w:val="none"/>
          <w:lang w:val="en-US" w:eastAsia="zh-CN"/>
          <w14:textFill>
            <w14:solidFill>
              <w14:schemeClr w14:val="tx1"/>
            </w14:solidFill>
          </w14:textFill>
        </w:rPr>
        <w:t>10333.89</w:t>
      </w:r>
      <w:r>
        <w:rPr>
          <w:rFonts w:eastAsia="宋体"/>
          <w:color w:val="000000" w:themeColor="text1"/>
          <w14:textFill>
            <w14:solidFill>
              <w14:schemeClr w14:val="tx1"/>
            </w14:solidFill>
          </w14:textFill>
        </w:rPr>
        <w:t>万元，其中环保投资</w:t>
      </w:r>
      <w:r>
        <w:rPr>
          <w:rFonts w:hint="eastAsia" w:cs="Times New Roman"/>
          <w:color w:val="000000" w:themeColor="text1"/>
          <w:kern w:val="0"/>
          <w:sz w:val="24"/>
          <w:szCs w:val="24"/>
          <w:highlight w:val="none"/>
          <w:lang w:val="en-US" w:eastAsia="zh-CN"/>
          <w14:textFill>
            <w14:solidFill>
              <w14:schemeClr w14:val="tx1"/>
            </w14:solidFill>
          </w14:textFill>
        </w:rPr>
        <w:t>1476.77</w:t>
      </w:r>
      <w:r>
        <w:rPr>
          <w:rFonts w:eastAsia="宋体"/>
          <w:color w:val="000000" w:themeColor="text1"/>
          <w14:textFill>
            <w14:solidFill>
              <w14:schemeClr w14:val="tx1"/>
            </w14:solidFill>
          </w14:textFill>
        </w:rPr>
        <w:t>万元，占项目总投资的</w:t>
      </w:r>
      <w:r>
        <w:rPr>
          <w:rFonts w:hint="eastAsia" w:cs="Times New Roman"/>
          <w:color w:val="000000" w:themeColor="text1"/>
          <w:kern w:val="0"/>
          <w:sz w:val="24"/>
          <w:szCs w:val="24"/>
          <w:highlight w:val="none"/>
          <w:lang w:val="en-US" w:eastAsia="zh-CN"/>
          <w14:textFill>
            <w14:solidFill>
              <w14:schemeClr w14:val="tx1"/>
            </w14:solidFill>
          </w14:textFill>
        </w:rPr>
        <w:t>14.29</w:t>
      </w:r>
      <w:r>
        <w:rPr>
          <w:rFonts w:eastAsia="宋体"/>
          <w:color w:val="000000" w:themeColor="text1"/>
          <w14:textFill>
            <w14:solidFill>
              <w14:schemeClr w14:val="tx1"/>
            </w14:solidFill>
          </w14:textFill>
        </w:rPr>
        <w:t>%，资金全部由企业自筹。</w:t>
      </w:r>
    </w:p>
    <w:p w14:paraId="7DD5EFA5">
      <w:pPr>
        <w:pStyle w:val="3"/>
        <w:numPr>
          <w:ilvl w:val="1"/>
          <w:numId w:val="0"/>
        </w:numPr>
        <w:rPr>
          <w:bCs/>
          <w:color w:val="000000" w:themeColor="text1"/>
          <w14:textFill>
            <w14:solidFill>
              <w14:schemeClr w14:val="tx1"/>
            </w14:solidFill>
          </w14:textFill>
        </w:rPr>
      </w:pPr>
      <w:bookmarkStart w:id="743" w:name="_Toc3512"/>
      <w:bookmarkStart w:id="744" w:name="_Toc482784728"/>
      <w:bookmarkStart w:id="745" w:name="_Toc1618"/>
      <w:bookmarkStart w:id="746" w:name="_Toc11543"/>
      <w:bookmarkStart w:id="747" w:name="_Toc7960"/>
      <w:bookmarkStart w:id="748" w:name="_Toc23613"/>
      <w:bookmarkStart w:id="749" w:name="_Toc16927"/>
      <w:bookmarkStart w:id="750" w:name="_Toc5630"/>
      <w:bookmarkStart w:id="751" w:name="_Toc13836"/>
      <w:bookmarkStart w:id="752" w:name="_Toc492457108"/>
      <w:bookmarkStart w:id="753" w:name="_Toc1413918943"/>
      <w:bookmarkStart w:id="754" w:name="_Toc31598"/>
      <w:bookmarkStart w:id="755" w:name="_Toc13905"/>
      <w:bookmarkStart w:id="756" w:name="_Toc23670"/>
      <w:bookmarkStart w:id="757" w:name="_Toc26200"/>
      <w:bookmarkStart w:id="758" w:name="_Toc111767583"/>
      <w:bookmarkStart w:id="759" w:name="_Toc31221"/>
      <w:r>
        <w:rPr>
          <w:bCs/>
          <w:color w:val="000000" w:themeColor="text1"/>
          <w14:textFill>
            <w14:solidFill>
              <w14:schemeClr w14:val="tx1"/>
            </w14:solidFill>
          </w14:textFill>
        </w:rPr>
        <w:t>9.2符合性分析</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7868EF76">
      <w:pPr>
        <w:spacing w:line="48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w:t>
      </w:r>
      <w:r>
        <w:rPr>
          <w:rFonts w:hint="eastAsia"/>
          <w:color w:val="000000" w:themeColor="text1"/>
          <w:sz w:val="24"/>
          <w:szCs w:val="24"/>
          <w:lang w:eastAsia="zh-CN"/>
          <w14:textFill>
            <w14:solidFill>
              <w14:schemeClr w14:val="tx1"/>
            </w14:solidFill>
          </w14:textFill>
        </w:rPr>
        <w:t>项目</w:t>
      </w:r>
      <w:r>
        <w:rPr>
          <w:color w:val="000000" w:themeColor="text1"/>
          <w:sz w:val="24"/>
          <w:szCs w:val="24"/>
          <w14:textFill>
            <w14:solidFill>
              <w14:schemeClr w14:val="tx1"/>
            </w14:solidFill>
          </w14:textFill>
        </w:rPr>
        <w:t>为</w:t>
      </w:r>
      <w:r>
        <w:rPr>
          <w:rFonts w:hint="eastAsia"/>
          <w:color w:val="000000" w:themeColor="text1"/>
          <w:sz w:val="24"/>
          <w:szCs w:val="24"/>
          <w14:textFill>
            <w14:solidFill>
              <w14:schemeClr w14:val="tx1"/>
            </w14:solidFill>
          </w14:textFill>
        </w:rPr>
        <w:t>铁矿</w:t>
      </w:r>
      <w:r>
        <w:rPr>
          <w:color w:val="000000" w:themeColor="text1"/>
          <w:sz w:val="24"/>
          <w:szCs w:val="24"/>
          <w14:textFill>
            <w14:solidFill>
              <w14:schemeClr w14:val="tx1"/>
            </w14:solidFill>
          </w14:textFill>
        </w:rPr>
        <w:t>开采项目，</w:t>
      </w:r>
      <w:r>
        <w:rPr>
          <w:color w:val="000000" w:themeColor="text1"/>
          <w:sz w:val="24"/>
          <w14:textFill>
            <w14:solidFill>
              <w14:schemeClr w14:val="tx1"/>
            </w14:solidFill>
          </w14:textFill>
        </w:rPr>
        <w:t>根据《产业结构调整指导目录（20</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年本）》，</w:t>
      </w:r>
      <w:r>
        <w:rPr>
          <w:rFonts w:hint="eastAsia"/>
          <w:color w:val="000000" w:themeColor="text1"/>
          <w:sz w:val="24"/>
          <w14:textFill>
            <w14:solidFill>
              <w14:schemeClr w14:val="tx1"/>
            </w14:solidFill>
          </w14:textFill>
        </w:rPr>
        <w:t>本</w:t>
      </w:r>
      <w:r>
        <w:rPr>
          <w:rFonts w:hint="eastAsia"/>
          <w:color w:val="000000" w:themeColor="text1"/>
          <w:sz w:val="24"/>
          <w:lang w:eastAsia="zh-CN"/>
          <w14:textFill>
            <w14:solidFill>
              <w14:schemeClr w14:val="tx1"/>
            </w14:solidFill>
          </w14:textFill>
        </w:rPr>
        <w:t>项目</w:t>
      </w:r>
      <w:r>
        <w:rPr>
          <w:color w:val="000000" w:themeColor="text1"/>
          <w:sz w:val="24"/>
          <w14:textFill>
            <w14:solidFill>
              <w14:schemeClr w14:val="tx1"/>
            </w14:solidFill>
          </w14:textFill>
        </w:rPr>
        <w:t>属于产业政策鼓励类，</w:t>
      </w:r>
      <w:r>
        <w:rPr>
          <w:rFonts w:hint="eastAsia"/>
          <w:color w:val="000000" w:themeColor="text1"/>
          <w:sz w:val="24"/>
          <w14:textFill>
            <w14:solidFill>
              <w14:schemeClr w14:val="tx1"/>
            </w14:solidFill>
          </w14:textFill>
        </w:rPr>
        <w:t>本</w:t>
      </w:r>
      <w:r>
        <w:rPr>
          <w:rFonts w:hint="eastAsia"/>
          <w:color w:val="000000" w:themeColor="text1"/>
          <w:sz w:val="24"/>
          <w:lang w:eastAsia="zh-CN"/>
          <w14:textFill>
            <w14:solidFill>
              <w14:schemeClr w14:val="tx1"/>
            </w14:solidFill>
          </w14:textFill>
        </w:rPr>
        <w:t>项目</w:t>
      </w:r>
      <w:r>
        <w:rPr>
          <w:color w:val="000000" w:themeColor="text1"/>
          <w:sz w:val="24"/>
          <w14:textFill>
            <w14:solidFill>
              <w14:schemeClr w14:val="tx1"/>
            </w14:solidFill>
          </w14:textFill>
        </w:rPr>
        <w:t>的建设符合国家产业政策。</w:t>
      </w:r>
    </w:p>
    <w:p w14:paraId="4D837D0F">
      <w:pPr>
        <w:pStyle w:val="962"/>
        <w:spacing w:line="480" w:lineRule="exact"/>
        <w:ind w:firstLine="480"/>
        <w:rPr>
          <w:rFonts w:eastAsia="宋体"/>
          <w:color w:val="000000" w:themeColor="text1"/>
          <w:kern w:val="0"/>
          <w14:textFill>
            <w14:solidFill>
              <w14:schemeClr w14:val="tx1"/>
            </w14:solidFill>
          </w14:textFill>
        </w:rPr>
      </w:pPr>
      <w:r>
        <w:rPr>
          <w:rFonts w:eastAsia="宋体"/>
          <w:color w:val="000000" w:themeColor="text1"/>
          <w14:textFill>
            <w14:solidFill>
              <w14:schemeClr w14:val="tx1"/>
            </w14:solidFill>
          </w14:textFill>
        </w:rPr>
        <w:t>项目选址与空间布局符合性及污染防治与环境影响符合性，满足</w:t>
      </w:r>
      <w:r>
        <w:rPr>
          <w:rFonts w:hint="eastAsia" w:eastAsia="宋体"/>
          <w:color w:val="000000" w:themeColor="text1"/>
          <w14:textFill>
            <w14:solidFill>
              <w14:schemeClr w14:val="tx1"/>
            </w14:solidFill>
          </w14:textFill>
        </w:rPr>
        <w:t>《新疆维吾尔自治区重点行业生态环境准入条件（2024年）》</w:t>
      </w:r>
      <w:r>
        <w:rPr>
          <w:rFonts w:eastAsia="宋体"/>
          <w:color w:val="000000" w:themeColor="text1"/>
          <w14:textFill>
            <w14:solidFill>
              <w14:schemeClr w14:val="tx1"/>
            </w14:solidFill>
          </w14:textFill>
        </w:rPr>
        <w:t>的有关要求。符合</w:t>
      </w:r>
      <w:r>
        <w:rPr>
          <w:rFonts w:hint="eastAsia" w:eastAsia="宋体"/>
          <w:color w:val="000000" w:themeColor="text1"/>
          <w14:textFill>
            <w14:solidFill>
              <w14:schemeClr w14:val="tx1"/>
            </w14:solidFill>
          </w14:textFill>
        </w:rPr>
        <w:t>《新疆维吾尔自治区生态环境分区管控动态更新成果》</w:t>
      </w:r>
      <w:r>
        <w:rPr>
          <w:rFonts w:eastAsia="宋体"/>
          <w:color w:val="000000" w:themeColor="text1"/>
          <w14:textFill>
            <w14:solidFill>
              <w14:schemeClr w14:val="tx1"/>
            </w14:solidFill>
          </w14:textFill>
        </w:rPr>
        <w:t>及《</w:t>
      </w:r>
      <w:r>
        <w:rPr>
          <w:rFonts w:hint="eastAsia" w:eastAsia="宋体"/>
          <w:color w:val="000000" w:themeColor="text1"/>
          <w:lang w:eastAsia="zh-CN"/>
          <w14:textFill>
            <w14:solidFill>
              <w14:schemeClr w14:val="tx1"/>
            </w14:solidFill>
          </w14:textFill>
        </w:rPr>
        <w:t>哈密</w:t>
      </w:r>
      <w:r>
        <w:rPr>
          <w:rFonts w:hint="eastAsia" w:eastAsia="宋体"/>
          <w:color w:val="000000" w:themeColor="text1"/>
          <w14:textFill>
            <w14:solidFill>
              <w14:schemeClr w14:val="tx1"/>
            </w14:solidFill>
          </w14:textFill>
        </w:rPr>
        <w:t>地区“</w:t>
      </w:r>
      <w:r>
        <w:rPr>
          <w:rFonts w:eastAsia="宋体"/>
          <w:color w:val="000000" w:themeColor="text1"/>
          <w14:textFill>
            <w14:solidFill>
              <w14:schemeClr w14:val="tx1"/>
            </w14:solidFill>
          </w14:textFill>
        </w:rPr>
        <w:t>三线一单</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生态环境分区管控方案》中的相关要求。符合《新疆维吾尔自治区国民经济和社会发展第十四个五年规划和2035年远景目标纲要》中的相关规定，同时，</w:t>
      </w:r>
      <w:r>
        <w:rPr>
          <w:rFonts w:hint="eastAsia" w:eastAsia="宋体"/>
          <w:color w:val="000000" w:themeColor="text1"/>
          <w:lang w:eastAsia="zh-CN"/>
          <w14:textFill>
            <w14:solidFill>
              <w14:schemeClr w14:val="tx1"/>
            </w14:solidFill>
          </w14:textFill>
        </w:rPr>
        <w:t>本项目</w:t>
      </w:r>
      <w:r>
        <w:rPr>
          <w:rFonts w:eastAsia="宋体"/>
          <w:color w:val="000000" w:themeColor="text1"/>
          <w14:textFill>
            <w14:solidFill>
              <w14:schemeClr w14:val="tx1"/>
            </w14:solidFill>
          </w14:textFill>
        </w:rPr>
        <w:t>的建设也符合《</w:t>
      </w:r>
      <w:r>
        <w:rPr>
          <w:rFonts w:hint="eastAsia" w:eastAsia="宋体"/>
          <w:color w:val="000000" w:themeColor="text1"/>
          <w:lang w:eastAsia="zh-CN"/>
          <w14:textFill>
            <w14:solidFill>
              <w14:schemeClr w14:val="tx1"/>
            </w14:solidFill>
          </w14:textFill>
        </w:rPr>
        <w:t>哈密市</w:t>
      </w:r>
      <w:r>
        <w:rPr>
          <w:rFonts w:eastAsia="宋体"/>
          <w:color w:val="000000" w:themeColor="text1"/>
          <w14:textFill>
            <w14:solidFill>
              <w14:schemeClr w14:val="tx1"/>
            </w14:solidFill>
          </w14:textFill>
        </w:rPr>
        <w:t>国民经济和社会发展第十四个五年规划和2035年远景目标纲要》</w:t>
      </w:r>
      <w:r>
        <w:rPr>
          <w:rFonts w:hint="eastAsia" w:eastAsia="宋体"/>
          <w:color w:val="000000" w:themeColor="text1"/>
          <w14:textFill>
            <w14:solidFill>
              <w14:schemeClr w14:val="tx1"/>
            </w14:solidFill>
          </w14:textFill>
        </w:rPr>
        <w:t>中的相关要求。</w:t>
      </w:r>
    </w:p>
    <w:p w14:paraId="0FB2542E">
      <w:pPr>
        <w:pStyle w:val="3"/>
        <w:numPr>
          <w:ilvl w:val="1"/>
          <w:numId w:val="0"/>
        </w:numPr>
        <w:rPr>
          <w:bCs/>
          <w:color w:val="000000" w:themeColor="text1"/>
          <w14:textFill>
            <w14:solidFill>
              <w14:schemeClr w14:val="tx1"/>
            </w14:solidFill>
          </w14:textFill>
        </w:rPr>
      </w:pPr>
      <w:bookmarkStart w:id="760" w:name="_Toc111767584"/>
      <w:bookmarkStart w:id="761" w:name="_Toc5927"/>
      <w:r>
        <w:rPr>
          <w:bCs/>
          <w:color w:val="000000" w:themeColor="text1"/>
          <w14:textFill>
            <w14:solidFill>
              <w14:schemeClr w14:val="tx1"/>
            </w14:solidFill>
          </w14:textFill>
        </w:rPr>
        <w:t>9.</w:t>
      </w:r>
      <w:r>
        <w:rPr>
          <w:rFonts w:hint="eastAsia"/>
          <w:bCs/>
          <w:color w:val="000000" w:themeColor="text1"/>
          <w14:textFill>
            <w14:solidFill>
              <w14:schemeClr w14:val="tx1"/>
            </w14:solidFill>
          </w14:textFill>
        </w:rPr>
        <w:t>3环境质量现状</w:t>
      </w:r>
      <w:bookmarkEnd w:id="760"/>
      <w:bookmarkEnd w:id="761"/>
    </w:p>
    <w:p w14:paraId="70B76628">
      <w:pPr>
        <w:pStyle w:val="4"/>
        <w:spacing w:before="60" w:after="60" w:line="480" w:lineRule="exact"/>
        <w:rPr>
          <w:color w:val="000000" w:themeColor="text1"/>
          <w:kern w:val="2"/>
          <w14:textFill>
            <w14:solidFill>
              <w14:schemeClr w14:val="tx1"/>
            </w14:solidFill>
          </w14:textFill>
        </w:rPr>
      </w:pPr>
      <w:bookmarkStart w:id="762" w:name="_Toc13654"/>
      <w:bookmarkStart w:id="763" w:name="_Toc16219"/>
      <w:bookmarkStart w:id="764" w:name="_Toc16053"/>
      <w:bookmarkStart w:id="765" w:name="_Toc31950"/>
      <w:bookmarkStart w:id="766" w:name="_Toc30636"/>
      <w:bookmarkStart w:id="767" w:name="_Toc3353"/>
      <w:bookmarkStart w:id="768" w:name="_Toc3807"/>
      <w:bookmarkStart w:id="769" w:name="_Toc7582"/>
      <w:bookmarkStart w:id="770" w:name="_Toc807332617"/>
      <w:r>
        <w:rPr>
          <w:color w:val="000000" w:themeColor="text1"/>
          <w:kern w:val="2"/>
          <w14:textFill>
            <w14:solidFill>
              <w14:schemeClr w14:val="tx1"/>
            </w14:solidFill>
          </w14:textFill>
        </w:rPr>
        <w:t>9.3.1环境空气质量现状</w:t>
      </w:r>
      <w:bookmarkEnd w:id="762"/>
      <w:bookmarkEnd w:id="763"/>
      <w:bookmarkEnd w:id="764"/>
      <w:bookmarkEnd w:id="765"/>
      <w:bookmarkEnd w:id="766"/>
      <w:bookmarkEnd w:id="767"/>
      <w:bookmarkEnd w:id="768"/>
      <w:bookmarkEnd w:id="769"/>
      <w:bookmarkEnd w:id="770"/>
    </w:p>
    <w:p w14:paraId="25BA6CC6">
      <w:pPr>
        <w:spacing w:line="480" w:lineRule="exact"/>
        <w:ind w:firstLine="480" w:firstLineChars="200"/>
        <w:rPr>
          <w:rFonts w:hint="eastAsia" w:ascii="Times New Roman" w:hAnsi="Times New Roman" w:eastAsia="宋体" w:cs="Times New Roman"/>
          <w:color w:val="000000" w:themeColor="text1"/>
          <w:sz w:val="24"/>
          <w:szCs w:val="22"/>
          <w:lang w:val="en-US" w:eastAsia="zh-CN"/>
          <w14:textFill>
            <w14:solidFill>
              <w14:schemeClr w14:val="tx1"/>
            </w14:solidFill>
          </w14:textFill>
        </w:rPr>
      </w:pPr>
      <w:r>
        <w:rPr>
          <w:rFonts w:hint="eastAsia"/>
          <w:color w:val="000000" w:themeColor="text1"/>
          <w:kern w:val="0"/>
          <w:sz w:val="24"/>
          <w14:textFill>
            <w14:solidFill>
              <w14:schemeClr w14:val="tx1"/>
            </w14:solidFill>
          </w14:textFill>
        </w:rPr>
        <w:t>根据</w:t>
      </w:r>
      <w:r>
        <w:rPr>
          <w:rFonts w:hint="default" w:ascii="Times New Roman" w:hAnsi="Times New Roman" w:eastAsia="宋体" w:cs="Times New Roman"/>
          <w:color w:val="000000" w:themeColor="text1"/>
          <w:spacing w:val="0"/>
          <w:sz w:val="24"/>
          <w14:textFill>
            <w14:solidFill>
              <w14:schemeClr w14:val="tx1"/>
            </w14:solidFill>
          </w14:textFill>
        </w:rPr>
        <w:t>环境空气质量模型技术支持服务系统</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中的</w:t>
      </w:r>
      <w:r>
        <w:rPr>
          <w:rFonts w:hint="default" w:ascii="Times New Roman" w:hAnsi="Times New Roman" w:eastAsia="宋体" w:cs="Times New Roman"/>
          <w:color w:val="000000" w:themeColor="text1"/>
          <w:spacing w:val="0"/>
          <w:sz w:val="24"/>
          <w14:textFill>
            <w14:solidFill>
              <w14:schemeClr w14:val="tx1"/>
            </w14:solidFill>
          </w14:textFill>
        </w:rPr>
        <w:t>哈密市国控点20</w:t>
      </w:r>
      <w:r>
        <w:rPr>
          <w:rFonts w:hint="eastAsia" w:cs="Times New Roman"/>
          <w:color w:val="000000" w:themeColor="text1"/>
          <w:spacing w:val="0"/>
          <w:sz w:val="24"/>
          <w:lang w:val="en-US" w:eastAsia="zh-CN"/>
          <w14:textFill>
            <w14:solidFill>
              <w14:schemeClr w14:val="tx1"/>
            </w14:solidFill>
          </w14:textFill>
        </w:rPr>
        <w:t>24</w:t>
      </w:r>
      <w:r>
        <w:rPr>
          <w:rFonts w:hint="default" w:ascii="Times New Roman" w:hAnsi="Times New Roman" w:eastAsia="宋体" w:cs="Times New Roman"/>
          <w:color w:val="000000" w:themeColor="text1"/>
          <w:spacing w:val="0"/>
          <w:sz w:val="24"/>
          <w14:textFill>
            <w14:solidFill>
              <w14:schemeClr w14:val="tx1"/>
            </w14:solidFill>
          </w14:textFill>
        </w:rPr>
        <w:t>年的</w:t>
      </w:r>
      <w:r>
        <w:rPr>
          <w:rFonts w:hint="eastAsia"/>
          <w:color w:val="000000" w:themeColor="text1"/>
          <w:sz w:val="24"/>
          <w:szCs w:val="24"/>
          <w14:textFill>
            <w14:solidFill>
              <w14:schemeClr w14:val="tx1"/>
            </w14:solidFill>
          </w14:textFill>
        </w:rPr>
        <w:t>环境质量数据，哈密市202</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SO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年均浓度分别为6</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；CO 24小时第95百分位数为1000</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日最大8小时平均第90百分位数为140</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其中，PM</w:t>
      </w:r>
      <w:r>
        <w:rPr>
          <w:rFonts w:hint="eastAsia" w:cs="Times New Roman"/>
          <w:color w:val="000000" w:themeColor="text1"/>
          <w:sz w:val="24"/>
          <w:szCs w:val="22"/>
          <w:vertAlign w:val="subscript"/>
          <w:lang w:val="en-US" w:eastAsia="zh-CN"/>
          <w14:textFill>
            <w14:solidFill>
              <w14:schemeClr w14:val="tx1"/>
            </w14:solidFill>
          </w14:textFill>
        </w:rPr>
        <w:t>10</w:t>
      </w:r>
      <w:r>
        <w:rPr>
          <w:rFonts w:hint="eastAsia" w:cs="Times New Roman"/>
          <w:color w:val="000000" w:themeColor="text1"/>
          <w:sz w:val="24"/>
          <w:szCs w:val="22"/>
          <w:lang w:val="en-US" w:eastAsia="zh-CN"/>
          <w14:textFill>
            <w14:solidFill>
              <w14:schemeClr w14:val="tx1"/>
            </w14:solidFill>
          </w14:textFill>
        </w:rPr>
        <w:t>占标率为103.3%＞100%，超过</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《环境空气质量标准》（GB3095-20</w:t>
      </w:r>
      <w:r>
        <w:rPr>
          <w:rFonts w:hint="eastAsia" w:cs="Times New Roman"/>
          <w:color w:val="000000" w:themeColor="text1"/>
          <w:sz w:val="24"/>
          <w:szCs w:val="22"/>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过渡阶段</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二级</w:t>
      </w:r>
      <w:r>
        <w:rPr>
          <w:rFonts w:hint="eastAsia" w:cs="Times New Roman"/>
          <w:color w:val="000000" w:themeColor="text1"/>
          <w:sz w:val="24"/>
          <w:szCs w:val="22"/>
          <w:lang w:val="en-US" w:eastAsia="zh-CN"/>
          <w14:textFill>
            <w14:solidFill>
              <w14:schemeClr w14:val="tx1"/>
            </w14:solidFill>
          </w14:textFill>
        </w:rPr>
        <w:t>浓度</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限值</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要求</w:t>
      </w:r>
      <w:r>
        <w:rPr>
          <w:rFonts w:hint="eastAsia"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w:t>
      </w:r>
      <w:r>
        <w:rPr>
          <w:rFonts w:hint="eastAsia"/>
          <w:color w:val="000000" w:themeColor="text1"/>
          <w:sz w:val="24"/>
          <w:szCs w:val="24"/>
          <w14:textFill>
            <w14:solidFill>
              <w14:schemeClr w14:val="tx1"/>
            </w14:solidFill>
          </w14:textFill>
        </w:rPr>
        <w:t>由此判定，</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项目所在区域为</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w:t>
      </w:r>
      <w:r>
        <w:rPr>
          <w:rFonts w:hint="eastAsia" w:cs="Times New Roman"/>
          <w:color w:val="000000" w:themeColor="text1"/>
          <w:spacing w:val="-4"/>
          <w:kern w:val="2"/>
          <w:sz w:val="24"/>
          <w:szCs w:val="24"/>
          <w:lang w:val="en-US" w:eastAsia="zh-CN" w:bidi="ar-SA"/>
          <w14:textFill>
            <w14:solidFill>
              <w14:schemeClr w14:val="tx1"/>
            </w14:solidFill>
          </w14:textFill>
        </w:rPr>
        <w:t>不达标区</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w:t>
      </w:r>
    </w:p>
    <w:p w14:paraId="026D18B0">
      <w:pPr>
        <w:pStyle w:val="962"/>
        <w:spacing w:line="480" w:lineRule="exact"/>
        <w:ind w:firstLine="480"/>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根据补充监测的结果，评价区域环境空气中污染物TSP浓度满足《环境空气质量标准》（GB3095-202</w:t>
      </w:r>
      <w:r>
        <w:rPr>
          <w:rFonts w:hint="eastAsia" w:eastAsia="宋体"/>
          <w:color w:val="000000" w:themeColor="text1"/>
          <w:kern w:val="0"/>
          <w:lang w:val="en-US" w:eastAsia="zh-CN"/>
          <w14:textFill>
            <w14:solidFill>
              <w14:schemeClr w14:val="tx1"/>
            </w14:solidFill>
          </w14:textFill>
        </w:rPr>
        <w:t>6</w:t>
      </w:r>
      <w:r>
        <w:rPr>
          <w:rFonts w:hint="eastAsia" w:eastAsia="宋体"/>
          <w:color w:val="000000" w:themeColor="text1"/>
          <w:kern w:val="0"/>
          <w14:textFill>
            <w14:solidFill>
              <w14:schemeClr w14:val="tx1"/>
            </w14:solidFill>
          </w14:textFill>
        </w:rPr>
        <w:t>）二级标准浓度限值（0.30mg/m</w:t>
      </w:r>
      <w:r>
        <w:rPr>
          <w:rFonts w:hint="eastAsia" w:eastAsia="宋体"/>
          <w:color w:val="000000" w:themeColor="text1"/>
          <w:kern w:val="0"/>
          <w:vertAlign w:val="superscript"/>
          <w14:textFill>
            <w14:solidFill>
              <w14:schemeClr w14:val="tx1"/>
            </w14:solidFill>
          </w14:textFill>
        </w:rPr>
        <w:t>3</w:t>
      </w:r>
      <w:r>
        <w:rPr>
          <w:rFonts w:hint="eastAsia" w:eastAsia="宋体"/>
          <w:color w:val="000000" w:themeColor="text1"/>
          <w:kern w:val="0"/>
          <w14:textFill>
            <w14:solidFill>
              <w14:schemeClr w14:val="tx1"/>
            </w14:solidFill>
          </w14:textFill>
        </w:rPr>
        <w:t>）要求。</w:t>
      </w:r>
    </w:p>
    <w:p w14:paraId="0AC7D872">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9.3.</w:t>
      </w:r>
      <w:r>
        <w:rPr>
          <w:rFonts w:hint="eastAsia"/>
          <w:color w:val="000000" w:themeColor="text1"/>
          <w:kern w:val="2"/>
          <w14:textFill>
            <w14:solidFill>
              <w14:schemeClr w14:val="tx1"/>
            </w14:solidFill>
          </w14:textFill>
        </w:rPr>
        <w:t>2水环境现状</w:t>
      </w:r>
    </w:p>
    <w:p w14:paraId="49AEF65F">
      <w:pPr>
        <w:pStyle w:val="962"/>
        <w:spacing w:line="480" w:lineRule="exact"/>
        <w:ind w:firstLine="480"/>
        <w:rPr>
          <w:rFonts w:hint="eastAsia" w:eastAsia="宋体"/>
          <w:color w:val="000000" w:themeColor="text1"/>
          <w:lang w:eastAsia="zh-CN"/>
          <w14:textFill>
            <w14:solidFill>
              <w14:schemeClr w14:val="tx1"/>
            </w14:solidFill>
          </w14:textFill>
        </w:rPr>
      </w:pPr>
      <w:r>
        <w:rPr>
          <w:rFonts w:hint="eastAsia" w:eastAsia="宋体"/>
          <w:color w:val="000000" w:themeColor="text1"/>
          <w14:textFill>
            <w14:solidFill>
              <w14:schemeClr w14:val="tx1"/>
            </w14:solidFill>
          </w14:textFill>
        </w:rPr>
        <w:t>矿区及附近地区地表水体不发育，无常年性流水，仅在6～8月份雨季，暴雨时期在地表形成暂时性水流在低洼地汇集蒸发，矿区内沟谷不发育</w:t>
      </w:r>
      <w:r>
        <w:rPr>
          <w:rFonts w:hint="eastAsia" w:eastAsia="宋体"/>
          <w:color w:val="000000" w:themeColor="text1"/>
          <w:lang w:eastAsia="zh-CN"/>
          <w14:textFill>
            <w14:solidFill>
              <w14:schemeClr w14:val="tx1"/>
            </w14:solidFill>
          </w14:textFill>
        </w:rPr>
        <w:t>。</w:t>
      </w:r>
    </w:p>
    <w:p w14:paraId="2DBC7E09">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14:textFill>
            <w14:solidFill>
              <w14:schemeClr w14:val="tx1"/>
            </w14:solidFill>
          </w14:textFill>
        </w:rPr>
        <w:t>监测结果表明：各点位溶解性总固体、总硬度、硫酸盐、氯化物、钠、铁等指标均超过《地下水质量标准》（GB/T14848-2017）Ⅲ类标准限值，锰在1#点位达标外，其余点位已超过《地下水质量标准》（GB/T14848-2017）Ⅲ类标准限值。本次监测地下水超标指标主要为常规无机盐类和硬度指标，其超标原因是区域天然地质背景及干旱气候条件下地下水长期蒸发浓缩所致。</w:t>
      </w:r>
    </w:p>
    <w:p w14:paraId="020B3EE2">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9.3.</w:t>
      </w:r>
      <w:r>
        <w:rPr>
          <w:rFonts w:hint="eastAsia"/>
          <w:color w:val="000000" w:themeColor="text1"/>
          <w:kern w:val="2"/>
          <w14:textFill>
            <w14:solidFill>
              <w14:schemeClr w14:val="tx1"/>
            </w14:solidFill>
          </w14:textFill>
        </w:rPr>
        <w:t>3声环境现状</w:t>
      </w:r>
    </w:p>
    <w:p w14:paraId="2EE08EFA">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项目区厂界四周及项目区中心的昼间、夜间声环境质量均能达到《声环境质量标准》（GB3096-2008）2类区标准要求，</w:t>
      </w:r>
      <w:r>
        <w:rPr>
          <w:rFonts w:eastAsia="宋体"/>
          <w:color w:val="000000" w:themeColor="text1"/>
          <w14:textFill>
            <w14:solidFill>
              <w14:schemeClr w14:val="tx1"/>
            </w14:solidFill>
          </w14:textFill>
        </w:rPr>
        <w:t>评价区域内的声环境质量较好。</w:t>
      </w:r>
    </w:p>
    <w:p w14:paraId="7C70A725">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9.3.</w:t>
      </w:r>
      <w:r>
        <w:rPr>
          <w:rFonts w:hint="eastAsia"/>
          <w:color w:val="000000" w:themeColor="text1"/>
          <w:kern w:val="2"/>
          <w14:textFill>
            <w14:solidFill>
              <w14:schemeClr w14:val="tx1"/>
            </w14:solidFill>
          </w14:textFill>
        </w:rPr>
        <w:t>4土壤环境现状</w:t>
      </w:r>
    </w:p>
    <w:p w14:paraId="431D1531">
      <w:pPr>
        <w:pStyle w:val="962"/>
        <w:spacing w:line="480" w:lineRule="exact"/>
        <w:ind w:firstLine="480"/>
        <w:rPr>
          <w:rFonts w:hint="eastAsia" w:eastAsia="宋体"/>
          <w:color w:val="000000" w:themeColor="text1"/>
          <w:kern w:val="0"/>
          <w14:textFill>
            <w14:solidFill>
              <w14:schemeClr w14:val="tx1"/>
            </w14:solidFill>
          </w14:textFill>
        </w:rPr>
      </w:pPr>
      <w:r>
        <w:rPr>
          <w:rFonts w:eastAsia="宋体"/>
          <w:color w:val="000000" w:themeColor="text1"/>
          <w14:textFill>
            <w14:solidFill>
              <w14:schemeClr w14:val="tx1"/>
            </w14:solidFill>
          </w14:textFill>
        </w:rPr>
        <w:t>监测结果表明：各监测点监测结果均能达到《土壤环境质量建设用地土壤污染风险管控标准（试行）》（GB36600-2018）第二类用地筛选值。</w:t>
      </w:r>
    </w:p>
    <w:p w14:paraId="61DAFCA2">
      <w:pPr>
        <w:pStyle w:val="3"/>
        <w:numPr>
          <w:ilvl w:val="1"/>
          <w:numId w:val="0"/>
        </w:numPr>
        <w:rPr>
          <w:bCs/>
          <w:color w:val="000000" w:themeColor="text1"/>
          <w14:textFill>
            <w14:solidFill>
              <w14:schemeClr w14:val="tx1"/>
            </w14:solidFill>
          </w14:textFill>
        </w:rPr>
      </w:pPr>
      <w:bookmarkStart w:id="771" w:name="_Toc361840113"/>
      <w:bookmarkStart w:id="772" w:name="_Toc16952"/>
      <w:bookmarkStart w:id="773" w:name="_Toc4197"/>
      <w:bookmarkStart w:id="774" w:name="_Toc318298695"/>
      <w:bookmarkStart w:id="775" w:name="_Toc355715735"/>
      <w:bookmarkStart w:id="776" w:name="_Toc278281234"/>
      <w:bookmarkStart w:id="777" w:name="_Toc629542469"/>
      <w:bookmarkStart w:id="778" w:name="_Toc338153326"/>
      <w:bookmarkStart w:id="779" w:name="_Toc28618"/>
      <w:bookmarkStart w:id="780" w:name="_Toc482784730"/>
      <w:bookmarkStart w:id="781" w:name="_Toc8118"/>
      <w:bookmarkStart w:id="782" w:name="_Toc492457110"/>
      <w:bookmarkStart w:id="783" w:name="_Toc9775"/>
      <w:bookmarkStart w:id="784" w:name="_Toc17832"/>
      <w:bookmarkStart w:id="785" w:name="_Toc29247"/>
      <w:bookmarkStart w:id="786" w:name="_Toc23824"/>
      <w:bookmarkStart w:id="787" w:name="_Toc15613"/>
      <w:bookmarkStart w:id="788" w:name="_Toc25324"/>
      <w:bookmarkStart w:id="789" w:name="_Toc18240"/>
      <w:bookmarkStart w:id="790" w:name="_Toc120683074"/>
      <w:bookmarkStart w:id="791" w:name="_Toc282074159"/>
      <w:bookmarkStart w:id="792" w:name="_Toc360205164"/>
      <w:bookmarkStart w:id="793" w:name="_Toc28962"/>
      <w:bookmarkStart w:id="794" w:name="_Toc111767585"/>
      <w:bookmarkStart w:id="795" w:name="_Toc10969"/>
      <w:r>
        <w:rPr>
          <w:bCs/>
          <w:color w:val="000000" w:themeColor="text1"/>
          <w14:textFill>
            <w14:solidFill>
              <w14:schemeClr w14:val="tx1"/>
            </w14:solidFill>
          </w14:textFill>
        </w:rPr>
        <w:t>9.4环境影响评价</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Pr>
          <w:rFonts w:hint="eastAsia"/>
          <w:bCs/>
          <w:color w:val="000000" w:themeColor="text1"/>
          <w14:textFill>
            <w14:solidFill>
              <w14:schemeClr w14:val="tx1"/>
            </w14:solidFill>
          </w14:textFill>
        </w:rPr>
        <w:t>结论</w:t>
      </w:r>
      <w:bookmarkEnd w:id="794"/>
      <w:bookmarkEnd w:id="795"/>
    </w:p>
    <w:p w14:paraId="284C3267">
      <w:pPr>
        <w:pStyle w:val="4"/>
        <w:spacing w:before="60" w:after="60" w:line="480" w:lineRule="exact"/>
        <w:rPr>
          <w:color w:val="000000" w:themeColor="text1"/>
          <w:kern w:val="2"/>
          <w14:textFill>
            <w14:solidFill>
              <w14:schemeClr w14:val="tx1"/>
            </w14:solidFill>
          </w14:textFill>
        </w:rPr>
      </w:pPr>
      <w:r>
        <w:rPr>
          <w:color w:val="000000" w:themeColor="text1"/>
          <w:kern w:val="2"/>
          <w14:textFill>
            <w14:solidFill>
              <w14:schemeClr w14:val="tx1"/>
            </w14:solidFill>
          </w14:textFill>
        </w:rPr>
        <w:t>9.</w:t>
      </w:r>
      <w:r>
        <w:rPr>
          <w:rFonts w:hint="eastAsia"/>
          <w:color w:val="000000" w:themeColor="text1"/>
          <w:kern w:val="2"/>
          <w14:textFill>
            <w14:solidFill>
              <w14:schemeClr w14:val="tx1"/>
            </w14:solidFill>
          </w14:textFill>
        </w:rPr>
        <w:t>4.1</w:t>
      </w:r>
      <w:r>
        <w:rPr>
          <w:color w:val="000000" w:themeColor="text1"/>
          <w14:textFill>
            <w14:solidFill>
              <w14:schemeClr w14:val="tx1"/>
            </w14:solidFill>
          </w14:textFill>
        </w:rPr>
        <w:t>大气</w:t>
      </w:r>
      <w:r>
        <w:rPr>
          <w:rFonts w:hint="eastAsia"/>
          <w:color w:val="000000" w:themeColor="text1"/>
          <w:kern w:val="2"/>
          <w14:textFill>
            <w14:solidFill>
              <w14:schemeClr w14:val="tx1"/>
            </w14:solidFill>
          </w14:textFill>
        </w:rPr>
        <w:t>环境</w:t>
      </w:r>
      <w:r>
        <w:rPr>
          <w:color w:val="000000" w:themeColor="text1"/>
          <w14:textFill>
            <w14:solidFill>
              <w14:schemeClr w14:val="tx1"/>
            </w14:solidFill>
          </w14:textFill>
        </w:rPr>
        <w:t>影响评价</w:t>
      </w:r>
      <w:r>
        <w:rPr>
          <w:rFonts w:hint="eastAsia"/>
          <w:color w:val="000000" w:themeColor="text1"/>
          <w14:textFill>
            <w14:solidFill>
              <w14:schemeClr w14:val="tx1"/>
            </w14:solidFill>
          </w14:textFill>
        </w:rPr>
        <w:t>结论</w:t>
      </w:r>
    </w:p>
    <w:p w14:paraId="52BF04A1">
      <w:pPr>
        <w:pStyle w:val="962"/>
        <w:spacing w:line="480" w:lineRule="exact"/>
        <w:ind w:firstLine="480"/>
        <w:rPr>
          <w:rFonts w:hint="eastAsia" w:eastAsia="宋体"/>
          <w:color w:val="000000" w:themeColor="text1"/>
          <w:kern w:val="0"/>
          <w14:textFill>
            <w14:solidFill>
              <w14:schemeClr w14:val="tx1"/>
            </w14:solidFill>
          </w14:textFill>
        </w:rPr>
      </w:pPr>
      <w:r>
        <w:rPr>
          <w:rFonts w:eastAsia="宋体"/>
          <w:color w:val="000000" w:themeColor="text1"/>
          <w14:textFill>
            <w14:solidFill>
              <w14:schemeClr w14:val="tx1"/>
            </w14:solidFill>
          </w14:textFill>
        </w:rPr>
        <w:t>矿区必须根据开采情况实施具体的降尘方案，定期对废石堆场</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道路进行洒水抑尘，并</w:t>
      </w:r>
      <w:r>
        <w:rPr>
          <w:rFonts w:hint="eastAsia" w:eastAsia="宋体"/>
          <w:color w:val="000000" w:themeColor="text1"/>
          <w:lang w:val="en-US" w:eastAsia="zh-CN"/>
          <w14:textFill>
            <w14:solidFill>
              <w14:schemeClr w14:val="tx1"/>
            </w14:solidFill>
          </w14:textFill>
        </w:rPr>
        <w:t>对</w:t>
      </w:r>
      <w:r>
        <w:rPr>
          <w:rFonts w:eastAsia="宋体"/>
          <w:color w:val="000000" w:themeColor="text1"/>
          <w14:textFill>
            <w14:solidFill>
              <w14:schemeClr w14:val="tx1"/>
            </w14:solidFill>
          </w14:textFill>
        </w:rPr>
        <w:t>废石堆场</w:t>
      </w:r>
      <w:r>
        <w:rPr>
          <w:rFonts w:hint="eastAsia" w:eastAsia="宋体"/>
          <w:color w:val="000000" w:themeColor="text1"/>
          <w14:textFill>
            <w14:solidFill>
              <w14:schemeClr w14:val="tx1"/>
            </w14:solidFill>
          </w14:textFill>
        </w:rPr>
        <w:t>和道路</w:t>
      </w:r>
      <w:r>
        <w:rPr>
          <w:rFonts w:eastAsia="宋体"/>
          <w:color w:val="000000" w:themeColor="text1"/>
          <w14:textFill>
            <w14:solidFill>
              <w14:schemeClr w14:val="tx1"/>
            </w14:solidFill>
          </w14:textFill>
        </w:rPr>
        <w:t>采取将废石压实、大粒径废石覆压等措施，项目产生的扬尘将得到有效抑制，粉尘排放量将降低80%以上，粉尘的排放对区域环境空气质量不会造成明显的影响。</w:t>
      </w:r>
      <w:r>
        <w:rPr>
          <w:rFonts w:hint="eastAsia" w:eastAsia="宋体"/>
          <w:color w:val="000000" w:themeColor="text1"/>
          <w14:textFill>
            <w14:solidFill>
              <w14:schemeClr w14:val="tx1"/>
            </w14:solidFill>
          </w14:textFill>
        </w:rPr>
        <w:t>井下爆破是间歇性排放，爆破废气经新鲜风稀释后</w:t>
      </w:r>
      <w:r>
        <w:rPr>
          <w:rFonts w:eastAsia="宋体"/>
          <w:color w:val="000000" w:themeColor="text1"/>
          <w14:textFill>
            <w14:solidFill>
              <w14:schemeClr w14:val="tx1"/>
            </w14:solidFill>
          </w14:textFill>
        </w:rPr>
        <w:t>，最终排出地表</w:t>
      </w:r>
      <w:r>
        <w:rPr>
          <w:rFonts w:hint="eastAsia" w:eastAsia="宋体"/>
          <w:color w:val="000000" w:themeColor="text1"/>
          <w14:textFill>
            <w14:solidFill>
              <w14:schemeClr w14:val="tx1"/>
            </w14:solidFill>
          </w14:textFill>
        </w:rPr>
        <w:t>，排放浓度</w:t>
      </w:r>
      <w:r>
        <w:rPr>
          <w:rFonts w:eastAsia="宋体"/>
          <w:color w:val="000000" w:themeColor="text1"/>
          <w14:textFill>
            <w14:solidFill>
              <w14:schemeClr w14:val="tx1"/>
            </w14:solidFill>
          </w14:textFill>
        </w:rPr>
        <w:t>能够符合《铁矿采选工业污染物排放标准》（GB28661-2012）表7现有和新建企业大气污染物无组织排放浓度限值的要求。</w:t>
      </w:r>
    </w:p>
    <w:p w14:paraId="18440F16">
      <w:pPr>
        <w:pStyle w:val="962"/>
        <w:spacing w:line="480" w:lineRule="exact"/>
        <w:ind w:firstLine="480"/>
        <w:rPr>
          <w:rFonts w:hint="eastAsia" w:eastAsia="宋体"/>
          <w:color w:val="000000" w:themeColor="text1"/>
          <w:kern w:val="0"/>
          <w14:textFill>
            <w14:solidFill>
              <w14:schemeClr w14:val="tx1"/>
            </w14:solidFill>
          </w14:textFill>
        </w:rPr>
      </w:pPr>
      <w:r>
        <w:rPr>
          <w:rFonts w:eastAsia="宋体"/>
          <w:color w:val="000000" w:themeColor="text1"/>
          <w14:textFill>
            <w14:solidFill>
              <w14:schemeClr w14:val="tx1"/>
            </w14:solidFill>
          </w14:textFill>
        </w:rPr>
        <w:t>项目TSP最大1h地面空气质量浓度为</w:t>
      </w: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106</w:t>
      </w:r>
      <w:r>
        <w:rPr>
          <w:rFonts w:hint="eastAsia" w:eastAsia="宋体"/>
          <w:color w:val="000000" w:themeColor="text1"/>
          <w14:textFill>
            <w14:solidFill>
              <w14:schemeClr w14:val="tx1"/>
            </w14:solidFill>
          </w14:textFill>
        </w:rPr>
        <w:t>m</w:t>
      </w:r>
      <w:r>
        <w:rPr>
          <w:rFonts w:eastAsia="宋体"/>
          <w:color w:val="000000" w:themeColor="text1"/>
          <w14:textFill>
            <w14:solidFill>
              <w14:schemeClr w14:val="tx1"/>
            </w14:solidFill>
          </w14:textFill>
        </w:rPr>
        <w:t>g/m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，占标率为</w:t>
      </w:r>
      <w:r>
        <w:rPr>
          <w:rFonts w:hint="eastAsia" w:eastAsia="宋体"/>
          <w:color w:val="000000" w:themeColor="text1"/>
          <w:lang w:val="en-US" w:eastAsia="zh-CN"/>
          <w14:textFill>
            <w14:solidFill>
              <w14:schemeClr w14:val="tx1"/>
            </w14:solidFill>
          </w14:textFill>
        </w:rPr>
        <w:t>1.18</w:t>
      </w:r>
      <w:r>
        <w:rPr>
          <w:rFonts w:eastAsia="宋体"/>
          <w:color w:val="000000" w:themeColor="text1"/>
          <w14:textFill>
            <w14:solidFill>
              <w14:schemeClr w14:val="tx1"/>
            </w14:solidFill>
          </w14:textFill>
        </w:rPr>
        <w:t>%。</w:t>
      </w:r>
      <w:r>
        <w:rPr>
          <w:rFonts w:hint="eastAsia" w:eastAsia="宋体"/>
          <w:color w:val="000000" w:themeColor="text1"/>
          <w:kern w:val="0"/>
          <w14:textFill>
            <w14:solidFill>
              <w14:schemeClr w14:val="tx1"/>
            </w14:solidFill>
          </w14:textFill>
        </w:rPr>
        <w:t>本项目在采取严格的防尘、抑尘措施后，本项目废气污染物排放对项目区及周边大气环境影响较小。</w:t>
      </w:r>
    </w:p>
    <w:p w14:paraId="666411A5">
      <w:pPr>
        <w:pStyle w:val="4"/>
        <w:spacing w:before="0" w:after="0" w:line="480" w:lineRule="exact"/>
        <w:rPr>
          <w:color w:val="000000" w:themeColor="text1"/>
          <w14:textFill>
            <w14:solidFill>
              <w14:schemeClr w14:val="tx1"/>
            </w14:solidFill>
          </w14:textFill>
        </w:rPr>
      </w:pPr>
      <w:bookmarkStart w:id="796" w:name="_Toc30430"/>
      <w:bookmarkStart w:id="797" w:name="_Toc30584"/>
      <w:bookmarkStart w:id="798" w:name="_Toc18367"/>
      <w:bookmarkStart w:id="799" w:name="_Toc32573"/>
      <w:bookmarkStart w:id="800" w:name="_Toc30646"/>
      <w:bookmarkStart w:id="801" w:name="_Toc20217"/>
      <w:bookmarkStart w:id="802" w:name="_Toc12705"/>
      <w:bookmarkStart w:id="803" w:name="_Toc17893"/>
      <w:bookmarkStart w:id="804" w:name="_Toc1963761700"/>
      <w:bookmarkStart w:id="805" w:name="_Toc17442"/>
      <w:r>
        <w:rPr>
          <w:color w:val="000000" w:themeColor="text1"/>
          <w14:textFill>
            <w14:solidFill>
              <w14:schemeClr w14:val="tx1"/>
            </w14:solidFill>
          </w14:textFill>
        </w:rPr>
        <w:t>9.4.2</w:t>
      </w:r>
      <w:r>
        <w:rPr>
          <w:rFonts w:hint="eastAsia"/>
          <w:color w:val="000000" w:themeColor="text1"/>
          <w14:textFill>
            <w14:solidFill>
              <w14:schemeClr w14:val="tx1"/>
            </w14:solidFill>
          </w14:textFill>
        </w:rPr>
        <w:t>地表</w:t>
      </w:r>
      <w:r>
        <w:rPr>
          <w:color w:val="000000" w:themeColor="text1"/>
          <w14:textFill>
            <w14:solidFill>
              <w14:schemeClr w14:val="tx1"/>
            </w14:solidFill>
          </w14:textFill>
        </w:rPr>
        <w:t>水环境影响评价</w:t>
      </w:r>
      <w:bookmarkEnd w:id="796"/>
      <w:bookmarkEnd w:id="797"/>
      <w:bookmarkEnd w:id="798"/>
      <w:bookmarkEnd w:id="799"/>
      <w:bookmarkEnd w:id="800"/>
      <w:bookmarkEnd w:id="801"/>
      <w:bookmarkEnd w:id="802"/>
      <w:bookmarkEnd w:id="803"/>
      <w:bookmarkEnd w:id="804"/>
      <w:bookmarkEnd w:id="805"/>
      <w:r>
        <w:rPr>
          <w:rFonts w:hint="eastAsia"/>
          <w:color w:val="000000" w:themeColor="text1"/>
          <w14:textFill>
            <w14:solidFill>
              <w14:schemeClr w14:val="tx1"/>
            </w14:solidFill>
          </w14:textFill>
        </w:rPr>
        <w:t>结论</w:t>
      </w:r>
    </w:p>
    <w:p w14:paraId="0A04D254">
      <w:pPr>
        <w:pStyle w:val="962"/>
        <w:spacing w:line="480" w:lineRule="exact"/>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本项目矿井涌水进行利用、妥善处理后，对区域地表水环境基本无影响。生活污水经矿山现有地埋式一体化污水处理设施处理达标后，</w:t>
      </w:r>
      <w:r>
        <w:rPr>
          <w:rFonts w:hint="eastAsia" w:eastAsia="宋体"/>
          <w:color w:val="000000" w:themeColor="text1"/>
          <w:lang w:val="en-US" w:eastAsia="zh-CN"/>
          <w14:textFill>
            <w14:solidFill>
              <w14:schemeClr w14:val="tx1"/>
            </w14:solidFill>
          </w14:textFill>
        </w:rPr>
        <w:t>灌溉期用于矿山绿化，非灌溉期将达标后的生活污水输送至选矿厂用于选矿生产</w:t>
      </w:r>
      <w:r>
        <w:rPr>
          <w:rFonts w:hint="eastAsia" w:eastAsia="宋体"/>
          <w:color w:val="000000" w:themeColor="text1"/>
          <w14:textFill>
            <w14:solidFill>
              <w14:schemeClr w14:val="tx1"/>
            </w14:solidFill>
          </w14:textFill>
        </w:rPr>
        <w:t>。项目运营期生活污水不外排，对区域地表水环境基本无影响。在生产过程中废石按规划合理堆放，且在采石场四周，尤其是在废石堆场拦渣坝外修建截水沟，阻止了外围洪水对废石的冲刷，废石堆场不会对地表水造成影响。</w:t>
      </w:r>
    </w:p>
    <w:p w14:paraId="693C0A5B">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在采取各项保护措施的前提下，本项目建设对地表水环境的影响可接受。</w:t>
      </w:r>
    </w:p>
    <w:p w14:paraId="17BBBBEC">
      <w:pPr>
        <w:pStyle w:val="4"/>
        <w:spacing w:before="0" w:after="0" w:line="480" w:lineRule="exact"/>
        <w:rPr>
          <w:color w:val="000000" w:themeColor="text1"/>
          <w14:textFill>
            <w14:solidFill>
              <w14:schemeClr w14:val="tx1"/>
            </w14:solidFill>
          </w14:textFill>
        </w:rPr>
      </w:pPr>
      <w:r>
        <w:rPr>
          <w:color w:val="000000" w:themeColor="text1"/>
          <w14:textFill>
            <w14:solidFill>
              <w14:schemeClr w14:val="tx1"/>
            </w14:solidFill>
          </w14:textFill>
        </w:rPr>
        <w:t>9.4.</w:t>
      </w:r>
      <w:r>
        <w:rPr>
          <w:rFonts w:hint="eastAsia"/>
          <w:color w:val="000000" w:themeColor="text1"/>
          <w14:textFill>
            <w14:solidFill>
              <w14:schemeClr w14:val="tx1"/>
            </w14:solidFill>
          </w14:textFill>
        </w:rPr>
        <w:t>3地下</w:t>
      </w:r>
      <w:r>
        <w:rPr>
          <w:color w:val="000000" w:themeColor="text1"/>
          <w14:textFill>
            <w14:solidFill>
              <w14:schemeClr w14:val="tx1"/>
            </w14:solidFill>
          </w14:textFill>
        </w:rPr>
        <w:t>水环境影响评价</w:t>
      </w:r>
      <w:r>
        <w:rPr>
          <w:rFonts w:hint="eastAsia"/>
          <w:color w:val="000000" w:themeColor="text1"/>
          <w14:textFill>
            <w14:solidFill>
              <w14:schemeClr w14:val="tx1"/>
            </w14:solidFill>
          </w14:textFill>
        </w:rPr>
        <w:t>结论</w:t>
      </w:r>
    </w:p>
    <w:p w14:paraId="27334B9F">
      <w:pPr>
        <w:spacing w:line="48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kern w:val="0"/>
          <w:sz w:val="24"/>
          <w14:textFill>
            <w14:solidFill>
              <w14:schemeClr w14:val="tx1"/>
            </w14:solidFill>
          </w14:textFill>
        </w:rPr>
        <w:t>项目运营期无废水外排，</w:t>
      </w:r>
      <w:r>
        <w:rPr>
          <w:rFonts w:hint="eastAsia"/>
          <w:color w:val="000000" w:themeColor="text1"/>
          <w:sz w:val="24"/>
          <w14:textFill>
            <w14:solidFill>
              <w14:schemeClr w14:val="tx1"/>
            </w14:solidFill>
          </w14:textFill>
        </w:rPr>
        <w:t>对各类池体进行防渗处理后，可有效防止项目废水对区域地下水环境的污染影响。预测结果可以看出，污染物运移到下游污染浓度满足《地下水质量标准》（GB/T14848-2017）中的Ⅲ类标准。</w:t>
      </w:r>
      <w:r>
        <w:rPr>
          <w:color w:val="000000" w:themeColor="text1"/>
          <w:sz w:val="24"/>
          <w:szCs w:val="24"/>
          <w14:textFill>
            <w14:solidFill>
              <w14:schemeClr w14:val="tx1"/>
            </w14:solidFill>
          </w14:textFill>
        </w:rPr>
        <w:t>废石处置过程中淋溶水量极少，且废石为一般固废，对环境影响较小。环评要求在生产过程中废石按规划合理堆放，且在</w:t>
      </w:r>
      <w:r>
        <w:rPr>
          <w:rFonts w:hint="eastAsia"/>
          <w:color w:val="000000" w:themeColor="text1"/>
          <w:sz w:val="24"/>
          <w:szCs w:val="24"/>
          <w14:textFill>
            <w14:solidFill>
              <w14:schemeClr w14:val="tx1"/>
            </w14:solidFill>
          </w14:textFill>
        </w:rPr>
        <w:t>废石堆场</w:t>
      </w:r>
      <w:r>
        <w:rPr>
          <w:color w:val="000000" w:themeColor="text1"/>
          <w:sz w:val="24"/>
          <w:szCs w:val="24"/>
          <w14:textFill>
            <w14:solidFill>
              <w14:schemeClr w14:val="tx1"/>
            </w14:solidFill>
          </w14:textFill>
        </w:rPr>
        <w:t>四周修建截排水工程。</w:t>
      </w:r>
    </w:p>
    <w:p w14:paraId="2C995B5C">
      <w:pPr>
        <w:spacing w:line="480" w:lineRule="exact"/>
        <w:ind w:firstLine="480" w:firstLineChars="200"/>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综上所述，</w:t>
      </w:r>
      <w:r>
        <w:rPr>
          <w:rFonts w:hint="eastAsia"/>
          <w:color w:val="000000" w:themeColor="text1"/>
          <w:sz w:val="24"/>
          <w:szCs w:val="24"/>
          <w:lang w:val="en-US" w:eastAsia="zh-CN"/>
          <w14:textFill>
            <w14:solidFill>
              <w14:schemeClr w14:val="tx1"/>
            </w14:solidFill>
          </w14:textFill>
        </w:rPr>
        <w:t>在采取本次评价提出的各项地下水污染防治措施的前提下，本项目建设及运营对周边地下水环境影响可接受</w:t>
      </w:r>
      <w:r>
        <w:rPr>
          <w:rFonts w:hint="eastAsia"/>
          <w:color w:val="000000" w:themeColor="text1"/>
          <w:sz w:val="24"/>
          <w:szCs w:val="24"/>
          <w14:textFill>
            <w14:solidFill>
              <w14:schemeClr w14:val="tx1"/>
            </w14:solidFill>
          </w14:textFill>
        </w:rPr>
        <w:t>。</w:t>
      </w:r>
    </w:p>
    <w:p w14:paraId="35D19B11">
      <w:pPr>
        <w:pStyle w:val="4"/>
        <w:spacing w:before="0" w:after="0" w:line="480" w:lineRule="exact"/>
        <w:rPr>
          <w:color w:val="000000" w:themeColor="text1"/>
          <w14:textFill>
            <w14:solidFill>
              <w14:schemeClr w14:val="tx1"/>
            </w14:solidFill>
          </w14:textFill>
        </w:rPr>
      </w:pPr>
      <w:bookmarkStart w:id="806" w:name="_Toc30669"/>
      <w:bookmarkStart w:id="807" w:name="_Toc266721157"/>
      <w:bookmarkStart w:id="808" w:name="_Toc26324"/>
      <w:bookmarkStart w:id="809" w:name="_Toc10650"/>
      <w:bookmarkStart w:id="810" w:name="_Toc31320"/>
      <w:bookmarkStart w:id="811" w:name="_Toc13625"/>
      <w:bookmarkStart w:id="812" w:name="_Toc10072"/>
      <w:bookmarkStart w:id="813" w:name="_Toc20834"/>
      <w:bookmarkStart w:id="814" w:name="_Toc31165"/>
      <w:bookmarkStart w:id="815" w:name="_Toc7195"/>
      <w:r>
        <w:rPr>
          <w:color w:val="000000" w:themeColor="text1"/>
          <w14:textFill>
            <w14:solidFill>
              <w14:schemeClr w14:val="tx1"/>
            </w14:solidFill>
          </w14:textFill>
        </w:rPr>
        <w:t>9.4.</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声环境影响评价</w:t>
      </w:r>
      <w:bookmarkEnd w:id="806"/>
      <w:bookmarkEnd w:id="807"/>
      <w:bookmarkEnd w:id="808"/>
      <w:bookmarkEnd w:id="809"/>
      <w:bookmarkEnd w:id="810"/>
      <w:bookmarkEnd w:id="811"/>
      <w:bookmarkEnd w:id="812"/>
      <w:bookmarkEnd w:id="813"/>
      <w:bookmarkEnd w:id="814"/>
      <w:bookmarkEnd w:id="815"/>
      <w:r>
        <w:rPr>
          <w:rFonts w:hint="eastAsia"/>
          <w:color w:val="000000" w:themeColor="text1"/>
          <w14:textFill>
            <w14:solidFill>
              <w14:schemeClr w14:val="tx1"/>
            </w14:solidFill>
          </w14:textFill>
        </w:rPr>
        <w:t>结论</w:t>
      </w:r>
    </w:p>
    <w:p w14:paraId="19AB7331">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本</w:t>
      </w:r>
      <w:r>
        <w:rPr>
          <w:rFonts w:hint="eastAsia" w:eastAsia="宋体"/>
          <w:color w:val="000000" w:themeColor="text1"/>
          <w:kern w:val="0"/>
          <w:lang w:eastAsia="zh-CN"/>
          <w14:textFill>
            <w14:solidFill>
              <w14:schemeClr w14:val="tx1"/>
            </w14:solidFill>
          </w14:textFill>
        </w:rPr>
        <w:t>项目</w:t>
      </w:r>
      <w:r>
        <w:rPr>
          <w:rFonts w:hint="eastAsia" w:eastAsia="宋体"/>
          <w:color w:val="000000" w:themeColor="text1"/>
          <w:kern w:val="0"/>
          <w14:textFill>
            <w14:solidFill>
              <w14:schemeClr w14:val="tx1"/>
            </w14:solidFill>
          </w14:textFill>
        </w:rPr>
        <w:t>地下开采设备噪声源强度较大，但对地面环境无影响。处于井上地面室内的噪声源对周围环境影响也较小。采矿场噪声影响范围内周围无居民区敏感点，噪声影响主要是对矿区内工作人员，通过采取有效的隔声、降噪措施后，厂界噪声排放满足《工业企业厂界环境噪声排放标准》（GB12348-2008）2类标准的要求。对井下作业人员采取有效的劳动保护措施后可减轻对人员身体健康的影响。生活区声环境基本不受采矿噪声影响。</w:t>
      </w:r>
    </w:p>
    <w:p w14:paraId="650C9C3C">
      <w:pPr>
        <w:pStyle w:val="4"/>
        <w:spacing w:before="0" w:after="0" w:line="48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9.4.</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固体废物影响评价</w:t>
      </w:r>
      <w:r>
        <w:rPr>
          <w:rFonts w:hint="eastAsia"/>
          <w:color w:val="000000" w:themeColor="text1"/>
          <w14:textFill>
            <w14:solidFill>
              <w14:schemeClr w14:val="tx1"/>
            </w14:solidFill>
          </w14:textFill>
        </w:rPr>
        <w:t>结论</w:t>
      </w:r>
    </w:p>
    <w:p w14:paraId="3E82A4FC">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szCs w:val="24"/>
          <w14:textFill>
            <w14:solidFill>
              <w14:schemeClr w14:val="tx1"/>
            </w14:solidFill>
          </w14:textFill>
        </w:rPr>
        <w:t>采取</w:t>
      </w:r>
      <w:r>
        <w:rPr>
          <w:rFonts w:hint="eastAsia"/>
          <w:color w:val="000000" w:themeColor="text1"/>
          <w:sz w:val="24"/>
          <w:szCs w:val="24"/>
          <w14:textFill>
            <w14:solidFill>
              <w14:schemeClr w14:val="tx1"/>
            </w14:solidFill>
          </w14:textFill>
        </w:rPr>
        <w:t>本次评价要求的各项措施后，项目运营期产生的各项目固体废物</w:t>
      </w:r>
      <w:r>
        <w:rPr>
          <w:color w:val="000000" w:themeColor="text1"/>
          <w:sz w:val="24"/>
          <w:szCs w:val="24"/>
          <w14:textFill>
            <w14:solidFill>
              <w14:schemeClr w14:val="tx1"/>
            </w14:solidFill>
          </w14:textFill>
        </w:rPr>
        <w:t>对项目周围环境影响较小。</w:t>
      </w:r>
    </w:p>
    <w:p w14:paraId="03EE5B5E">
      <w:pPr>
        <w:pStyle w:val="4"/>
        <w:spacing w:before="0" w:after="0" w:line="4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9.4.6土壤环境</w:t>
      </w:r>
      <w:r>
        <w:rPr>
          <w:color w:val="000000" w:themeColor="text1"/>
          <w14:textFill>
            <w14:solidFill>
              <w14:schemeClr w14:val="tx1"/>
            </w14:solidFill>
          </w14:textFill>
        </w:rPr>
        <w:t>影响评价</w:t>
      </w:r>
      <w:r>
        <w:rPr>
          <w:rFonts w:hint="eastAsia"/>
          <w:color w:val="000000" w:themeColor="text1"/>
          <w14:textFill>
            <w14:solidFill>
              <w14:schemeClr w14:val="tx1"/>
            </w14:solidFill>
          </w14:textFill>
        </w:rPr>
        <w:t>结论</w:t>
      </w:r>
    </w:p>
    <w:p w14:paraId="0ED4BA4A">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运营期产生的废水、固体废物和危险废物等污染物均有妥善</w:t>
      </w:r>
      <w:r>
        <w:rPr>
          <w:rFonts w:hint="eastAsia" w:eastAsia="宋体"/>
          <w:color w:val="000000" w:themeColor="text1"/>
          <w:kern w:val="0"/>
          <w:lang w:eastAsia="zh-CN"/>
          <w14:textFill>
            <w14:solidFill>
              <w14:schemeClr w14:val="tx1"/>
            </w14:solidFill>
          </w14:textFill>
        </w:rPr>
        <w:t>地</w:t>
      </w:r>
      <w:r>
        <w:rPr>
          <w:rFonts w:hint="eastAsia" w:eastAsia="宋体"/>
          <w:color w:val="000000" w:themeColor="text1"/>
          <w:kern w:val="0"/>
          <w14:textFill>
            <w14:solidFill>
              <w14:schemeClr w14:val="tx1"/>
            </w14:solidFill>
          </w14:textFill>
        </w:rPr>
        <w:t>处理、处置措施严格执行各项环保措施，则各种污染物对土壤环境的影响均处于可接受范围内。</w:t>
      </w:r>
    </w:p>
    <w:p w14:paraId="44DD756C">
      <w:pPr>
        <w:pStyle w:val="4"/>
        <w:spacing w:before="0" w:after="0" w:line="480" w:lineRule="exac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9.4.7生态环境</w:t>
      </w:r>
      <w:r>
        <w:rPr>
          <w:color w:val="000000" w:themeColor="text1"/>
          <w:highlight w:val="none"/>
          <w14:textFill>
            <w14:solidFill>
              <w14:schemeClr w14:val="tx1"/>
            </w14:solidFill>
          </w14:textFill>
        </w:rPr>
        <w:t>影响评价</w:t>
      </w:r>
      <w:r>
        <w:rPr>
          <w:rFonts w:hint="eastAsia"/>
          <w:color w:val="000000" w:themeColor="text1"/>
          <w:highlight w:val="none"/>
          <w14:textFill>
            <w14:solidFill>
              <w14:schemeClr w14:val="tx1"/>
            </w14:solidFill>
          </w14:textFill>
        </w:rPr>
        <w:t>结论</w:t>
      </w:r>
    </w:p>
    <w:p w14:paraId="4AD010F3">
      <w:pPr>
        <w:pStyle w:val="962"/>
        <w:spacing w:line="480" w:lineRule="exact"/>
        <w:ind w:firstLine="480"/>
        <w:rPr>
          <w:rFonts w:hint="eastAsia" w:eastAsia="宋体"/>
          <w:color w:val="000000" w:themeColor="text1"/>
          <w:kern w:val="0"/>
          <w14:textFill>
            <w14:solidFill>
              <w14:schemeClr w14:val="tx1"/>
            </w14:solidFill>
          </w14:textFill>
        </w:rPr>
      </w:pPr>
      <w:r>
        <w:rPr>
          <w:rFonts w:hint="eastAsia" w:eastAsia="宋体"/>
          <w:color w:val="000000" w:themeColor="text1"/>
          <w:kern w:val="0"/>
          <w:szCs w:val="20"/>
          <w14:textFill>
            <w14:solidFill>
              <w14:schemeClr w14:val="tx1"/>
            </w14:solidFill>
          </w14:textFill>
        </w:rPr>
        <w:t>本</w:t>
      </w:r>
      <w:r>
        <w:rPr>
          <w:rFonts w:hint="eastAsia" w:eastAsia="宋体"/>
          <w:color w:val="000000" w:themeColor="text1"/>
          <w:kern w:val="0"/>
          <w:szCs w:val="20"/>
          <w:lang w:eastAsia="zh-CN"/>
          <w14:textFill>
            <w14:solidFill>
              <w14:schemeClr w14:val="tx1"/>
            </w14:solidFill>
          </w14:textFill>
        </w:rPr>
        <w:t>项目</w:t>
      </w:r>
      <w:r>
        <w:rPr>
          <w:rFonts w:hint="eastAsia" w:eastAsia="宋体"/>
          <w:color w:val="000000" w:themeColor="text1"/>
          <w:kern w:val="0"/>
          <w:szCs w:val="20"/>
          <w14:textFill>
            <w14:solidFill>
              <w14:schemeClr w14:val="tx1"/>
            </w14:solidFill>
          </w14:textFill>
        </w:rPr>
        <w:t>建成后土地利用类型部分由</w:t>
      </w:r>
      <w:r>
        <w:rPr>
          <w:rFonts w:hint="eastAsia" w:eastAsia="宋体"/>
          <w:color w:val="000000" w:themeColor="text1"/>
          <w:kern w:val="0"/>
          <w:szCs w:val="20"/>
          <w:lang w:eastAsia="zh-CN"/>
          <w14:textFill>
            <w14:solidFill>
              <w14:schemeClr w14:val="tx1"/>
            </w14:solidFill>
          </w14:textFill>
        </w:rPr>
        <w:t>裸岩石砾</w:t>
      </w:r>
      <w:r>
        <w:rPr>
          <w:rFonts w:hint="eastAsia" w:eastAsia="宋体"/>
          <w:color w:val="000000" w:themeColor="text1"/>
          <w:kern w:val="0"/>
          <w:szCs w:val="20"/>
          <w14:textFill>
            <w14:solidFill>
              <w14:schemeClr w14:val="tx1"/>
            </w14:solidFill>
          </w14:textFill>
        </w:rPr>
        <w:t>地、</w:t>
      </w:r>
      <w:r>
        <w:rPr>
          <w:rFonts w:hint="eastAsia" w:eastAsia="宋体"/>
          <w:color w:val="000000" w:themeColor="text1"/>
          <w:kern w:val="0"/>
          <w:szCs w:val="20"/>
          <w:lang w:eastAsia="zh-CN"/>
          <w14:textFill>
            <w14:solidFill>
              <w14:schemeClr w14:val="tx1"/>
            </w14:solidFill>
          </w14:textFill>
        </w:rPr>
        <w:t>戈壁</w:t>
      </w:r>
      <w:r>
        <w:rPr>
          <w:rFonts w:hint="eastAsia" w:eastAsia="宋体"/>
          <w:color w:val="000000" w:themeColor="text1"/>
          <w:kern w:val="0"/>
          <w:szCs w:val="20"/>
          <w14:textFill>
            <w14:solidFill>
              <w14:schemeClr w14:val="tx1"/>
            </w14:solidFill>
          </w14:textFill>
        </w:rPr>
        <w:t>转变为工矿用地，土地利用类型及结构将发生进一步变化。在采取边开采边恢复、闭矿期对扰动区域的生态恢复治理工作后，最终对区域地形地貌的影响较小。</w:t>
      </w:r>
      <w:r>
        <w:rPr>
          <w:rFonts w:hint="eastAsia" w:eastAsia="宋体"/>
          <w:color w:val="000000" w:themeColor="text1"/>
          <w14:textFill>
            <w14:solidFill>
              <w14:schemeClr w14:val="tx1"/>
            </w14:solidFill>
          </w14:textFill>
        </w:rPr>
        <w:t>项目建设对评价区内的植物资源有一定影响，但不改变植物群落组成。</w:t>
      </w:r>
      <w:r>
        <w:rPr>
          <w:rFonts w:hint="eastAsia" w:eastAsia="宋体"/>
          <w:color w:val="000000" w:themeColor="text1"/>
          <w:kern w:val="0"/>
          <w14:textFill>
            <w14:solidFill>
              <w14:schemeClr w14:val="tx1"/>
            </w14:solidFill>
          </w14:textFill>
        </w:rPr>
        <w:t>由于该区域野生动物密度较低，总体上影响较小。本次项目建设将原有的</w:t>
      </w:r>
      <w:r>
        <w:rPr>
          <w:rFonts w:hint="eastAsia" w:eastAsia="宋体"/>
          <w:color w:val="000000" w:themeColor="text1"/>
          <w:kern w:val="0"/>
          <w:lang w:eastAsia="zh-CN"/>
          <w14:textFill>
            <w14:solidFill>
              <w14:schemeClr w14:val="tx1"/>
            </w14:solidFill>
          </w14:textFill>
        </w:rPr>
        <w:t>裸岩石砾</w:t>
      </w:r>
      <w:r>
        <w:rPr>
          <w:rFonts w:hint="eastAsia" w:eastAsia="宋体"/>
          <w:color w:val="000000" w:themeColor="text1"/>
          <w:kern w:val="0"/>
          <w14:textFill>
            <w14:solidFill>
              <w14:schemeClr w14:val="tx1"/>
            </w14:solidFill>
          </w14:textFill>
        </w:rPr>
        <w:t>地、</w:t>
      </w:r>
      <w:r>
        <w:rPr>
          <w:rFonts w:hint="eastAsia" w:eastAsia="宋体"/>
          <w:color w:val="000000" w:themeColor="text1"/>
          <w:kern w:val="0"/>
          <w:lang w:eastAsia="zh-CN"/>
          <w14:textFill>
            <w14:solidFill>
              <w14:schemeClr w14:val="tx1"/>
            </w14:solidFill>
          </w14:textFill>
        </w:rPr>
        <w:t>戈壁</w:t>
      </w:r>
      <w:r>
        <w:rPr>
          <w:rFonts w:hint="eastAsia" w:eastAsia="宋体"/>
          <w:color w:val="000000" w:themeColor="text1"/>
          <w:kern w:val="0"/>
          <w14:textFill>
            <w14:solidFill>
              <w14:schemeClr w14:val="tx1"/>
            </w14:solidFill>
          </w14:textFill>
        </w:rPr>
        <w:t>景观改变为工矿用地景观，对于周边的景观格局和功能不会带来明显改变。施工期结束后，可对施工区域开展生态环境恢复、治理，可以减少对矿区及周边的植被及土壤影响。项目运营后，总体来看，评价区生态系统变化不大，对区域生态系统完整性、稳定性影响较小，对景观完整性影响较小，不会对评价区景观格局产生较大的改变。预测评估地面沉降、地裂缝灾害对矿山开采影响程度较轻。对于矿区发生的地面塌陷、地面沉降、地裂缝等现象，在采取了本次评价及本项目开发利用方案提出的矿山地质环境保护与治理恢复措施后，地表变形的生态环境影响可接受。</w:t>
      </w:r>
    </w:p>
    <w:p w14:paraId="773BC161">
      <w:pPr>
        <w:pStyle w:val="3"/>
        <w:numPr>
          <w:ilvl w:val="1"/>
          <w:numId w:val="0"/>
        </w:numPr>
        <w:rPr>
          <w:bCs/>
          <w:color w:val="000000" w:themeColor="text1"/>
          <w14:textFill>
            <w14:solidFill>
              <w14:schemeClr w14:val="tx1"/>
            </w14:solidFill>
          </w14:textFill>
        </w:rPr>
      </w:pPr>
      <w:bookmarkStart w:id="816" w:name="_Toc26712"/>
      <w:bookmarkStart w:id="817" w:name="_Toc111767586"/>
      <w:r>
        <w:rPr>
          <w:rFonts w:hint="eastAsia"/>
          <w:bCs/>
          <w:color w:val="000000" w:themeColor="text1"/>
          <w14:textFill>
            <w14:solidFill>
              <w14:schemeClr w14:val="tx1"/>
            </w14:solidFill>
          </w14:textFill>
        </w:rPr>
        <w:t>9.5环境风险评价结论</w:t>
      </w:r>
      <w:bookmarkEnd w:id="816"/>
      <w:bookmarkEnd w:id="817"/>
    </w:p>
    <w:p w14:paraId="72ECB38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w:t>
      </w:r>
      <w:r>
        <w:rPr>
          <w:rFonts w:hint="eastAsia" w:cs="Times New Roman"/>
          <w:color w:val="000000" w:themeColor="text1"/>
          <w:sz w:val="24"/>
          <w:szCs w:val="24"/>
          <w:lang w:eastAsia="zh-CN"/>
          <w14:textFill>
            <w14:solidFill>
              <w14:schemeClr w14:val="tx1"/>
            </w14:solidFill>
          </w14:textFill>
        </w:rPr>
        <w:t>项目</w:t>
      </w:r>
      <w:r>
        <w:rPr>
          <w:rFonts w:hint="default" w:ascii="Times New Roman" w:hAnsi="Times New Roman" w:cs="Times New Roman"/>
          <w:color w:val="000000" w:themeColor="text1"/>
          <w:sz w:val="24"/>
          <w:szCs w:val="24"/>
          <w14:textFill>
            <w14:solidFill>
              <w14:schemeClr w14:val="tx1"/>
            </w14:solidFill>
          </w14:textFill>
        </w:rPr>
        <w:t>发生事故的类型主要为</w:t>
      </w:r>
      <w:r>
        <w:rPr>
          <w:rFonts w:hint="eastAsia" w:cs="Times New Roman"/>
          <w:color w:val="000000" w:themeColor="text1"/>
          <w:sz w:val="24"/>
          <w:szCs w:val="24"/>
          <w:lang w:eastAsia="zh-CN"/>
          <w14:textFill>
            <w14:solidFill>
              <w14:schemeClr w14:val="tx1"/>
            </w14:solidFill>
          </w14:textFill>
        </w:rPr>
        <w:t>泄漏</w:t>
      </w:r>
      <w:r>
        <w:rPr>
          <w:rFonts w:hint="default" w:ascii="Times New Roman" w:hAnsi="Times New Roman" w:cs="Times New Roman"/>
          <w:color w:val="000000" w:themeColor="text1"/>
          <w:sz w:val="24"/>
          <w:szCs w:val="24"/>
          <w14:textFill>
            <w14:solidFill>
              <w14:schemeClr w14:val="tx1"/>
            </w14:solidFill>
          </w14:textFill>
        </w:rPr>
        <w:t>及火灾爆炸，本</w:t>
      </w:r>
      <w:r>
        <w:rPr>
          <w:rFonts w:hint="eastAsia" w:cs="Times New Roman"/>
          <w:color w:val="000000" w:themeColor="text1"/>
          <w:sz w:val="24"/>
          <w:szCs w:val="24"/>
          <w:lang w:eastAsia="zh-CN"/>
          <w14:textFill>
            <w14:solidFill>
              <w14:schemeClr w14:val="tx1"/>
            </w14:solidFill>
          </w14:textFill>
        </w:rPr>
        <w:t>项目</w:t>
      </w:r>
      <w:r>
        <w:rPr>
          <w:rFonts w:hint="default" w:ascii="Times New Roman" w:hAnsi="Times New Roman" w:cs="Times New Roman"/>
          <w:color w:val="000000" w:themeColor="text1"/>
          <w:sz w:val="24"/>
          <w:szCs w:val="24"/>
          <w14:textFill>
            <w14:solidFill>
              <w14:schemeClr w14:val="tx1"/>
            </w14:solidFill>
          </w14:textFill>
        </w:rPr>
        <w:t>发生环境风险事故影响范围主要为矿区及邻近矿区的工作人员，影响范围不大，本</w:t>
      </w:r>
      <w:r>
        <w:rPr>
          <w:rFonts w:hint="eastAsia" w:cs="Times New Roman"/>
          <w:color w:val="000000" w:themeColor="text1"/>
          <w:sz w:val="24"/>
          <w:szCs w:val="24"/>
          <w:lang w:eastAsia="zh-CN"/>
          <w14:textFill>
            <w14:solidFill>
              <w14:schemeClr w14:val="tx1"/>
            </w14:solidFill>
          </w14:textFill>
        </w:rPr>
        <w:t>项目</w:t>
      </w:r>
      <w:r>
        <w:rPr>
          <w:rFonts w:hint="default" w:ascii="Times New Roman" w:hAnsi="Times New Roman" w:cs="Times New Roman"/>
          <w:color w:val="000000" w:themeColor="text1"/>
          <w:sz w:val="24"/>
          <w:szCs w:val="24"/>
          <w14:textFill>
            <w14:solidFill>
              <w14:schemeClr w14:val="tx1"/>
            </w14:solidFill>
          </w14:textFill>
        </w:rPr>
        <w:t>在设计过程中充分考虑了防爆、防火措施及设施，同时设计及施工过程将严格按照国家及行业有关标准、规范进行。</w:t>
      </w:r>
    </w:p>
    <w:p w14:paraId="49459C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w:t>
      </w:r>
      <w:r>
        <w:rPr>
          <w:rFonts w:hint="eastAsia" w:cs="Times New Roman"/>
          <w:color w:val="000000" w:themeColor="text1"/>
          <w:sz w:val="24"/>
          <w:szCs w:val="24"/>
          <w:lang w:eastAsia="zh-CN"/>
          <w14:textFill>
            <w14:solidFill>
              <w14:schemeClr w14:val="tx1"/>
            </w14:solidFill>
          </w14:textFill>
        </w:rPr>
        <w:t>项目</w:t>
      </w:r>
      <w:r>
        <w:rPr>
          <w:rFonts w:hint="default" w:ascii="Times New Roman" w:hAnsi="Times New Roman" w:cs="Times New Roman"/>
          <w:color w:val="000000" w:themeColor="text1"/>
          <w:sz w:val="24"/>
          <w:szCs w:val="24"/>
          <w14:textFill>
            <w14:solidFill>
              <w14:schemeClr w14:val="tx1"/>
            </w14:solidFill>
          </w14:textFill>
        </w:rPr>
        <w:t>发生事故后的影响范围主要在矿区内部，在严格落实设计及隐患治理中的各项环境风险防范措施、强化和完善环境风险应急预案并持续改进、加强管理和培训教育、严格执行各种规章制度的前提下，能尽量避免上述事故的发生，可以将环境风险水平降低到一个较小的水平之内。在落实本报告书中提出的环境保护措施的前提下，因地制宜地进行环境优化，</w:t>
      </w:r>
      <w:r>
        <w:rPr>
          <w:rFonts w:hint="eastAsia" w:cs="Times New Roman"/>
          <w:color w:val="000000" w:themeColor="text1"/>
          <w:sz w:val="24"/>
          <w:szCs w:val="24"/>
          <w:lang w:eastAsia="zh-CN"/>
          <w14:textFill>
            <w14:solidFill>
              <w14:schemeClr w14:val="tx1"/>
            </w14:solidFill>
          </w14:textFill>
        </w:rPr>
        <w:t>本项目</w:t>
      </w:r>
      <w:r>
        <w:rPr>
          <w:rFonts w:hint="default" w:ascii="Times New Roman" w:hAnsi="Times New Roman" w:cs="Times New Roman"/>
          <w:color w:val="000000" w:themeColor="text1"/>
          <w:sz w:val="24"/>
          <w:szCs w:val="24"/>
          <w14:textFill>
            <w14:solidFill>
              <w14:schemeClr w14:val="tx1"/>
            </w14:solidFill>
          </w14:textFill>
        </w:rPr>
        <w:t>的环境风险在采取上述措施并加强管理及风险防范措施得当的情况下，项目风险是可以接受的。</w:t>
      </w:r>
    </w:p>
    <w:p w14:paraId="38116685">
      <w:pPr>
        <w:pStyle w:val="3"/>
        <w:numPr>
          <w:ilvl w:val="1"/>
          <w:numId w:val="0"/>
        </w:numPr>
        <w:rPr>
          <w:bCs/>
          <w:color w:val="000000" w:themeColor="text1"/>
          <w14:textFill>
            <w14:solidFill>
              <w14:schemeClr w14:val="tx1"/>
            </w14:solidFill>
          </w14:textFill>
        </w:rPr>
      </w:pPr>
      <w:bookmarkStart w:id="818" w:name="_Toc17736"/>
      <w:bookmarkStart w:id="819" w:name="_Toc111767587"/>
      <w:r>
        <w:rPr>
          <w:rFonts w:hint="eastAsia"/>
          <w:bCs/>
          <w:color w:val="000000" w:themeColor="text1"/>
          <w14:textFill>
            <w14:solidFill>
              <w14:schemeClr w14:val="tx1"/>
            </w14:solidFill>
          </w14:textFill>
        </w:rPr>
        <w:t>9.6环境管理与监测</w:t>
      </w:r>
      <w:bookmarkEnd w:id="818"/>
      <w:bookmarkEnd w:id="819"/>
    </w:p>
    <w:p w14:paraId="3A30FAA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按照《建设项目环境保护管理设计规定》和《冶金工业环境保护设计规定》</w:t>
      </w:r>
      <w:r>
        <w:rPr>
          <w:rFonts w:hint="eastAsia"/>
          <w:color w:val="000000" w:themeColor="text1"/>
          <w:sz w:val="24"/>
          <w:szCs w:val="24"/>
          <w:lang w:eastAsia="zh-CN"/>
          <w14:textFill>
            <w14:solidFill>
              <w14:schemeClr w14:val="tx1"/>
            </w14:solidFill>
          </w14:textFill>
        </w:rPr>
        <w:t>的</w:t>
      </w:r>
      <w:r>
        <w:rPr>
          <w:color w:val="000000" w:themeColor="text1"/>
          <w:sz w:val="24"/>
          <w:szCs w:val="24"/>
          <w14:textFill>
            <w14:solidFill>
              <w14:schemeClr w14:val="tx1"/>
            </w14:solidFill>
          </w14:textFill>
        </w:rPr>
        <w:t>有关规定，矿山在开发建设同时，应结合企业生产与当地环境实际，建立健全矿山环境管理机构和各项规章制度，规范企业的环境行为，推行清洁生产、循环经济，实现节能减排。</w:t>
      </w:r>
    </w:p>
    <w:p w14:paraId="427D258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建设期、运营期污染源和环境监测可委托当地有资质的环境监测站</w:t>
      </w:r>
      <w:r>
        <w:rPr>
          <w:rFonts w:hint="eastAsia"/>
          <w:color w:val="000000" w:themeColor="text1"/>
          <w:sz w:val="24"/>
          <w:szCs w:val="24"/>
          <w14:textFill>
            <w14:solidFill>
              <w14:schemeClr w14:val="tx1"/>
            </w14:solidFill>
          </w14:textFill>
        </w:rPr>
        <w:t>或第三方监测公司</w:t>
      </w:r>
      <w:r>
        <w:rPr>
          <w:color w:val="000000" w:themeColor="text1"/>
          <w:sz w:val="24"/>
          <w:szCs w:val="24"/>
          <w14:textFill>
            <w14:solidFill>
              <w14:schemeClr w14:val="tx1"/>
            </w14:solidFill>
          </w14:textFill>
        </w:rPr>
        <w:t>承担。同时，企业应建立健全污染源监控和环境监测技术档案，主动接受当地</w:t>
      </w:r>
      <w:r>
        <w:rPr>
          <w:rFonts w:hint="eastAsia"/>
          <w:color w:val="000000" w:themeColor="text1"/>
          <w:sz w:val="24"/>
          <w:szCs w:val="24"/>
          <w14:textFill>
            <w14:solidFill>
              <w14:schemeClr w14:val="tx1"/>
            </w14:solidFill>
          </w14:textFill>
        </w:rPr>
        <w:t>生态环境</w:t>
      </w:r>
      <w:r>
        <w:rPr>
          <w:color w:val="000000" w:themeColor="text1"/>
          <w:sz w:val="24"/>
          <w:szCs w:val="24"/>
          <w14:textFill>
            <w14:solidFill>
              <w14:schemeClr w14:val="tx1"/>
            </w14:solidFill>
          </w14:textFill>
        </w:rPr>
        <w:t>行政主管部门的工作指导、监督和检查。</w:t>
      </w:r>
    </w:p>
    <w:p w14:paraId="60F712F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kern w:val="0"/>
          <w14:textFill>
            <w14:solidFill>
              <w14:schemeClr w14:val="tx1"/>
            </w14:solidFill>
          </w14:textFill>
        </w:rPr>
      </w:pPr>
      <w:r>
        <w:rPr>
          <w:color w:val="000000" w:themeColor="text1"/>
          <w:sz w:val="24"/>
          <w:szCs w:val="24"/>
          <w14:textFill>
            <w14:solidFill>
              <w14:schemeClr w14:val="tx1"/>
            </w14:solidFill>
          </w14:textFill>
        </w:rPr>
        <w:t>环境监测应按国家和地方环保要求，采用国家规定标准监测方法进行；应按照规定，定期向有关</w:t>
      </w:r>
      <w:r>
        <w:rPr>
          <w:rFonts w:hint="eastAsia"/>
          <w:color w:val="000000" w:themeColor="text1"/>
          <w:sz w:val="24"/>
          <w:szCs w:val="24"/>
          <w14:textFill>
            <w14:solidFill>
              <w14:schemeClr w14:val="tx1"/>
            </w14:solidFill>
          </w14:textFill>
        </w:rPr>
        <w:t>生态环境</w:t>
      </w:r>
      <w:r>
        <w:rPr>
          <w:color w:val="000000" w:themeColor="text1"/>
          <w:sz w:val="24"/>
          <w:szCs w:val="24"/>
          <w14:textFill>
            <w14:solidFill>
              <w14:schemeClr w14:val="tx1"/>
            </w14:solidFill>
          </w14:textFill>
        </w:rPr>
        <w:t>主管部门上报监测结果</w:t>
      </w:r>
      <w:r>
        <w:rPr>
          <w:rFonts w:eastAsia="宋体"/>
          <w:color w:val="000000" w:themeColor="text1"/>
          <w14:textFill>
            <w14:solidFill>
              <w14:schemeClr w14:val="tx1"/>
            </w14:solidFill>
          </w14:textFill>
        </w:rPr>
        <w:t>。</w:t>
      </w:r>
    </w:p>
    <w:p w14:paraId="739C2688">
      <w:pPr>
        <w:pStyle w:val="3"/>
        <w:numPr>
          <w:ilvl w:val="1"/>
          <w:numId w:val="0"/>
        </w:numPr>
        <w:rPr>
          <w:bCs/>
          <w:color w:val="000000" w:themeColor="text1"/>
          <w14:textFill>
            <w14:solidFill>
              <w14:schemeClr w14:val="tx1"/>
            </w14:solidFill>
          </w14:textFill>
        </w:rPr>
      </w:pPr>
      <w:bookmarkStart w:id="820" w:name="_Toc111767588"/>
      <w:bookmarkStart w:id="821" w:name="_Toc12447"/>
      <w:r>
        <w:rPr>
          <w:rFonts w:hint="eastAsia"/>
          <w:bCs/>
          <w:color w:val="000000" w:themeColor="text1"/>
          <w14:textFill>
            <w14:solidFill>
              <w14:schemeClr w14:val="tx1"/>
            </w14:solidFill>
          </w14:textFill>
        </w:rPr>
        <w:t>9.7总量控制</w:t>
      </w:r>
      <w:bookmarkEnd w:id="820"/>
      <w:bookmarkEnd w:id="821"/>
    </w:p>
    <w:p w14:paraId="3FFB713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根据《关于印发新疆维吾尔自治区加强涉重金属行业污染防控工作方案的通知》，铁矿采选不属于重金属行业，本项目原矿石鉴定涉重金属为微量，可不申请重金属总量指标。</w:t>
      </w:r>
    </w:p>
    <w:p w14:paraId="182DB3DC">
      <w:pPr>
        <w:pStyle w:val="3"/>
        <w:numPr>
          <w:ilvl w:val="1"/>
          <w:numId w:val="0"/>
        </w:numPr>
        <w:rPr>
          <w:bCs/>
          <w:color w:val="000000" w:themeColor="text1"/>
          <w14:textFill>
            <w14:solidFill>
              <w14:schemeClr w14:val="tx1"/>
            </w14:solidFill>
          </w14:textFill>
        </w:rPr>
      </w:pPr>
      <w:bookmarkStart w:id="822" w:name="_Toc111767589"/>
      <w:bookmarkStart w:id="823" w:name="_Toc24789"/>
      <w:r>
        <w:rPr>
          <w:rFonts w:hint="eastAsia"/>
          <w:bCs/>
          <w:color w:val="000000" w:themeColor="text1"/>
          <w14:textFill>
            <w14:solidFill>
              <w14:schemeClr w14:val="tx1"/>
            </w14:solidFill>
          </w14:textFill>
        </w:rPr>
        <w:t>9.8公众参与</w:t>
      </w:r>
      <w:bookmarkEnd w:id="822"/>
      <w:bookmarkEnd w:id="823"/>
    </w:p>
    <w:p w14:paraId="543D553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哈密市西成矿业有限责任公司按照《环境影响评价公众参与办法》（生态环境部令第4号）的要求进行了</w:t>
      </w:r>
      <w:r>
        <w:rPr>
          <w:rFonts w:hint="eastAsia"/>
          <w:color w:val="000000" w:themeColor="text1"/>
          <w:sz w:val="24"/>
          <w:szCs w:val="24"/>
          <w:lang w:val="en-US" w:eastAsia="zh-CN"/>
          <w14:textFill>
            <w14:solidFill>
              <w14:schemeClr w14:val="tx1"/>
            </w14:solidFill>
          </w14:textFill>
        </w:rPr>
        <w:t>本项目</w:t>
      </w:r>
      <w:r>
        <w:rPr>
          <w:rFonts w:hint="default"/>
          <w:color w:val="000000" w:themeColor="text1"/>
          <w:sz w:val="24"/>
          <w:szCs w:val="24"/>
          <w:lang w:val="en-US" w:eastAsia="zh-CN"/>
          <w14:textFill>
            <w14:solidFill>
              <w14:schemeClr w14:val="tx1"/>
            </w14:solidFill>
          </w14:textFill>
        </w:rPr>
        <w:t>环境影响报告书的公众参与调查</w:t>
      </w:r>
      <w:r>
        <w:rPr>
          <w:rFonts w:hint="eastAsia"/>
          <w:color w:val="000000" w:themeColor="text1"/>
          <w:sz w:val="24"/>
          <w:szCs w:val="24"/>
          <w:lang w:val="en-US" w:eastAsia="zh-CN"/>
          <w14:textFill>
            <w14:solidFill>
              <w14:schemeClr w14:val="tx1"/>
            </w14:solidFill>
          </w14:textFill>
        </w:rPr>
        <w:t>。在确定本项目</w:t>
      </w:r>
      <w:r>
        <w:rPr>
          <w:rFonts w:hint="default"/>
          <w:color w:val="000000" w:themeColor="text1"/>
          <w:sz w:val="24"/>
          <w:szCs w:val="24"/>
          <w:lang w:val="en-US" w:eastAsia="zh-CN"/>
          <w14:textFill>
            <w14:solidFill>
              <w14:schemeClr w14:val="tx1"/>
            </w14:solidFill>
          </w14:textFill>
        </w:rPr>
        <w:t>环境影响报告书</w:t>
      </w:r>
      <w:r>
        <w:rPr>
          <w:rFonts w:hint="eastAsia"/>
          <w:color w:val="000000" w:themeColor="text1"/>
          <w:sz w:val="24"/>
          <w:szCs w:val="24"/>
          <w:lang w:val="en-US" w:eastAsia="zh-CN"/>
          <w14:textFill>
            <w14:solidFill>
              <w14:schemeClr w14:val="tx1"/>
            </w14:solidFill>
          </w14:textFill>
        </w:rPr>
        <w:t>编制单位后，</w:t>
      </w:r>
      <w:r>
        <w:rPr>
          <w:rFonts w:hint="default"/>
          <w:color w:val="000000" w:themeColor="text1"/>
          <w:sz w:val="24"/>
          <w:szCs w:val="24"/>
          <w:lang w:val="en-US" w:eastAsia="zh-CN"/>
          <w14:textFill>
            <w14:solidFill>
              <w14:schemeClr w14:val="tx1"/>
            </w14:solidFill>
          </w14:textFill>
        </w:rPr>
        <w:t>于</w:t>
      </w:r>
      <w:r>
        <w:rPr>
          <w:rFonts w:hint="eastAsia"/>
          <w:color w:val="000000" w:themeColor="text1"/>
          <w:sz w:val="24"/>
          <w:szCs w:val="24"/>
          <w:lang w:val="en-US" w:eastAsia="zh-CN"/>
          <w14:textFill>
            <w14:solidFill>
              <w14:schemeClr w14:val="tx1"/>
            </w14:solidFill>
          </w14:textFill>
        </w:rPr>
        <w:t>2023年5月18日</w:t>
      </w:r>
      <w:r>
        <w:rPr>
          <w:rFonts w:hint="default"/>
          <w:color w:val="000000" w:themeColor="text1"/>
          <w:sz w:val="24"/>
          <w:szCs w:val="24"/>
          <w:lang w:val="en-US" w:eastAsia="zh-CN"/>
          <w14:textFill>
            <w14:solidFill>
              <w14:schemeClr w14:val="tx1"/>
            </w14:solidFill>
          </w14:textFill>
        </w:rPr>
        <w:t>在</w:t>
      </w:r>
      <w:r>
        <w:rPr>
          <w:rFonts w:hint="eastAsia"/>
          <w:color w:val="000000" w:themeColor="text1"/>
          <w:sz w:val="24"/>
          <w:szCs w:val="24"/>
          <w:lang w:val="en-US" w:eastAsia="zh-CN"/>
          <w14:textFill>
            <w14:solidFill>
              <w14:schemeClr w14:val="tx1"/>
            </w14:solidFill>
          </w14:textFill>
        </w:rPr>
        <w:t>新疆维吾尔自治区生态环境保护产业协会</w:t>
      </w:r>
      <w:r>
        <w:rPr>
          <w:rFonts w:hint="default"/>
          <w:color w:val="000000" w:themeColor="text1"/>
          <w:sz w:val="24"/>
          <w:szCs w:val="24"/>
          <w:lang w:val="en-US" w:eastAsia="zh-CN"/>
          <w14:textFill>
            <w14:solidFill>
              <w14:schemeClr w14:val="tx1"/>
            </w14:solidFill>
          </w14:textFill>
        </w:rPr>
        <w:t>进行了第一次信息公示</w:t>
      </w:r>
      <w:r>
        <w:rPr>
          <w:rFonts w:hint="eastAsia"/>
          <w:color w:val="000000" w:themeColor="text1"/>
          <w:sz w:val="24"/>
          <w:szCs w:val="24"/>
          <w:lang w:val="en-US" w:eastAsia="zh-CN"/>
          <w14:textFill>
            <w14:solidFill>
              <w14:schemeClr w14:val="tx1"/>
            </w14:solidFill>
          </w14:textFill>
        </w:rPr>
        <w:t>（http://www.xjhbcy.cn/blog/article/11275）。在本项目</w:t>
      </w:r>
      <w:r>
        <w:rPr>
          <w:rFonts w:hint="default"/>
          <w:color w:val="000000" w:themeColor="text1"/>
          <w:sz w:val="24"/>
          <w:szCs w:val="24"/>
          <w:lang w:val="en-US" w:eastAsia="zh-CN"/>
          <w14:textFill>
            <w14:solidFill>
              <w14:schemeClr w14:val="tx1"/>
            </w14:solidFill>
          </w14:textFill>
        </w:rPr>
        <w:t>环境影响报告书</w:t>
      </w:r>
      <w:r>
        <w:rPr>
          <w:rFonts w:hint="eastAsia"/>
          <w:color w:val="000000" w:themeColor="text1"/>
          <w:sz w:val="24"/>
          <w:szCs w:val="24"/>
          <w:lang w:val="en-US" w:eastAsia="zh-CN"/>
          <w14:textFill>
            <w14:solidFill>
              <w14:schemeClr w14:val="tx1"/>
            </w14:solidFill>
          </w14:textFill>
        </w:rPr>
        <w:t>征求意见稿形成后，于2023年12月11日</w:t>
      </w:r>
      <w:r>
        <w:rPr>
          <w:rFonts w:hint="default"/>
          <w:color w:val="000000" w:themeColor="text1"/>
          <w:sz w:val="24"/>
          <w:szCs w:val="24"/>
          <w:lang w:val="en-US" w:eastAsia="zh-CN"/>
          <w14:textFill>
            <w14:solidFill>
              <w14:schemeClr w14:val="tx1"/>
            </w14:solidFill>
          </w14:textFill>
        </w:rPr>
        <w:t>在</w:t>
      </w:r>
      <w:r>
        <w:rPr>
          <w:rFonts w:hint="eastAsia"/>
          <w:color w:val="000000" w:themeColor="text1"/>
          <w:sz w:val="24"/>
          <w:szCs w:val="24"/>
          <w:lang w:val="en-US" w:eastAsia="zh-CN"/>
          <w14:textFill>
            <w14:solidFill>
              <w14:schemeClr w14:val="tx1"/>
            </w14:solidFill>
          </w14:textFill>
        </w:rPr>
        <w:t>生态环境公示网进行了第二次信息公示（</w:t>
      </w:r>
      <w:r>
        <w:rPr>
          <w:rFonts w:hint="default"/>
          <w:color w:val="000000" w:themeColor="text1"/>
          <w:sz w:val="24"/>
          <w:szCs w:val="24"/>
          <w:lang w:val="en-US" w:eastAsia="zh-CN"/>
          <w14:textFill>
            <w14:solidFill>
              <w14:schemeClr w14:val="tx1"/>
            </w14:solidFill>
          </w14:textFill>
        </w:rPr>
        <w:t>https://gongshi.qsyhbgj.com/h5public-detail?id=398642</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公示期为10个工作日，并在公示期间以登报和张贴公告的方式进行同步公开</w:t>
      </w:r>
      <w:r>
        <w:rPr>
          <w:rFonts w:hint="eastAsia"/>
          <w:color w:val="000000" w:themeColor="text1"/>
          <w:sz w:val="24"/>
          <w:szCs w:val="24"/>
          <w:lang w:val="en-US" w:eastAsia="zh-CN"/>
          <w14:textFill>
            <w14:solidFill>
              <w14:schemeClr w14:val="tx1"/>
            </w14:solidFill>
          </w14:textFill>
        </w:rPr>
        <w:t>；2025年9月17日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生态环境公示网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进行了报批前公示（https://gongshi.qsyhbgj.com/h5public-detail?id=475761）</w:t>
      </w:r>
      <w:r>
        <w:rPr>
          <w:rFonts w:hint="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在第一次、第二次、报批前信息公示期间，均未收到公众反馈意见。</w:t>
      </w:r>
    </w:p>
    <w:p w14:paraId="6F24531A">
      <w:pPr>
        <w:pStyle w:val="3"/>
        <w:numPr>
          <w:ilvl w:val="1"/>
          <w:numId w:val="0"/>
        </w:numPr>
        <w:rPr>
          <w:bCs/>
          <w:color w:val="000000" w:themeColor="text1"/>
          <w14:textFill>
            <w14:solidFill>
              <w14:schemeClr w14:val="tx1"/>
            </w14:solidFill>
          </w14:textFill>
        </w:rPr>
      </w:pPr>
      <w:bookmarkStart w:id="824" w:name="_Toc20333"/>
      <w:bookmarkStart w:id="825" w:name="_Toc111767590"/>
      <w:r>
        <w:rPr>
          <w:rFonts w:hint="eastAsia"/>
          <w:bCs/>
          <w:color w:val="000000" w:themeColor="text1"/>
          <w14:textFill>
            <w14:solidFill>
              <w14:schemeClr w14:val="tx1"/>
            </w14:solidFill>
          </w14:textFill>
        </w:rPr>
        <w:t>9.9总体结论</w:t>
      </w:r>
      <w:bookmarkEnd w:id="824"/>
      <w:bookmarkEnd w:id="825"/>
    </w:p>
    <w:p w14:paraId="1D3BB31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w:t>根据《产业结构调整指导目录（20</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年本）》</w:t>
      </w:r>
      <w:r>
        <w:rPr>
          <w:rFonts w:hint="default" w:ascii="Times New Roman" w:hAnsi="Times New Roman" w:eastAsia="宋体" w:cs="Times New Roman"/>
          <w:color w:val="000000" w:themeColor="text1"/>
          <w:sz w:val="24"/>
          <w:szCs w:val="24"/>
          <w14:textFill>
            <w14:solidFill>
              <w14:schemeClr w14:val="tx1"/>
            </w14:solidFill>
          </w14:textFill>
        </w:rPr>
        <w:t>，本项目属于产业政策</w:t>
      </w:r>
      <w:r>
        <w:rPr>
          <w:rFonts w:hint="eastAsia" w:cs="Times New Roman"/>
          <w:color w:val="000000" w:themeColor="text1"/>
          <w:sz w:val="24"/>
          <w:szCs w:val="24"/>
          <w:lang w:val="en-US" w:eastAsia="zh-CN"/>
          <w14:textFill>
            <w14:solidFill>
              <w14:schemeClr w14:val="tx1"/>
            </w14:solidFill>
          </w14:textFill>
        </w:rPr>
        <w:t>鼓励类</w:t>
      </w:r>
      <w:r>
        <w:rPr>
          <w:rFonts w:hint="default" w:ascii="Times New Roman" w:hAnsi="Times New Roman" w:eastAsia="宋体" w:cs="Times New Roman"/>
          <w:color w:val="000000" w:themeColor="text1"/>
          <w:sz w:val="24"/>
          <w:szCs w:val="24"/>
          <w14:textFill>
            <w14:solidFill>
              <w14:schemeClr w14:val="tx1"/>
            </w14:solidFill>
          </w14:textFill>
        </w:rPr>
        <w:t>，本</w:t>
      </w:r>
      <w:r>
        <w:rPr>
          <w:rFonts w:hint="eastAsia" w:cs="Times New Roman"/>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的建设符合国家产业政策要求。选址与空间布局符合性及污染防治与环境影响符合性，满足《新疆维吾尔自治区重点行业生态环境准入条件（2024年）》的有关要求。项目的建设与发展符合《</w:t>
      </w:r>
      <w:r>
        <w:rPr>
          <w:rFonts w:hint="eastAsia" w:cs="Times New Roman"/>
          <w:color w:val="000000" w:themeColor="text1"/>
          <w:sz w:val="24"/>
          <w:szCs w:val="24"/>
          <w:lang w:eastAsia="zh-CN"/>
          <w14:textFill>
            <w14:solidFill>
              <w14:schemeClr w14:val="tx1"/>
            </w14:solidFill>
          </w14:textFill>
        </w:rPr>
        <w:t>哈密市</w:t>
      </w:r>
      <w:r>
        <w:rPr>
          <w:rFonts w:hint="default" w:ascii="Times New Roman" w:hAnsi="Times New Roman" w:eastAsia="宋体" w:cs="Times New Roman"/>
          <w:color w:val="000000" w:themeColor="text1"/>
          <w:sz w:val="24"/>
          <w:szCs w:val="24"/>
          <w14:textFill>
            <w14:solidFill>
              <w14:schemeClr w14:val="tx1"/>
            </w14:solidFill>
          </w14:textFill>
        </w:rPr>
        <w:t>国民经济和社会发展第十四个五年规划和2035年远景目标纲要》，符合</w:t>
      </w:r>
      <w:r>
        <w:rPr>
          <w:rFonts w:hint="eastAsia" w:cs="Times New Roman"/>
          <w:color w:val="000000" w:themeColor="text1"/>
          <w:sz w:val="24"/>
          <w:szCs w:val="24"/>
          <w:lang w:val="en-US" w:eastAsia="zh-CN"/>
          <w14:textFill>
            <w14:solidFill>
              <w14:schemeClr w14:val="tx1"/>
            </w14:solidFill>
          </w14:textFill>
        </w:rPr>
        <w:t>生态环境分区管控</w:t>
      </w:r>
      <w:r>
        <w:rPr>
          <w:rFonts w:hint="default" w:ascii="Times New Roman" w:hAnsi="Times New Roman" w:eastAsia="宋体" w:cs="Times New Roman"/>
          <w:color w:val="000000" w:themeColor="text1"/>
          <w:sz w:val="24"/>
          <w:szCs w:val="24"/>
          <w14:textFill>
            <w14:solidFill>
              <w14:schemeClr w14:val="tx1"/>
            </w14:solidFill>
          </w14:textFill>
        </w:rPr>
        <w:t>的要求。项目产生的各类废物污染物均采取了有效的防治措施，可达标排放并符合污染物总量控制要求，经预测本项目投产后不会对周围环境产生明显影响；环境风险水平在可接受程度内；公众参与调查工作中，未收到公众对</w:t>
      </w:r>
      <w:r>
        <w:rPr>
          <w:rFonts w:hint="eastAsia"/>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的反馈意见。建设单位应加强环保设施的运行维护和管理，保证各种环保设施的正常运行和污染物长期稳定达标排放。在落实并保证以上条件实施的前提下，从</w:t>
      </w:r>
      <w:r>
        <w:rPr>
          <w:rFonts w:hint="eastAsia" w:cs="Times New Roman"/>
          <w:color w:val="000000" w:themeColor="text1"/>
          <w:sz w:val="24"/>
          <w:szCs w:val="24"/>
          <w:lang w:val="en-US" w:eastAsia="zh-CN"/>
          <w14:textFill>
            <w14:solidFill>
              <w14:schemeClr w14:val="tx1"/>
            </w14:solidFill>
          </w14:textFill>
        </w:rPr>
        <w:t>生态环境保护</w:t>
      </w:r>
      <w:r>
        <w:rPr>
          <w:rFonts w:hint="default" w:ascii="Times New Roman" w:hAnsi="Times New Roman" w:eastAsia="宋体" w:cs="Times New Roman"/>
          <w:color w:val="000000" w:themeColor="text1"/>
          <w:sz w:val="24"/>
          <w:szCs w:val="24"/>
          <w14:textFill>
            <w14:solidFill>
              <w14:schemeClr w14:val="tx1"/>
            </w14:solidFill>
          </w14:textFill>
        </w:rPr>
        <w:t>角度分析，</w:t>
      </w:r>
      <w:r>
        <w:rPr>
          <w:rFonts w:hint="eastAsia"/>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的建设是可行的</w:t>
      </w:r>
      <w:r>
        <w:rPr>
          <w:rFonts w:hint="eastAsia" w:cs="Times New Roman"/>
          <w:color w:val="000000" w:themeColor="text1"/>
          <w:sz w:val="24"/>
          <w:szCs w:val="24"/>
          <w:lang w:eastAsia="zh-CN"/>
          <w14:textFill>
            <w14:solidFill>
              <w14:schemeClr w14:val="tx1"/>
            </w14:solidFill>
          </w14:textFill>
        </w:rPr>
        <w:t>。</w:t>
      </w:r>
    </w:p>
    <w:p w14:paraId="52CF67F0">
      <w:pPr>
        <w:pStyle w:val="3"/>
        <w:numPr>
          <w:ilvl w:val="1"/>
          <w:numId w:val="0"/>
        </w:numPr>
        <w:rPr>
          <w:rFonts w:hint="eastAsia" w:eastAsia="宋体"/>
          <w:bCs/>
          <w:color w:val="000000" w:themeColor="text1"/>
          <w:lang w:eastAsia="zh-CN"/>
          <w14:textFill>
            <w14:solidFill>
              <w14:schemeClr w14:val="tx1"/>
            </w14:solidFill>
          </w14:textFill>
        </w:rPr>
      </w:pPr>
      <w:bookmarkStart w:id="826" w:name="_Toc17449"/>
      <w:r>
        <w:rPr>
          <w:rFonts w:hint="eastAsia"/>
          <w:bCs/>
          <w:color w:val="000000" w:themeColor="text1"/>
          <w14:textFill>
            <w14:solidFill>
              <w14:schemeClr w14:val="tx1"/>
            </w14:solidFill>
          </w14:textFill>
        </w:rPr>
        <w:t>9.</w:t>
      </w:r>
      <w:r>
        <w:rPr>
          <w:rFonts w:hint="eastAsia"/>
          <w:bCs/>
          <w:color w:val="000000" w:themeColor="text1"/>
          <w:lang w:val="en-US" w:eastAsia="zh-CN"/>
          <w14:textFill>
            <w14:solidFill>
              <w14:schemeClr w14:val="tx1"/>
            </w14:solidFill>
          </w14:textFill>
        </w:rPr>
        <w:t>10</w:t>
      </w:r>
      <w:r>
        <w:rPr>
          <w:rFonts w:hint="eastAsia"/>
          <w:bCs/>
          <w:color w:val="000000" w:themeColor="text1"/>
          <w:lang w:eastAsia="zh-CN"/>
          <w14:textFill>
            <w14:solidFill>
              <w14:schemeClr w14:val="tx1"/>
            </w14:solidFill>
          </w14:textFill>
        </w:rPr>
        <w:t>建议</w:t>
      </w:r>
      <w:bookmarkEnd w:id="826"/>
    </w:p>
    <w:p w14:paraId="0906C48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（1）应委托有资质的单位对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废石堆场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进行设计并施工。</w:t>
      </w:r>
    </w:p>
    <w:p w14:paraId="46AF7E9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（2）严格按要求做好粉尘的治理工作，确保无组织排放污染物达标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。严格落实固体废物的收集、处置措施，避免对周围地下水环境造成污染。</w:t>
      </w:r>
    </w:p>
    <w:p w14:paraId="0F4253A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（3）积极开展清洁生产审核工作，采用国内先进的处理量大，能耗低、效率高的设备，按照清洁生产二级标准执行环境管理工作，不断完善清洁生产工艺水平。</w:t>
      </w:r>
    </w:p>
    <w:p w14:paraId="54394FC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zh-TW" w:eastAsia="zh-CN"/>
          <w14:textFill>
            <w14:solidFill>
              <w14:schemeClr w14:val="tx1"/>
            </w14:solidFill>
          </w14:textFill>
        </w:rPr>
        <w:t>开展工程环境监理工作。在项目施工招标文件、施工合同和工程监理招标文件中明确环保条款和责任，开工前编制完成施工期环境监理实施方案，报具有审批权限的地方环境保护主管部门备案，定期向各级生态环境行政主管部门提交监理报告，并将环境监理情况纳入环保验收内容。</w:t>
      </w:r>
    </w:p>
    <w:p w14:paraId="166935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000000" w:themeColor="text1"/>
          <w:kern w:val="0"/>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TW"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zh-TW"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zh-TW"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zh-TW" w:eastAsia="zh-CN"/>
          <w14:textFill>
            <w14:solidFill>
              <w14:schemeClr w14:val="tx1"/>
            </w14:solidFill>
          </w14:textFill>
        </w:rPr>
        <w:t>建成后3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TW" w:eastAsia="zh-CN"/>
          <w14:textFill>
            <w14:solidFill>
              <w14:schemeClr w14:val="tx1"/>
            </w14:solidFill>
          </w14:textFill>
        </w:rPr>
        <w:t>5年内，应开展环境影响后评价，重点关注工程建设的生态环境影响，根据后评价结果，及时补充、完善相关环保措施</w:t>
      </w:r>
      <w:r>
        <w:rPr>
          <w:rFonts w:hint="default" w:ascii="Times New Roman" w:hAnsi="Times New Roman" w:eastAsia="宋体" w:cs="Times New Roman"/>
          <w:color w:val="000000" w:themeColor="text1"/>
          <w:sz w:val="24"/>
          <w:szCs w:val="24"/>
          <w14:textFill>
            <w14:solidFill>
              <w14:schemeClr w14:val="tx1"/>
            </w14:solidFill>
          </w14:textFill>
        </w:rPr>
        <w:t>。</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7FFAEFF" w:usb1="F9DFFFFF" w:usb2="0000007F" w:usb3="00000000" w:csb0="203F01FF" w:csb1="DFFF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86"/>
    <w:family w:val="modern"/>
    <w:pitch w:val="default"/>
    <w:sig w:usb0="00000000" w:usb1="00000000" w:usb2="0000001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方正仿宋简体">
    <w:altName w:val="微软雅黑"/>
    <w:panose1 w:val="03000509000000000000"/>
    <w:charset w:val="86"/>
    <w:family w:val="script"/>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ymusic">
    <w:panose1 w:val="00000400000000000000"/>
    <w:charset w:val="00"/>
    <w:family w:val="auto"/>
    <w:pitch w:val="default"/>
    <w:sig w:usb0="00000001" w:usb1="00000000" w:usb2="00000000" w:usb3="00000000" w:csb0="000001FF" w:csb1="00000000"/>
  </w:font>
  <w:font w:name="方正书宋简体">
    <w:altName w:val="宋体"/>
    <w:panose1 w:val="00000000000000000000"/>
    <w:charset w:val="86"/>
    <w:family w:val="script"/>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隶书_GB2312">
    <w:altName w:val="黑体"/>
    <w:panose1 w:val="00000000000000000000"/>
    <w:charset w:val="86"/>
    <w:family w:val="auto"/>
    <w:pitch w:val="default"/>
    <w:sig w:usb0="00000000" w:usb1="00000000" w:usb2="00000010" w:usb3="00000000" w:csb0="00040000" w:csb1="00000000"/>
  </w:font>
  <w:font w:name="華康中楷體">
    <w:altName w:val="Microsoft JhengHei"/>
    <w:panose1 w:val="02010609000101010101"/>
    <w:charset w:val="88"/>
    <w:family w:val="swiss"/>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TimesNewRoman">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创艺简楷体">
    <w:altName w:val="黑体"/>
    <w:panose1 w:val="00000000000000000000"/>
    <w:charset w:val="86"/>
    <w:family w:val="auto"/>
    <w:pitch w:val="default"/>
    <w:sig w:usb0="00000000" w:usb1="00000000" w:usb2="00000010" w:usb3="00000000" w:csb0="00040000" w:csb1="00000000"/>
  </w:font>
  <w:font w:name="”“Times New Roman”“">
    <w:altName w:val="宋体"/>
    <w:panose1 w:val="00000000000000000000"/>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姚体">
    <w:panose1 w:val="02010601030101010101"/>
    <w:charset w:val="86"/>
    <w:family w:val="auto"/>
    <w:pitch w:val="default"/>
    <w:sig w:usb0="00000003"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Times New Roman Regular">
    <w:altName w:val="Times New Roman"/>
    <w:panose1 w:val="00000000000000000000"/>
    <w:charset w:val="00"/>
    <w:family w:val="auto"/>
    <w:pitch w:val="default"/>
    <w:sig w:usb0="00000000" w:usb1="00000000" w:usb2="00000001" w:usb3="00000000" w:csb0="400001BF" w:csb1="DFF70000"/>
  </w:font>
  <w:font w:name="Wingdings 2">
    <w:panose1 w:val="05020102010507070707"/>
    <w:charset w:val="02"/>
    <w:family w:val="auto"/>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A1DDE">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sz w:val="21"/>
        <w:szCs w:val="21"/>
      </w:rPr>
    </w:pPr>
    <w:r>
      <w:rPr>
        <w:b/>
        <w:bCs/>
        <w:sz w:val="21"/>
        <w:szCs w:val="21"/>
      </w:rPr>
      <w:t>TEL：0991-</w:t>
    </w:r>
    <w:r>
      <w:rPr>
        <w:sz w:val="21"/>
        <w:szCs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762643">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w:t>
                          </w:r>
                          <w:r>
                            <w:rPr>
                              <w:sz w:val="21"/>
                              <w:szCs w:val="21"/>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XlpJH2wEAALcDAAAOAAAAAAAAAAEA&#10;IAAAAB4BAABkcnMvZTJvRG9jLnhtbFBLBQYAAAAABgAGAFkBAABrBQAAAAA=&#10;">
              <v:fill on="f" focussize="0,0"/>
              <v:stroke on="f"/>
              <v:imagedata o:title=""/>
              <o:lock v:ext="edit" aspectratio="f"/>
              <v:textbox inset="0mm,0mm,0mm,0mm" style="mso-fit-shape-to-text:t;">
                <w:txbxContent>
                  <w:p w14:paraId="7C762643">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w:t>
                    </w:r>
                    <w:r>
                      <w:rPr>
                        <w:sz w:val="21"/>
                        <w:szCs w:val="21"/>
                      </w:rPr>
                      <w:fldChar w:fldCharType="end"/>
                    </w:r>
                  </w:p>
                </w:txbxContent>
              </v:textbox>
            </v:shape>
          </w:pict>
        </mc:Fallback>
      </mc:AlternateContent>
    </w:r>
    <w:r>
      <w:rPr>
        <w:rFonts w:hint="eastAsia"/>
        <w:b/>
        <w:bCs/>
        <w:sz w:val="21"/>
        <w:szCs w:val="21"/>
        <w:lang w:eastAsia="zh-CN"/>
      </w:rPr>
      <w:t>4500196</w:t>
    </w:r>
    <w:r>
      <w:rPr>
        <w:rFonts w:hint="eastAsia"/>
        <w:b/>
        <w:bCs/>
        <w:sz w:val="21"/>
        <w:szCs w:val="21"/>
      </w:rPr>
      <w:t xml:space="preserve">                                 新疆绿境天宸环保科技有限公司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57365">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202648">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EFntVnaAQAAtgMAAA4AAAAAAAAAAQAg&#10;AAAAHgEAAGRycy9lMm9Eb2MueG1sUEsFBgAAAAAGAAYAWQEAAGoFAAAAAA==&#10;">
              <v:fill on="f" focussize="0,0"/>
              <v:stroke on="f"/>
              <v:imagedata o:title=""/>
              <o:lock v:ext="edit" aspectratio="f"/>
              <v:textbox inset="0mm,0mm,0mm,0mm" style="mso-fit-shape-to-text:t;">
                <w:txbxContent>
                  <w:p w14:paraId="11202648">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 xml:space="preserve"> </w:t>
    </w:r>
    <w:r>
      <w:rPr>
        <w:rFonts w:hint="eastAsia"/>
        <w:b/>
        <w:bCs/>
        <w:sz w:val="18"/>
        <w:szCs w:val="18"/>
        <w:lang w:val="en-US" w:eastAsia="zh-CN"/>
      </w:rPr>
      <w:t xml:space="preserve">                                                               </w:t>
    </w:r>
    <w:r>
      <w:rPr>
        <w:b/>
        <w:bCs/>
        <w:sz w:val="18"/>
        <w:szCs w:val="18"/>
      </w:rPr>
      <w:t>TEL：0991-</w:t>
    </w:r>
    <w:r>
      <w:rPr>
        <w:rFonts w:hint="eastAsia"/>
        <w:b/>
        <w:bCs/>
        <w:sz w:val="18"/>
        <w:szCs w:val="18"/>
        <w:lang w:eastAsia="zh-CN"/>
      </w:rPr>
      <w:t>4500196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C2814">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sz w:val="18"/>
        <w:szCs w:val="18"/>
      </w:rPr>
    </w:pPr>
    <w:r>
      <w:rPr>
        <w:b/>
        <w:bCs/>
        <w:sz w:val="18"/>
        <w:szCs w:val="18"/>
      </w:rPr>
      <w:t>TEL：0991-</w:t>
    </w:r>
    <w:r>
      <w:rPr>
        <w:sz w:val="18"/>
        <w:szCs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590387">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gxIQu2wEAALYDAAAOAAAAAAAAAAEA&#10;IAAAAB4BAABkcnMvZTJvRG9jLnhtbFBLBQYAAAAABgAGAFkBAABrBQAAAAA=&#10;">
              <v:fill on="f" focussize="0,0"/>
              <v:stroke on="f"/>
              <v:imagedata o:title=""/>
              <o:lock v:ext="edit" aspectratio="f"/>
              <v:textbox inset="0mm,0mm,0mm,0mm" style="mso-fit-shape-to-text:t;">
                <w:txbxContent>
                  <w:p w14:paraId="13590387">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8F87C">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80465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fhCt12wEAALYDAAAOAAAAAAAAAAEA&#10;IAAAAB4BAABkcnMvZTJvRG9jLnhtbFBLBQYAAAAABgAGAFkBAABrBQAAAAA=&#10;">
              <v:fill on="f" focussize="0,0"/>
              <v:stroke on="f"/>
              <v:imagedata o:title=""/>
              <o:lock v:ext="edit" aspectratio="f"/>
              <v:textbox inset="0mm,0mm,0mm,0mm" style="mso-fit-shape-to-text:t;">
                <w:txbxContent>
                  <w:p w14:paraId="2680465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lang w:val="en-US" w:eastAsia="zh-CN"/>
      </w:rPr>
      <w:t xml:space="preserve"> </w:t>
    </w:r>
    <w:r>
      <w:rPr>
        <w:rFonts w:hint="eastAsia"/>
        <w:b/>
        <w:bCs/>
        <w:sz w:val="18"/>
        <w:szCs w:val="18"/>
      </w:rPr>
      <w:t xml:space="preserve"> </w:t>
    </w:r>
    <w:r>
      <w:rPr>
        <w:rFonts w:hint="eastAsia"/>
        <w:b/>
        <w:bCs/>
        <w:sz w:val="18"/>
        <w:szCs w:val="18"/>
        <w:lang w:val="en-US" w:eastAsia="zh-CN"/>
      </w:rPr>
      <w:t xml:space="preserve">                                   </w:t>
    </w:r>
    <w:r>
      <w:rPr>
        <w:b/>
        <w:bCs/>
        <w:sz w:val="18"/>
        <w:szCs w:val="18"/>
      </w:rPr>
      <w:t>TEL：0991-</w:t>
    </w:r>
    <w:r>
      <w:rPr>
        <w:rFonts w:hint="eastAsia"/>
        <w:b/>
        <w:bCs/>
        <w:sz w:val="18"/>
        <w:szCs w:val="18"/>
        <w:lang w:eastAsia="zh-CN"/>
      </w:rPr>
      <w:t>4500196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7FC8">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b/>
        <w:bCs/>
        <w:sz w:val="18"/>
        <w:szCs w:val="18"/>
      </w:rPr>
    </w:pPr>
    <w:r>
      <w:rPr>
        <w:b/>
        <w:bCs/>
        <w:sz w:val="18"/>
        <w:szCs w:val="18"/>
      </w:rPr>
      <w:t>TEL：0991-</w:t>
    </w:r>
    <w:r>
      <w:rPr>
        <w:sz w:val="18"/>
        <w:szCs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171D1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DY4072wEAALYDAAAOAAAAAAAAAAEA&#10;IAAAAB4BAABkcnMvZTJvRG9jLnhtbFBLBQYAAAAABgAGAFkBAABrBQAAAAA=&#10;">
              <v:fill on="f" focussize="0,0"/>
              <v:stroke on="f"/>
              <v:imagedata o:title=""/>
              <o:lock v:ext="edit" aspectratio="f"/>
              <v:textbox inset="0mm,0mm,0mm,0mm" style="mso-fit-shape-to-text:t;">
                <w:txbxContent>
                  <w:p w14:paraId="21171D1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2257C">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D1BF50">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eRNqZ2wEAALYDAAAOAAAAAAAAAAEA&#10;IAAAAB4BAABkcnMvZTJvRG9jLnhtbFBLBQYAAAAABgAGAFkBAABrBQAAAAA=&#10;">
              <v:fill on="f" focussize="0,0"/>
              <v:stroke on="f"/>
              <v:imagedata o:title=""/>
              <o:lock v:ext="edit" aspectratio="f"/>
              <v:textbox inset="0mm,0mm,0mm,0mm" style="mso-fit-shape-to-text:t;">
                <w:txbxContent>
                  <w:p w14:paraId="2DD1BF50">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 xml:space="preserve"> </w:t>
    </w:r>
    <w:r>
      <w:rPr>
        <w:b/>
        <w:bCs/>
        <w:sz w:val="18"/>
        <w:szCs w:val="18"/>
      </w:rPr>
      <w:t>TEL：0991-</w:t>
    </w:r>
    <w:r>
      <w:rPr>
        <w:rFonts w:hint="eastAsia"/>
        <w:b/>
        <w:bCs/>
        <w:sz w:val="18"/>
        <w:szCs w:val="18"/>
        <w:lang w:eastAsia="zh-CN"/>
      </w:rPr>
      <w:t>4500196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15ECA">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b/>
        <w:bCs/>
        <w:sz w:val="18"/>
        <w:szCs w:val="18"/>
      </w:rPr>
    </w:pPr>
    <w:r>
      <w:rPr>
        <w:b/>
        <w:bCs/>
        <w:sz w:val="18"/>
        <w:szCs w:val="18"/>
      </w:rPr>
      <w:t>TEL：0991-</w:t>
    </w:r>
    <w:r>
      <w:rPr>
        <w:sz w:val="18"/>
        <w:szCs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6A2BC9">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JcFfdTaAQAAtgMAAA4AAAAAAAAAAQAg&#10;AAAAHgEAAGRycy9lMm9Eb2MueG1sUEsFBgAAAAAGAAYAWQEAAGoFAAAAAA==&#10;">
              <v:fill on="f" focussize="0,0"/>
              <v:stroke on="f"/>
              <v:imagedata o:title=""/>
              <o:lock v:ext="edit" aspectratio="f"/>
              <v:textbox inset="0mm,0mm,0mm,0mm" style="mso-fit-shape-to-text:t;">
                <w:txbxContent>
                  <w:p w14:paraId="296A2BC9">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7866F">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DB6EFE">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IJhIU2wEAALYDAAAOAAAAAAAAAAEA&#10;IAAAAB4BAABkcnMvZTJvRG9jLnhtbFBLBQYAAAAABgAGAFkBAABrBQAAAAA=&#10;">
              <v:fill on="f" focussize="0,0"/>
              <v:stroke on="f"/>
              <v:imagedata o:title=""/>
              <o:lock v:ext="edit" aspectratio="f"/>
              <v:textbox inset="0mm,0mm,0mm,0mm" style="mso-fit-shape-to-text:t;">
                <w:txbxContent>
                  <w:p w14:paraId="7EDB6EFE">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 xml:space="preserve"> </w:t>
    </w:r>
    <w:r>
      <w:rPr>
        <w:b/>
        <w:bCs/>
        <w:sz w:val="18"/>
        <w:szCs w:val="18"/>
      </w:rPr>
      <w:t>TEL：0991-</w:t>
    </w:r>
    <w:r>
      <w:rPr>
        <w:rFonts w:hint="eastAsia"/>
        <w:b/>
        <w:bCs/>
        <w:sz w:val="18"/>
        <w:szCs w:val="18"/>
        <w:lang w:eastAsia="zh-CN"/>
      </w:rPr>
      <w:t>4500196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2F6F7">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b/>
        <w:bCs/>
        <w:sz w:val="18"/>
        <w:szCs w:val="18"/>
      </w:rPr>
    </w:pPr>
    <w:r>
      <w:rPr>
        <w:b/>
        <w:bCs/>
        <w:sz w:val="18"/>
        <w:szCs w:val="18"/>
      </w:rPr>
      <w:t>TEL：0991-</w:t>
    </w:r>
    <w:r>
      <w:rPr>
        <w:sz w:val="18"/>
        <w:szCs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46A4C3">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8YHns2wEAALYDAAAOAAAAAAAAAAEA&#10;IAAAAB4BAABkcnMvZTJvRG9jLnhtbFBLBQYAAAAABgAGAFkBAABrBQAAAAA=&#10;">
              <v:fill on="f" focussize="0,0"/>
              <v:stroke on="f"/>
              <v:imagedata o:title=""/>
              <o:lock v:ext="edit" aspectratio="f"/>
              <v:textbox inset="0mm,0mm,0mm,0mm" style="mso-fit-shape-to-text:t;">
                <w:txbxContent>
                  <w:p w14:paraId="0346A4C3">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79BC4">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D88194">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jQxYs2wEAALYDAAAOAAAAAAAAAAEA&#10;IAAAAB4BAABkcnMvZTJvRG9jLnhtbFBLBQYAAAAABgAGAFkBAABrBQAAAAA=&#10;">
              <v:fill on="f" focussize="0,0"/>
              <v:stroke on="f"/>
              <v:imagedata o:title=""/>
              <o:lock v:ext="edit" aspectratio="f"/>
              <v:textbox inset="0mm,0mm,0mm,0mm" style="mso-fit-shape-to-text:t;">
                <w:txbxContent>
                  <w:p w14:paraId="40D88194">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 xml:space="preserve"> </w:t>
    </w:r>
    <w:r>
      <w:rPr>
        <w:b/>
        <w:bCs/>
        <w:sz w:val="18"/>
        <w:szCs w:val="18"/>
      </w:rPr>
      <w:t>TEL：0991-</w:t>
    </w:r>
    <w:r>
      <w:rPr>
        <w:rFonts w:hint="eastAsia"/>
        <w:b/>
        <w:bCs/>
        <w:sz w:val="18"/>
        <w:szCs w:val="18"/>
        <w:lang w:eastAsia="zh-CN"/>
      </w:rPr>
      <w:t>4500196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4C7A">
    <w:pPr>
      <w:pStyle w:val="49"/>
      <w:keepNext w:val="0"/>
      <w:keepLines w:val="0"/>
      <w:pageBreakBefore w:val="0"/>
      <w:widowControl w:val="0"/>
      <w:pBdr>
        <w:top w:val="single" w:color="auto" w:sz="4" w:space="0"/>
      </w:pBdr>
      <w:kinsoku/>
      <w:wordWrap/>
      <w:overflowPunct/>
      <w:topLinePunct w:val="0"/>
      <w:autoSpaceDE/>
      <w:autoSpaceDN/>
      <w:bidi w:val="0"/>
      <w:adjustRightInd/>
      <w:snapToGrid w:val="0"/>
      <w:spacing w:line="240" w:lineRule="auto"/>
      <w:ind w:firstLine="0" w:firstLineChars="0"/>
      <w:jc w:val="both"/>
      <w:textAlignment w:val="auto"/>
      <w:rPr>
        <w:rFonts w:hint="default"/>
        <w:sz w:val="18"/>
        <w:szCs w:val="18"/>
        <w:lang w:val="en-US"/>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0D1D9">
                          <w:pPr>
                            <w:pStyle w:val="49"/>
                          </w:pPr>
                          <w:r>
                            <w:fldChar w:fldCharType="begin"/>
                          </w:r>
                          <w:r>
                            <w:instrText xml:space="preserve"> PAGE  \* MERGEFORMAT </w:instrText>
                          </w:r>
                          <w:r>
                            <w:fldChar w:fldCharType="separate"/>
                          </w:r>
                          <w:r>
                            <w:t>CXXVII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0B00D1D9">
                    <w:pPr>
                      <w:pStyle w:val="49"/>
                    </w:pPr>
                    <w:r>
                      <w:fldChar w:fldCharType="begin"/>
                    </w:r>
                    <w:r>
                      <w:instrText xml:space="preserve"> PAGE  \* MERGEFORMAT </w:instrText>
                    </w:r>
                    <w:r>
                      <w:fldChar w:fldCharType="separate"/>
                    </w:r>
                    <w:r>
                      <w:t>CXXVII</w:t>
                    </w:r>
                    <w:r>
                      <w:fldChar w:fldCharType="end"/>
                    </w:r>
                  </w:p>
                </w:txbxContent>
              </v:textbox>
            </v:shape>
          </w:pict>
        </mc:Fallback>
      </mc:AlternateContent>
    </w:r>
    <w:r>
      <w:rPr>
        <w:rFonts w:hint="eastAsia" w:ascii="Times New Roman" w:hAnsi="Times New Roman" w:cs="Times New Roman"/>
        <w:b/>
        <w:bCs/>
        <w:sz w:val="18"/>
        <w:szCs w:val="18"/>
        <w:lang w:val="en-US" w:eastAsia="zh-CN"/>
      </w:rPr>
      <w:t>新疆</w:t>
    </w:r>
    <w:r>
      <w:rPr>
        <w:rFonts w:hint="eastAsia" w:cs="Times New Roman"/>
        <w:b/>
        <w:bCs/>
        <w:sz w:val="18"/>
        <w:szCs w:val="18"/>
        <w:lang w:val="en-US" w:eastAsia="zh-CN"/>
      </w:rPr>
      <w:t>绿境天宸</w:t>
    </w:r>
    <w:r>
      <w:rPr>
        <w:rFonts w:hint="eastAsia" w:ascii="Times New Roman" w:hAnsi="Times New Roman" w:cs="Times New Roman"/>
        <w:b/>
        <w:bCs/>
        <w:sz w:val="18"/>
        <w:szCs w:val="18"/>
        <w:lang w:val="en-US" w:eastAsia="zh-CN"/>
      </w:rPr>
      <w:t xml:space="preserve">环保科技有限公司   </w:t>
    </w:r>
    <w:r>
      <w:rPr>
        <w:rFonts w:hint="eastAsia" w:cs="Times New Roman"/>
        <w:b/>
        <w:bCs/>
        <w:sz w:val="18"/>
        <w:szCs w:val="18"/>
        <w:lang w:val="en-US" w:eastAsia="zh-CN"/>
      </w:rPr>
      <w:t xml:space="preserve">                             </w:t>
    </w:r>
    <w:r>
      <w:rPr>
        <w:rFonts w:hint="eastAsia" w:ascii="Times New Roman" w:hAnsi="Times New Roman" w:cs="Times New Roman"/>
        <w:b/>
        <w:bCs/>
        <w:sz w:val="18"/>
        <w:szCs w:val="18"/>
        <w:lang w:val="en-US" w:eastAsia="zh-CN"/>
      </w:rPr>
      <w:t xml:space="preserve"> </w:t>
    </w:r>
    <w:r>
      <w:rPr>
        <w:rFonts w:hint="eastAsia" w:cs="Times New Roman"/>
        <w:b/>
        <w:bCs/>
        <w:sz w:val="18"/>
        <w:szCs w:val="18"/>
        <w:lang w:val="en-US" w:eastAsia="zh-CN"/>
      </w:rPr>
      <w:t xml:space="preserve">            </w:t>
    </w:r>
    <w:r>
      <w:rPr>
        <w:rFonts w:hint="default" w:ascii="Times New Roman" w:hAnsi="Times New Roman" w:cs="Times New Roman"/>
        <w:b/>
        <w:bCs/>
        <w:sz w:val="18"/>
        <w:szCs w:val="18"/>
        <w:lang w:val="en-US" w:eastAsia="zh-CN"/>
      </w:rPr>
      <w:t>TEL：0991-</w:t>
    </w:r>
    <w:r>
      <w:rPr>
        <w:rFonts w:hint="eastAsia" w:cs="Times New Roman"/>
        <w:b/>
        <w:bCs/>
        <w:sz w:val="18"/>
        <w:szCs w:val="18"/>
        <w:lang w:val="en-US" w:eastAsia="zh-CN"/>
      </w:rPr>
      <w:t>4500196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BE379">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Cs w:val="18"/>
        <w:lang w:eastAsia="zh-CN"/>
      </w:rPr>
    </w:pPr>
    <w:r>
      <w:rPr>
        <w:rFonts w:hint="eastAsia"/>
        <w:b/>
        <w:bCs/>
        <w:sz w:val="21"/>
        <w:szCs w:val="21"/>
      </w:rPr>
      <w:t xml:space="preserve">新疆绿境天宸环保科技有限公司              </w: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B6B1B8">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39VLc2wEAALcDAAAOAAAAAAAAAAEA&#10;IAAAAB4BAABkcnMvZTJvRG9jLnhtbFBLBQYAAAAABgAGAFkBAABrBQAAAAA=&#10;">
              <v:fill on="f" focussize="0,0"/>
              <v:stroke on="f"/>
              <v:imagedata o:title=""/>
              <o:lock v:ext="edit" aspectratio="f"/>
              <v:textbox inset="0mm,0mm,0mm,0mm" style="mso-fit-shape-to-text:t;">
                <w:txbxContent>
                  <w:p w14:paraId="34B6B1B8">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II</w:t>
                    </w:r>
                    <w:r>
                      <w:rPr>
                        <w:sz w:val="21"/>
                        <w:szCs w:val="21"/>
                      </w:rPr>
                      <w:fldChar w:fldCharType="end"/>
                    </w:r>
                  </w:p>
                </w:txbxContent>
              </v:textbox>
            </v:shape>
          </w:pict>
        </mc:Fallback>
      </mc:AlternateContent>
    </w:r>
    <w:r>
      <w:rPr>
        <w:rFonts w:hint="eastAsia"/>
        <w:b/>
        <w:bCs/>
        <w:sz w:val="21"/>
        <w:szCs w:val="21"/>
      </w:rPr>
      <w:t xml:space="preserve">                  </w:t>
    </w:r>
    <w:r>
      <w:rPr>
        <w:b/>
        <w:bCs/>
        <w:sz w:val="21"/>
        <w:szCs w:val="21"/>
      </w:rPr>
      <w:t>TEL：0991-</w:t>
    </w:r>
    <w:r>
      <w:rPr>
        <w:rFonts w:hint="eastAsia"/>
        <w:b/>
        <w:bCs/>
        <w:sz w:val="21"/>
        <w:szCs w:val="21"/>
        <w:lang w:eastAsia="zh-CN"/>
      </w:rPr>
      <w:t>4500196</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836B5">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2DE761">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iiIqdtkBAAC2AwAADgAAAAAAAAABACAA&#10;AAAeAQAAZHJzL2Uyb0RvYy54bWxQSwUGAAAAAAYABgBZAQAAaQUAAAAA&#10;">
              <v:fill on="f" focussize="0,0"/>
              <v:stroke on="f"/>
              <v:imagedata o:title=""/>
              <o:lock v:ext="edit" aspectratio="f"/>
              <v:textbox inset="0mm,0mm,0mm,0mm" style="mso-fit-shape-to-text:t;">
                <w:txbxContent>
                  <w:p w14:paraId="252DE761">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 xml:space="preserve"> </w:t>
    </w:r>
    <w:r>
      <w:rPr>
        <w:b/>
        <w:bCs/>
        <w:sz w:val="18"/>
        <w:szCs w:val="18"/>
      </w:rPr>
      <w:t>TEL：0991-</w:t>
    </w:r>
    <w:r>
      <w:rPr>
        <w:rFonts w:hint="eastAsia"/>
        <w:b/>
        <w:bCs/>
        <w:sz w:val="18"/>
        <w:szCs w:val="18"/>
        <w:lang w:eastAsia="zh-CN"/>
      </w:rPr>
      <w:t>4500196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C1341">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default"/>
        <w:sz w:val="18"/>
        <w:szCs w:val="18"/>
        <w:lang w:val="en-US"/>
      </w:rPr>
    </w:pPr>
    <w:r>
      <w:rPr>
        <w:b/>
        <w:bCs/>
        <w:sz w:val="18"/>
        <w:szCs w:val="18"/>
      </w:rPr>
      <w:t>TEL：0991-</w:t>
    </w:r>
    <w:r>
      <w:rPr>
        <w:sz w:val="18"/>
        <w:szCs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8E4C">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HwVCh2wEAALYDAAAOAAAAAAAAAAEA&#10;IAAAAB4BAABkcnMvZTJvRG9jLnhtbFBLBQYAAAAABgAGAFkBAABrBQAAAAA=&#10;">
              <v:fill on="f" focussize="0,0"/>
              <v:stroke on="f"/>
              <v:imagedata o:title=""/>
              <o:lock v:ext="edit" aspectratio="f"/>
              <v:textbox inset="0mm,0mm,0mm,0mm" style="mso-fit-shape-to-text:t;">
                <w:txbxContent>
                  <w:p w14:paraId="10A88E4C">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1B1E3">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EC820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5+vu2wEAALYDAAAOAAAAAAAAAAEA&#10;IAAAAB4BAABkcnMvZTJvRG9jLnhtbFBLBQYAAAAABgAGAFkBAABrBQAAAAA=&#10;">
              <v:fill on="f" focussize="0,0"/>
              <v:stroke on="f"/>
              <v:imagedata o:title=""/>
              <o:lock v:ext="edit" aspectratio="f"/>
              <v:textbox inset="0mm,0mm,0mm,0mm" style="mso-fit-shape-to-text:t;">
                <w:txbxContent>
                  <w:p w14:paraId="67EC820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b/>
        <w:bCs/>
        <w:sz w:val="18"/>
        <w:szCs w:val="18"/>
      </w:rPr>
      <w:t>TEL：0991-</w:t>
    </w:r>
    <w:r>
      <w:rPr>
        <w:rFonts w:hint="eastAsia"/>
        <w:b/>
        <w:bCs/>
        <w:sz w:val="18"/>
        <w:szCs w:val="18"/>
        <w:lang w:eastAsia="zh-CN"/>
      </w:rPr>
      <w:t>4500196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E3E85">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default"/>
        <w:sz w:val="18"/>
        <w:szCs w:val="18"/>
        <w:lang w:val="en-US"/>
      </w:rPr>
    </w:pPr>
    <w:r>
      <w:rPr>
        <w:b/>
        <w:bCs/>
        <w:sz w:val="18"/>
        <w:szCs w:val="18"/>
      </w:rPr>
      <w:t>TEL：0991-</w:t>
    </w:r>
    <w:r>
      <w:rPr>
        <w:sz w:val="18"/>
        <w:szCs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AE829E">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OFHLk7aAQAAtgMAAA4AAAAAAAAAAQAg&#10;AAAAHgEAAGRycy9lMm9Eb2MueG1sUEsFBgAAAAAGAAYAWQEAAGoFAAAAAA==&#10;">
              <v:fill on="f" focussize="0,0"/>
              <v:stroke on="f"/>
              <v:imagedata o:title=""/>
              <o:lock v:ext="edit" aspectratio="f"/>
              <v:textbox inset="0mm,0mm,0mm,0mm" style="mso-fit-shape-to-text:t;">
                <w:txbxContent>
                  <w:p w14:paraId="0BAE829E">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2D86">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E12BF8">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ZEGO2wEAALYDAAAOAAAAAAAAAAEA&#10;IAAAAB4BAABkcnMvZTJvRG9jLnhtbFBLBQYAAAAABgAGAFkBAABrBQAAAAA=&#10;">
              <v:fill on="f" focussize="0,0"/>
              <v:stroke on="f"/>
              <v:imagedata o:title=""/>
              <o:lock v:ext="edit" aspectratio="f"/>
              <v:textbox inset="0mm,0mm,0mm,0mm" style="mso-fit-shape-to-text:t;">
                <w:txbxContent>
                  <w:p w14:paraId="5FE12BF8">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b/>
        <w:bCs/>
        <w:sz w:val="18"/>
        <w:szCs w:val="18"/>
      </w:rPr>
      <w:t>TEL：0991-</w:t>
    </w:r>
    <w:r>
      <w:rPr>
        <w:rFonts w:hint="eastAsia"/>
        <w:b/>
        <w:bCs/>
        <w:sz w:val="18"/>
        <w:szCs w:val="18"/>
        <w:lang w:eastAsia="zh-CN"/>
      </w:rPr>
      <w:t>4500196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FD098">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default"/>
        <w:sz w:val="18"/>
        <w:szCs w:val="18"/>
        <w:lang w:val="en-US"/>
      </w:rPr>
    </w:pPr>
    <w:r>
      <w:rPr>
        <w:b/>
        <w:bCs/>
        <w:sz w:val="18"/>
        <w:szCs w:val="18"/>
      </w:rPr>
      <w:t>TEL：0991-</w:t>
    </w:r>
    <w:r>
      <w:rPr>
        <w:sz w:val="18"/>
        <w:szCs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2F5B8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eB4EV2wEAALYDAAAOAAAAAAAAAAEA&#10;IAAAAB4BAABkcnMvZTJvRG9jLnhtbFBLBQYAAAAABgAGAFkBAABrBQAAAAA=&#10;">
              <v:fill on="f" focussize="0,0"/>
              <v:stroke on="f"/>
              <v:imagedata o:title=""/>
              <o:lock v:ext="edit" aspectratio="f"/>
              <v:textbox inset="0mm,0mm,0mm,0mm" style="mso-fit-shape-to-text:t;">
                <w:txbxContent>
                  <w:p w14:paraId="072F5B8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45041">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1CE10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BJO7V2wEAALYDAAAOAAAAAAAAAAEA&#10;IAAAAB4BAABkcnMvZTJvRG9jLnhtbFBLBQYAAAAABgAGAFkBAABrBQAAAAA=&#10;">
              <v:fill on="f" focussize="0,0"/>
              <v:stroke on="f"/>
              <v:imagedata o:title=""/>
              <o:lock v:ext="edit" aspectratio="f"/>
              <v:textbox inset="0mm,0mm,0mm,0mm" style="mso-fit-shape-to-text:t;">
                <w:txbxContent>
                  <w:p w14:paraId="181CE105">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b/>
        <w:bCs/>
        <w:sz w:val="18"/>
        <w:szCs w:val="18"/>
      </w:rPr>
      <w:t>TEL：0991-</w:t>
    </w:r>
    <w:r>
      <w:rPr>
        <w:rFonts w:hint="eastAsia"/>
        <w:b/>
        <w:bCs/>
        <w:sz w:val="18"/>
        <w:szCs w:val="18"/>
        <w:lang w:eastAsia="zh-CN"/>
      </w:rPr>
      <w:t>4500196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A48F">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sz w:val="18"/>
        <w:szCs w:val="18"/>
      </w:rPr>
    </w:pPr>
    <w:r>
      <w:rPr>
        <w:b/>
        <w:bCs/>
        <w:sz w:val="18"/>
        <w:szCs w:val="18"/>
      </w:rPr>
      <w:t>TEL：0991-</w:t>
    </w:r>
    <w:r>
      <w:rPr>
        <w:sz w:val="18"/>
        <w:szCs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5994AC">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21"/>
                              <w:szCs w:val="21"/>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D1p/OvaAQAAtQMAAA4AAAAAAAAAAQAg&#10;AAAAHgEAAGRycy9lMm9Eb2MueG1sUEsFBgAAAAAGAAYAWQEAAGoFAAAAAA==&#10;">
              <v:fill on="f" focussize="0,0"/>
              <v:stroke on="f"/>
              <v:imagedata o:title=""/>
              <o:lock v:ext="edit" aspectratio="f"/>
              <v:textbox inset="0mm,0mm,0mm,0mm" style="mso-fit-shape-to-text:t;">
                <w:txbxContent>
                  <w:p w14:paraId="435994AC">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21"/>
                        <w:szCs w:val="21"/>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ACDCA">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44CE3C">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1obXtNkBAAC2AwAADgAAAAAAAAABACAA&#10;AAAeAQAAZHJzL2Uyb0RvYy54bWxQSwUGAAAAAAYABgBZAQAAaQUAAAAA&#10;">
              <v:fill on="f" focussize="0,0"/>
              <v:stroke on="f"/>
              <v:imagedata o:title=""/>
              <o:lock v:ext="edit" aspectratio="f"/>
              <v:textbox inset="0mm,0mm,0mm,0mm" style="mso-fit-shape-to-text:t;">
                <w:txbxContent>
                  <w:p w14:paraId="7C44CE3C">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 xml:space="preserve"> </w:t>
    </w:r>
    <w:r>
      <w:rPr>
        <w:b/>
        <w:bCs/>
        <w:sz w:val="18"/>
        <w:szCs w:val="18"/>
      </w:rPr>
      <w:t>TEL：0991-</w:t>
    </w:r>
    <w:r>
      <w:rPr>
        <w:rFonts w:hint="eastAsia"/>
        <w:b/>
        <w:bCs/>
        <w:sz w:val="18"/>
        <w:szCs w:val="18"/>
        <w:lang w:eastAsia="zh-CN"/>
      </w:rPr>
      <w:t>4500196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4D54E">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sz w:val="18"/>
        <w:szCs w:val="18"/>
      </w:rPr>
    </w:pPr>
    <w:r>
      <w:rPr>
        <w:b/>
        <w:bCs/>
        <w:sz w:val="18"/>
        <w:szCs w:val="18"/>
      </w:rPr>
      <w:t>TEL：0991-</w:t>
    </w:r>
    <w:r>
      <w:rPr>
        <w:sz w:val="18"/>
        <w:szCs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85073D">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P8unwXaAQAAtQMAAA4AAAAAAAAAAQAg&#10;AAAAHgEAAGRycy9lMm9Eb2MueG1sUEsFBgAAAAAGAAYAWQEAAGoFAAAAAA==&#10;">
              <v:fill on="f" focussize="0,0"/>
              <v:stroke on="f"/>
              <v:imagedata o:title=""/>
              <o:lock v:ext="edit" aspectratio="f"/>
              <v:textbox inset="0mm,0mm,0mm,0mm" style="mso-fit-shape-to-text:t;">
                <w:txbxContent>
                  <w:p w14:paraId="1B85073D">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1503D">
    <w:pPr>
      <w:spacing w:line="480" w:lineRule="exact"/>
      <w:jc w:val="left"/>
      <w:rPr>
        <w:rFonts w:ascii="Calibri" w:hAnsi="Calibri"/>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FC16F">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sz w:val="18"/>
        <w:szCs w:val="18"/>
      </w:rPr>
    </w:pPr>
    <w:r>
      <w:rPr>
        <w:b/>
        <w:bCs/>
        <w:sz w:val="18"/>
        <w:szCs w:val="18"/>
      </w:rPr>
      <w:t>TEL：0991-</w:t>
    </w:r>
    <w:r>
      <w:rPr>
        <w:sz w:val="18"/>
        <w:szCs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CD051A">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cQOL72wEAALYDAAAOAAAAAAAAAAEA&#10;IAAAAB4BAABkcnMvZTJvRG9jLnhtbFBLBQYAAAAABgAGAFkBAABrBQAAAAA=&#10;">
              <v:fill on="f" focussize="0,0"/>
              <v:stroke on="f"/>
              <v:imagedata o:title=""/>
              <o:lock v:ext="edit" aspectratio="f"/>
              <v:textbox inset="0mm,0mm,0mm,0mm" style="mso-fit-shape-to-text:t;">
                <w:txbxContent>
                  <w:p w14:paraId="08CD051A">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7AE32">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ascii="Calibri" w:hAnsi="Calibri" w:eastAsia="宋体"/>
        <w:sz w:val="18"/>
        <w:szCs w:val="18"/>
        <w:lang w:eastAsia="zh-CN"/>
      </w:rPr>
    </w:pPr>
    <w:r>
      <w:rPr>
        <w:rFonts w:hint="eastAsia"/>
        <w:b/>
        <w:bCs/>
        <w:sz w:val="18"/>
        <w:szCs w:val="18"/>
      </w:rPr>
      <w:t xml:space="preserve">新疆绿境天宸环保科技有限公司              </w:t>
    </w:r>
    <w:r>
      <w:rPr>
        <w:sz w:val="18"/>
        <w:szCs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864D41">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pLBi2wEAALYDAAAOAAAAAAAAAAEA&#10;IAAAAB4BAABkcnMvZTJvRG9jLnhtbFBLBQYAAAAABgAGAFkBAABrBQAAAAA=&#10;">
              <v:fill on="f" focussize="0,0"/>
              <v:stroke on="f"/>
              <v:imagedata o:title=""/>
              <o:lock v:ext="edit" aspectratio="f"/>
              <v:textbox inset="0mm,0mm,0mm,0mm" style="mso-fit-shape-to-text:t;">
                <w:txbxContent>
                  <w:p w14:paraId="77864D41">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 xml:space="preserve"> </w:t>
    </w:r>
    <w:r>
      <w:rPr>
        <w:b/>
        <w:bCs/>
        <w:sz w:val="18"/>
        <w:szCs w:val="18"/>
      </w:rPr>
      <w:t>TEL：0991-</w:t>
    </w:r>
    <w:r>
      <w:rPr>
        <w:rFonts w:hint="eastAsia"/>
        <w:b/>
        <w:bCs/>
        <w:sz w:val="18"/>
        <w:szCs w:val="18"/>
        <w:lang w:eastAsia="zh-CN"/>
      </w:rPr>
      <w:t>4500196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A8028">
    <w:pPr>
      <w:pStyle w:val="49"/>
      <w:keepNext w:val="0"/>
      <w:keepLines w:val="0"/>
      <w:pageBreakBefore w:val="0"/>
      <w:widowControl w:val="0"/>
      <w:pBdr>
        <w:top w:val="single" w:color="auto" w:sz="4" w:space="0"/>
      </w:pBdr>
      <w:kinsoku/>
      <w:wordWrap/>
      <w:overflowPunct/>
      <w:topLinePunct w:val="0"/>
      <w:bidi w:val="0"/>
      <w:adjustRightInd/>
      <w:snapToGrid w:val="0"/>
      <w:spacing w:line="360" w:lineRule="exact"/>
      <w:ind w:firstLine="0" w:firstLineChars="0"/>
      <w:textAlignment w:val="auto"/>
      <w:rPr>
        <w:rFonts w:hint="eastAsia"/>
        <w:sz w:val="18"/>
        <w:szCs w:val="18"/>
      </w:rPr>
    </w:pPr>
    <w:r>
      <w:rPr>
        <w:b/>
        <w:bCs/>
        <w:sz w:val="18"/>
        <w:szCs w:val="18"/>
      </w:rPr>
      <w:t>TEL：0991-</w:t>
    </w:r>
    <w:r>
      <w:rPr>
        <w:sz w:val="18"/>
        <w:szCs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B3CA9C">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gh9+i2wEAALYDAAAOAAAAAAAAAAEA&#10;IAAAAB4BAABkcnMvZTJvRG9jLnhtbFBLBQYAAAAABgAGAFkBAABrBQAAAAA=&#10;">
              <v:fill on="f" focussize="0,0"/>
              <v:stroke on="f"/>
              <v:imagedata o:title=""/>
              <o:lock v:ext="edit" aspectratio="f"/>
              <v:textbox inset="0mm,0mm,0mm,0mm" style="mso-fit-shape-to-text:t;">
                <w:txbxContent>
                  <w:p w14:paraId="59B3CA9C">
                    <w:pPr>
                      <w:pStyle w:val="49"/>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r>
      <w:rPr>
        <w:rFonts w:hint="eastAsia"/>
        <w:b/>
        <w:bCs/>
        <w:sz w:val="18"/>
        <w:szCs w:val="18"/>
        <w:lang w:eastAsia="zh-CN"/>
      </w:rPr>
      <w:t>4500196</w:t>
    </w:r>
    <w:r>
      <w:rPr>
        <w:rFonts w:hint="eastAsia"/>
        <w:b/>
        <w:bCs/>
        <w:sz w:val="18"/>
        <w:szCs w:val="18"/>
      </w:rPr>
      <w:t xml:space="preserve">                                 </w:t>
    </w:r>
    <w:r>
      <w:rPr>
        <w:rFonts w:hint="eastAsia"/>
        <w:b/>
        <w:bCs/>
        <w:sz w:val="18"/>
        <w:szCs w:val="18"/>
        <w:lang w:val="en-US" w:eastAsia="zh-CN"/>
      </w:rPr>
      <w:t xml:space="preserve">                                                                            </w:t>
    </w:r>
    <w:r>
      <w:rPr>
        <w:rFonts w:hint="eastAsia"/>
        <w:b/>
        <w:bCs/>
        <w:sz w:val="18"/>
        <w:szCs w:val="18"/>
      </w:rPr>
      <w:t>新疆绿境天宸环保科技有限公司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FA9F1">
    <w:pPr>
      <w:pStyle w:val="51"/>
      <w:pBdr>
        <w:bottom w:val="thinThickSmallGap" w:color="auto" w:sz="12" w:space="3"/>
      </w:pBdr>
      <w:rPr>
        <w:rFonts w:hint="eastAsia"/>
        <w:b/>
        <w:bCs/>
        <w:sz w:val="21"/>
        <w:szCs w:val="21"/>
      </w:rPr>
    </w:pPr>
    <w:r>
      <w:rPr>
        <w:rFonts w:hint="eastAsia"/>
        <w:b/>
        <w:bCs/>
        <w:sz w:val="21"/>
        <w:szCs w:val="21"/>
        <w:lang w:eastAsia="zh-CN"/>
      </w:rPr>
      <w:t>哈密市西成矿业有限责任公司M1033矿年产30万吨铁矿采矿建设项目（重大变动）环境影响报告书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9FD25">
    <w:pPr>
      <w:pStyle w:val="51"/>
      <w:pBdr>
        <w:bottom w:val="thinThickSmallGap" w:color="auto" w:sz="12" w:space="3"/>
      </w:pBdr>
      <w:rPr>
        <w:rFonts w:hint="eastAsia"/>
        <w:b/>
        <w:bCs/>
        <w:sz w:val="21"/>
        <w:szCs w:val="21"/>
      </w:rPr>
    </w:pPr>
    <w:r>
      <w:rPr>
        <w:rFonts w:hint="eastAsia"/>
        <w:b/>
        <w:bCs/>
        <w:sz w:val="21"/>
        <w:szCs w:val="21"/>
        <w:lang w:eastAsia="zh-CN"/>
      </w:rPr>
      <w:t>哈密市西成矿业有限责任公司M1033矿年产30万吨铁矿采矿建设项目（重大变动）环境影响报告书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536B3">
    <w:pPr>
      <w:pStyle w:val="51"/>
      <w:pBdr>
        <w:bottom w:val="thinThickSmallGap" w:color="auto" w:sz="12" w:space="3"/>
      </w:pBdr>
      <w:rPr>
        <w:rFonts w:hint="eastAsia"/>
      </w:rPr>
    </w:pPr>
    <w:r>
      <w:rPr>
        <w:rFonts w:hint="eastAsia"/>
        <w:b/>
        <w:bCs/>
        <w:spacing w:val="0"/>
        <w:sz w:val="18"/>
        <w:szCs w:val="18"/>
        <w:lang w:eastAsia="zh-CN"/>
      </w:rPr>
      <w:t>哈密市西成矿业有限责任公司M1033矿</w:t>
    </w:r>
    <w:r>
      <w:rPr>
        <w:rFonts w:hint="eastAsia"/>
        <w:b/>
        <w:bCs/>
        <w:spacing w:val="0"/>
        <w:sz w:val="18"/>
        <w:szCs w:val="18"/>
        <w:lang w:val="en-US" w:eastAsia="zh-CN"/>
      </w:rPr>
      <w:t>年产30万吨铁矿采矿建设项目（重大变动）</w:t>
    </w:r>
    <w:r>
      <w:rPr>
        <w:rFonts w:hint="eastAsia"/>
        <w:b/>
        <w:bCs/>
        <w:spacing w:val="0"/>
        <w:sz w:val="18"/>
        <w:szCs w:val="18"/>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D8A6E">
    <w:pPr>
      <w:pStyle w:val="51"/>
      <w:pBdr>
        <w:bottom w:val="thinThickSmallGap" w:color="auto" w:sz="12" w:space="3"/>
      </w:pBdr>
      <w:rPr>
        <w:rFonts w:hint="eastAsia"/>
      </w:rPr>
    </w:pPr>
    <w:r>
      <w:rPr>
        <w:rFonts w:hint="eastAsia"/>
        <w:b/>
        <w:bCs/>
        <w:spacing w:val="0"/>
        <w:sz w:val="18"/>
        <w:szCs w:val="18"/>
        <w:lang w:eastAsia="zh-CN"/>
      </w:rPr>
      <w:t>哈密市西成矿业有限责任公司M1033矿</w:t>
    </w:r>
    <w:r>
      <w:rPr>
        <w:rFonts w:hint="eastAsia"/>
        <w:b/>
        <w:bCs/>
        <w:spacing w:val="0"/>
        <w:sz w:val="18"/>
        <w:szCs w:val="18"/>
        <w:lang w:val="en-US" w:eastAsia="zh-CN"/>
      </w:rPr>
      <w:t>年产30万吨铁矿采矿建设项目（重大变动）</w:t>
    </w:r>
    <w:r>
      <w:rPr>
        <w:rFonts w:hint="eastAsia"/>
        <w:b/>
        <w:bCs/>
        <w:spacing w:val="0"/>
        <w:sz w:val="18"/>
        <w:szCs w:val="18"/>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9C030">
    <w:pPr>
      <w:pStyle w:val="51"/>
      <w:pBdr>
        <w:bottom w:val="thinThickSmallGap" w:color="auto" w:sz="12" w:space="3"/>
      </w:pBdr>
      <w:rPr>
        <w:rFonts w:hint="eastAsia"/>
        <w:b/>
        <w:bCs/>
        <w:spacing w:val="0"/>
        <w:sz w:val="18"/>
        <w:szCs w:val="18"/>
      </w:rPr>
    </w:pPr>
    <w:r>
      <w:rPr>
        <w:rFonts w:hint="eastAsia"/>
        <w:b/>
        <w:bCs/>
        <w:spacing w:val="0"/>
        <w:sz w:val="18"/>
        <w:szCs w:val="18"/>
        <w:lang w:eastAsia="zh-CN"/>
      </w:rPr>
      <w:t>哈密市西成矿业有限责任公司M1033矿</w:t>
    </w:r>
    <w:r>
      <w:rPr>
        <w:rFonts w:hint="eastAsia"/>
        <w:b/>
        <w:bCs/>
        <w:spacing w:val="0"/>
        <w:sz w:val="18"/>
        <w:szCs w:val="18"/>
        <w:lang w:val="en-US" w:eastAsia="zh-CN"/>
      </w:rPr>
      <w:t>年产30万吨铁矿采矿建设项目（重大变动）</w:t>
    </w:r>
    <w:r>
      <w:rPr>
        <w:rFonts w:hint="eastAsia"/>
        <w:b/>
        <w:bCs/>
        <w:spacing w:val="0"/>
        <w:sz w:val="18"/>
        <w:szCs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4D7E77"/>
    <w:multiLevelType w:val="singleLevel"/>
    <w:tmpl w:val="DA4D7E77"/>
    <w:lvl w:ilvl="0" w:tentative="0">
      <w:start w:val="1"/>
      <w:numFmt w:val="decimal"/>
      <w:suff w:val="nothing"/>
      <w:lvlText w:val="（%1）"/>
      <w:lvlJc w:val="left"/>
    </w:lvl>
  </w:abstractNum>
  <w:abstractNum w:abstractNumId="1">
    <w:nsid w:val="0F4C0C17"/>
    <w:multiLevelType w:val="multilevel"/>
    <w:tmpl w:val="0F4C0C17"/>
    <w:lvl w:ilvl="0" w:tentative="0">
      <w:start w:val="1"/>
      <w:numFmt w:val="decimal"/>
      <w:suff w:val="space"/>
      <w:lvlText w:val="%1 "/>
      <w:lvlJc w:val="center"/>
      <w:pPr>
        <w:ind w:left="0" w:firstLine="0"/>
      </w:pPr>
      <w:rPr>
        <w:rFonts w:hint="eastAsia"/>
      </w:rPr>
    </w:lvl>
    <w:lvl w:ilvl="1" w:tentative="0">
      <w:start w:val="1"/>
      <w:numFmt w:val="decimal"/>
      <w:suff w:val="space"/>
      <w:lvlText w:val="%1.%2 "/>
      <w:lvlJc w:val="left"/>
      <w:pPr>
        <w:ind w:left="1277" w:firstLine="0"/>
      </w:pPr>
      <w:rPr>
        <w:rFonts w:hint="eastAsia" w:hAnsi="Times New Roman" w:cs="Times New Roman"/>
        <w:bCs w:val="0"/>
        <w:i w:val="0"/>
        <w:iCs w:val="0"/>
        <w:caps w:val="0"/>
        <w:smallCaps w:val="0"/>
        <w:strike w:val="0"/>
        <w:dstrike w:val="0"/>
        <w:vanish w:val="0"/>
        <w:color w:val="000000"/>
        <w:spacing w:val="0"/>
        <w:position w:val="0"/>
        <w:u w:val="none"/>
        <w:vertAlign w:val="baseline"/>
      </w:rPr>
    </w:lvl>
    <w:lvl w:ilvl="2" w:tentative="0">
      <w:start w:val="1"/>
      <w:numFmt w:val="decimal"/>
      <w:pStyle w:val="1003"/>
      <w:suff w:val="space"/>
      <w:lvlText w:val="%1.%2.%3 "/>
      <w:lvlJc w:val="left"/>
      <w:pPr>
        <w:ind w:left="0" w:firstLine="0"/>
      </w:pPr>
      <w:rPr>
        <w:rFonts w:hint="eastAsia"/>
      </w:rPr>
    </w:lvl>
    <w:lvl w:ilvl="3" w:tentative="0">
      <w:start w:val="1"/>
      <w:numFmt w:val="decimal"/>
      <w:pStyle w:val="1004"/>
      <w:suff w:val="space"/>
      <w:lvlText w:val="%1.%2.%3.%4 "/>
      <w:lvlJc w:val="left"/>
      <w:pPr>
        <w:ind w:left="0" w:firstLine="0"/>
      </w:pPr>
      <w:rPr>
        <w:rFonts w:hint="eastAsia"/>
      </w:rPr>
    </w:lvl>
    <w:lvl w:ilvl="4" w:tentative="0">
      <w:start w:val="1"/>
      <w:numFmt w:val="decimal"/>
      <w:suff w:val="nothing"/>
      <w:lvlText w:val="（%5）"/>
      <w:lvlJc w:val="left"/>
      <w:pPr>
        <w:ind w:left="2269" w:firstLine="0"/>
      </w:pPr>
      <w:rPr>
        <w:rFonts w:hint="eastAsia"/>
        <w:b w:val="0"/>
        <w:color w:val="auto"/>
        <w:lang w:val="en-US"/>
      </w:rPr>
    </w:lvl>
    <w:lvl w:ilvl="5" w:tentative="0">
      <w:start w:val="1"/>
      <w:numFmt w:val="decimal"/>
      <w:lvlRestart w:val="1"/>
      <w:suff w:val="nothing"/>
      <w:lvlText w:val="表%1-%6"/>
      <w:lvlJc w:val="left"/>
      <w:pPr>
        <w:ind w:left="0" w:firstLine="567"/>
      </w:pPr>
      <w:rPr>
        <w:rFonts w:hint="eastAsia" w:ascii="仿宋" w:hAnsi="仿宋" w:eastAsia="仿宋"/>
        <w:color w:val="auto"/>
        <w:sz w:val="28"/>
        <w:szCs w:val="28"/>
        <w:lang w:val="en-US"/>
      </w:rPr>
    </w:lvl>
    <w:lvl w:ilvl="6" w:tentative="0">
      <w:start w:val="1"/>
      <w:numFmt w:val="decimal"/>
      <w:lvlRestart w:val="1"/>
      <w:suff w:val="space"/>
      <w:lvlText w:val="图%1-%7"/>
      <w:lvlJc w:val="center"/>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
    <w:nsid w:val="5D60ABDC"/>
    <w:multiLevelType w:val="singleLevel"/>
    <w:tmpl w:val="5D60ABDC"/>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NDc3MjQwOGU1YzE5YjA2ZTUzYTAwYThkZWE5M2YifQ=="/>
    <w:docVar w:name="KSO_WPS_MARK_KEY" w:val="45e394d1-056e-41be-8ee7-c7dc2090f852"/>
  </w:docVars>
  <w:rsids>
    <w:rsidRoot w:val="00172A27"/>
    <w:rsid w:val="0000020A"/>
    <w:rsid w:val="000008BC"/>
    <w:rsid w:val="00000AF1"/>
    <w:rsid w:val="00001136"/>
    <w:rsid w:val="00001168"/>
    <w:rsid w:val="000013EE"/>
    <w:rsid w:val="00001C1B"/>
    <w:rsid w:val="000026D5"/>
    <w:rsid w:val="000031B9"/>
    <w:rsid w:val="000031C5"/>
    <w:rsid w:val="0000336C"/>
    <w:rsid w:val="00003950"/>
    <w:rsid w:val="00003F2F"/>
    <w:rsid w:val="00004294"/>
    <w:rsid w:val="0000571F"/>
    <w:rsid w:val="00005D83"/>
    <w:rsid w:val="00006517"/>
    <w:rsid w:val="000079D4"/>
    <w:rsid w:val="00007A88"/>
    <w:rsid w:val="00007B8E"/>
    <w:rsid w:val="00007CCE"/>
    <w:rsid w:val="00007DF8"/>
    <w:rsid w:val="000101F9"/>
    <w:rsid w:val="00011BDC"/>
    <w:rsid w:val="00012654"/>
    <w:rsid w:val="00012ACB"/>
    <w:rsid w:val="00013517"/>
    <w:rsid w:val="0001386F"/>
    <w:rsid w:val="00013FE3"/>
    <w:rsid w:val="0001440F"/>
    <w:rsid w:val="000145B7"/>
    <w:rsid w:val="0001524C"/>
    <w:rsid w:val="00015574"/>
    <w:rsid w:val="00015EF9"/>
    <w:rsid w:val="0001604D"/>
    <w:rsid w:val="00016721"/>
    <w:rsid w:val="0001682C"/>
    <w:rsid w:val="0001708C"/>
    <w:rsid w:val="0001762D"/>
    <w:rsid w:val="00020824"/>
    <w:rsid w:val="00021274"/>
    <w:rsid w:val="0002145A"/>
    <w:rsid w:val="0002172A"/>
    <w:rsid w:val="00022F86"/>
    <w:rsid w:val="000235DA"/>
    <w:rsid w:val="0002464D"/>
    <w:rsid w:val="000248E3"/>
    <w:rsid w:val="000249DC"/>
    <w:rsid w:val="00024E7D"/>
    <w:rsid w:val="00025025"/>
    <w:rsid w:val="000257A5"/>
    <w:rsid w:val="000258F2"/>
    <w:rsid w:val="00025A64"/>
    <w:rsid w:val="00026278"/>
    <w:rsid w:val="0002686F"/>
    <w:rsid w:val="00026FD6"/>
    <w:rsid w:val="000276A6"/>
    <w:rsid w:val="000300BA"/>
    <w:rsid w:val="000305AF"/>
    <w:rsid w:val="000305B0"/>
    <w:rsid w:val="00031E2F"/>
    <w:rsid w:val="00031E8A"/>
    <w:rsid w:val="00032C36"/>
    <w:rsid w:val="00033034"/>
    <w:rsid w:val="0003373F"/>
    <w:rsid w:val="0003412E"/>
    <w:rsid w:val="00034151"/>
    <w:rsid w:val="0003455D"/>
    <w:rsid w:val="000346AD"/>
    <w:rsid w:val="00034BB5"/>
    <w:rsid w:val="00035264"/>
    <w:rsid w:val="000354DB"/>
    <w:rsid w:val="000355B9"/>
    <w:rsid w:val="00035644"/>
    <w:rsid w:val="00036007"/>
    <w:rsid w:val="00036095"/>
    <w:rsid w:val="000361CD"/>
    <w:rsid w:val="0003667F"/>
    <w:rsid w:val="00037EDB"/>
    <w:rsid w:val="00040C84"/>
    <w:rsid w:val="000422FC"/>
    <w:rsid w:val="00042F01"/>
    <w:rsid w:val="000430A5"/>
    <w:rsid w:val="00043412"/>
    <w:rsid w:val="000434D7"/>
    <w:rsid w:val="00044024"/>
    <w:rsid w:val="00044282"/>
    <w:rsid w:val="00044411"/>
    <w:rsid w:val="00044749"/>
    <w:rsid w:val="0004568D"/>
    <w:rsid w:val="000457FF"/>
    <w:rsid w:val="00045FD8"/>
    <w:rsid w:val="00046013"/>
    <w:rsid w:val="000460FA"/>
    <w:rsid w:val="000462C3"/>
    <w:rsid w:val="000464B5"/>
    <w:rsid w:val="000464F0"/>
    <w:rsid w:val="00046A16"/>
    <w:rsid w:val="0004765A"/>
    <w:rsid w:val="000476D4"/>
    <w:rsid w:val="0004796D"/>
    <w:rsid w:val="00047AF0"/>
    <w:rsid w:val="0005053A"/>
    <w:rsid w:val="00050943"/>
    <w:rsid w:val="000543D8"/>
    <w:rsid w:val="00054A69"/>
    <w:rsid w:val="000553FB"/>
    <w:rsid w:val="000564EC"/>
    <w:rsid w:val="000567A3"/>
    <w:rsid w:val="000570BD"/>
    <w:rsid w:val="000601BF"/>
    <w:rsid w:val="0006093C"/>
    <w:rsid w:val="00060CB4"/>
    <w:rsid w:val="00060FEA"/>
    <w:rsid w:val="0006128E"/>
    <w:rsid w:val="000613DA"/>
    <w:rsid w:val="0006181D"/>
    <w:rsid w:val="00061917"/>
    <w:rsid w:val="00062D66"/>
    <w:rsid w:val="00062EFC"/>
    <w:rsid w:val="000635B3"/>
    <w:rsid w:val="00063614"/>
    <w:rsid w:val="000636C9"/>
    <w:rsid w:val="00063B19"/>
    <w:rsid w:val="0006440E"/>
    <w:rsid w:val="000646AD"/>
    <w:rsid w:val="000658DC"/>
    <w:rsid w:val="00065D68"/>
    <w:rsid w:val="00066212"/>
    <w:rsid w:val="00067787"/>
    <w:rsid w:val="000703AA"/>
    <w:rsid w:val="00071C88"/>
    <w:rsid w:val="000720F1"/>
    <w:rsid w:val="00072D3E"/>
    <w:rsid w:val="00073997"/>
    <w:rsid w:val="00074A77"/>
    <w:rsid w:val="00074BD5"/>
    <w:rsid w:val="00074F92"/>
    <w:rsid w:val="00074FEF"/>
    <w:rsid w:val="0007524B"/>
    <w:rsid w:val="000754D8"/>
    <w:rsid w:val="00076322"/>
    <w:rsid w:val="00076722"/>
    <w:rsid w:val="00076C0D"/>
    <w:rsid w:val="00076DEC"/>
    <w:rsid w:val="0007797D"/>
    <w:rsid w:val="00077A14"/>
    <w:rsid w:val="00077BEA"/>
    <w:rsid w:val="00077E02"/>
    <w:rsid w:val="0008012E"/>
    <w:rsid w:val="000804FA"/>
    <w:rsid w:val="000814C8"/>
    <w:rsid w:val="00082682"/>
    <w:rsid w:val="00082695"/>
    <w:rsid w:val="00082F0D"/>
    <w:rsid w:val="00082F6B"/>
    <w:rsid w:val="00083628"/>
    <w:rsid w:val="000839E3"/>
    <w:rsid w:val="00084C0C"/>
    <w:rsid w:val="00084DD9"/>
    <w:rsid w:val="0008521A"/>
    <w:rsid w:val="00085312"/>
    <w:rsid w:val="0008566B"/>
    <w:rsid w:val="00086C80"/>
    <w:rsid w:val="0008714E"/>
    <w:rsid w:val="00087A69"/>
    <w:rsid w:val="00087C14"/>
    <w:rsid w:val="00087D47"/>
    <w:rsid w:val="00087E05"/>
    <w:rsid w:val="000911C8"/>
    <w:rsid w:val="00091A7B"/>
    <w:rsid w:val="00091AF3"/>
    <w:rsid w:val="0009213F"/>
    <w:rsid w:val="000947A8"/>
    <w:rsid w:val="00094D53"/>
    <w:rsid w:val="00095968"/>
    <w:rsid w:val="00096D32"/>
    <w:rsid w:val="00097B50"/>
    <w:rsid w:val="000A00C0"/>
    <w:rsid w:val="000A0563"/>
    <w:rsid w:val="000A0D3F"/>
    <w:rsid w:val="000A1290"/>
    <w:rsid w:val="000A12E2"/>
    <w:rsid w:val="000A1718"/>
    <w:rsid w:val="000A1F02"/>
    <w:rsid w:val="000A25D3"/>
    <w:rsid w:val="000A3CFC"/>
    <w:rsid w:val="000A3EFC"/>
    <w:rsid w:val="000A4031"/>
    <w:rsid w:val="000A42A8"/>
    <w:rsid w:val="000A4436"/>
    <w:rsid w:val="000A445E"/>
    <w:rsid w:val="000A4863"/>
    <w:rsid w:val="000A515A"/>
    <w:rsid w:val="000A5473"/>
    <w:rsid w:val="000A5DCA"/>
    <w:rsid w:val="000A6467"/>
    <w:rsid w:val="000A782B"/>
    <w:rsid w:val="000A7D5C"/>
    <w:rsid w:val="000A7EE1"/>
    <w:rsid w:val="000B134A"/>
    <w:rsid w:val="000B176A"/>
    <w:rsid w:val="000B235B"/>
    <w:rsid w:val="000B2D10"/>
    <w:rsid w:val="000B30C4"/>
    <w:rsid w:val="000B33DE"/>
    <w:rsid w:val="000B3E60"/>
    <w:rsid w:val="000B5353"/>
    <w:rsid w:val="000B5490"/>
    <w:rsid w:val="000B70FC"/>
    <w:rsid w:val="000B722C"/>
    <w:rsid w:val="000B7C46"/>
    <w:rsid w:val="000C06B3"/>
    <w:rsid w:val="000C1B8D"/>
    <w:rsid w:val="000C1D46"/>
    <w:rsid w:val="000C1D55"/>
    <w:rsid w:val="000C25DE"/>
    <w:rsid w:val="000C2973"/>
    <w:rsid w:val="000C2C0F"/>
    <w:rsid w:val="000C2F4A"/>
    <w:rsid w:val="000C310A"/>
    <w:rsid w:val="000C314A"/>
    <w:rsid w:val="000C342D"/>
    <w:rsid w:val="000C39CE"/>
    <w:rsid w:val="000C425C"/>
    <w:rsid w:val="000C53FA"/>
    <w:rsid w:val="000C5C39"/>
    <w:rsid w:val="000D09BF"/>
    <w:rsid w:val="000D1785"/>
    <w:rsid w:val="000D318A"/>
    <w:rsid w:val="000D3910"/>
    <w:rsid w:val="000D42F4"/>
    <w:rsid w:val="000D4FFB"/>
    <w:rsid w:val="000D5492"/>
    <w:rsid w:val="000D5EF7"/>
    <w:rsid w:val="000D6579"/>
    <w:rsid w:val="000D728F"/>
    <w:rsid w:val="000D7690"/>
    <w:rsid w:val="000D7B78"/>
    <w:rsid w:val="000D7DF4"/>
    <w:rsid w:val="000E0F74"/>
    <w:rsid w:val="000E19E2"/>
    <w:rsid w:val="000E19F1"/>
    <w:rsid w:val="000E1F34"/>
    <w:rsid w:val="000E1F94"/>
    <w:rsid w:val="000E3A95"/>
    <w:rsid w:val="000E3A99"/>
    <w:rsid w:val="000E3E8E"/>
    <w:rsid w:val="000E43C8"/>
    <w:rsid w:val="000E4632"/>
    <w:rsid w:val="000E5670"/>
    <w:rsid w:val="000E5804"/>
    <w:rsid w:val="000E5E7A"/>
    <w:rsid w:val="000E63C0"/>
    <w:rsid w:val="000E6B18"/>
    <w:rsid w:val="000E6ED3"/>
    <w:rsid w:val="000F0505"/>
    <w:rsid w:val="000F056A"/>
    <w:rsid w:val="000F0C75"/>
    <w:rsid w:val="000F16BA"/>
    <w:rsid w:val="000F1810"/>
    <w:rsid w:val="000F18D3"/>
    <w:rsid w:val="000F3834"/>
    <w:rsid w:val="000F45D5"/>
    <w:rsid w:val="000F466F"/>
    <w:rsid w:val="000F4AD1"/>
    <w:rsid w:val="000F5007"/>
    <w:rsid w:val="000F58A2"/>
    <w:rsid w:val="000F61F6"/>
    <w:rsid w:val="000F6C38"/>
    <w:rsid w:val="000F6F2A"/>
    <w:rsid w:val="000F6FEF"/>
    <w:rsid w:val="000F70F0"/>
    <w:rsid w:val="000F720E"/>
    <w:rsid w:val="000F7DB8"/>
    <w:rsid w:val="00100046"/>
    <w:rsid w:val="001003B8"/>
    <w:rsid w:val="001007D4"/>
    <w:rsid w:val="00101181"/>
    <w:rsid w:val="001013AA"/>
    <w:rsid w:val="00101905"/>
    <w:rsid w:val="00102AF1"/>
    <w:rsid w:val="00104032"/>
    <w:rsid w:val="0010432B"/>
    <w:rsid w:val="00104435"/>
    <w:rsid w:val="00105759"/>
    <w:rsid w:val="00105A7E"/>
    <w:rsid w:val="00105DDA"/>
    <w:rsid w:val="0010693B"/>
    <w:rsid w:val="001069A5"/>
    <w:rsid w:val="001071EA"/>
    <w:rsid w:val="001074BA"/>
    <w:rsid w:val="00107BB8"/>
    <w:rsid w:val="00110163"/>
    <w:rsid w:val="00110855"/>
    <w:rsid w:val="00110CDA"/>
    <w:rsid w:val="00110D1E"/>
    <w:rsid w:val="0011108F"/>
    <w:rsid w:val="00111792"/>
    <w:rsid w:val="0011179C"/>
    <w:rsid w:val="00111BAC"/>
    <w:rsid w:val="001121D7"/>
    <w:rsid w:val="0011319E"/>
    <w:rsid w:val="001135DB"/>
    <w:rsid w:val="0011378E"/>
    <w:rsid w:val="0011379A"/>
    <w:rsid w:val="00114507"/>
    <w:rsid w:val="00114855"/>
    <w:rsid w:val="001159C7"/>
    <w:rsid w:val="0011603F"/>
    <w:rsid w:val="00116057"/>
    <w:rsid w:val="00116285"/>
    <w:rsid w:val="0011725E"/>
    <w:rsid w:val="00117391"/>
    <w:rsid w:val="00117B41"/>
    <w:rsid w:val="001220E1"/>
    <w:rsid w:val="001220E5"/>
    <w:rsid w:val="0012242D"/>
    <w:rsid w:val="00123DAD"/>
    <w:rsid w:val="0012409D"/>
    <w:rsid w:val="001245C4"/>
    <w:rsid w:val="00124685"/>
    <w:rsid w:val="00124D3A"/>
    <w:rsid w:val="001259F6"/>
    <w:rsid w:val="00125EE7"/>
    <w:rsid w:val="001266DC"/>
    <w:rsid w:val="00126847"/>
    <w:rsid w:val="001279D2"/>
    <w:rsid w:val="0013040C"/>
    <w:rsid w:val="00130B91"/>
    <w:rsid w:val="00132093"/>
    <w:rsid w:val="0013290B"/>
    <w:rsid w:val="00133E85"/>
    <w:rsid w:val="00134162"/>
    <w:rsid w:val="001342DE"/>
    <w:rsid w:val="0013440D"/>
    <w:rsid w:val="001346C5"/>
    <w:rsid w:val="001348AB"/>
    <w:rsid w:val="00135866"/>
    <w:rsid w:val="00135FFE"/>
    <w:rsid w:val="00137069"/>
    <w:rsid w:val="00137757"/>
    <w:rsid w:val="001377DE"/>
    <w:rsid w:val="001378E4"/>
    <w:rsid w:val="0014132C"/>
    <w:rsid w:val="00141DA4"/>
    <w:rsid w:val="00141E68"/>
    <w:rsid w:val="001429C5"/>
    <w:rsid w:val="00144ED3"/>
    <w:rsid w:val="00145AFB"/>
    <w:rsid w:val="0014634F"/>
    <w:rsid w:val="00151576"/>
    <w:rsid w:val="00151BF7"/>
    <w:rsid w:val="00151ECA"/>
    <w:rsid w:val="00152708"/>
    <w:rsid w:val="00152969"/>
    <w:rsid w:val="001538E9"/>
    <w:rsid w:val="001539D6"/>
    <w:rsid w:val="001539FC"/>
    <w:rsid w:val="0015401C"/>
    <w:rsid w:val="00154165"/>
    <w:rsid w:val="00154384"/>
    <w:rsid w:val="00155121"/>
    <w:rsid w:val="0015543B"/>
    <w:rsid w:val="00156B1C"/>
    <w:rsid w:val="00157BE4"/>
    <w:rsid w:val="00157D7D"/>
    <w:rsid w:val="00160B74"/>
    <w:rsid w:val="0016124F"/>
    <w:rsid w:val="001615FB"/>
    <w:rsid w:val="00161D44"/>
    <w:rsid w:val="001620F3"/>
    <w:rsid w:val="00163135"/>
    <w:rsid w:val="00163444"/>
    <w:rsid w:val="00164D07"/>
    <w:rsid w:val="00164EFA"/>
    <w:rsid w:val="00164F67"/>
    <w:rsid w:val="0016542B"/>
    <w:rsid w:val="001654EC"/>
    <w:rsid w:val="00165AE9"/>
    <w:rsid w:val="00165E03"/>
    <w:rsid w:val="001664C7"/>
    <w:rsid w:val="0016678E"/>
    <w:rsid w:val="00170369"/>
    <w:rsid w:val="00171D87"/>
    <w:rsid w:val="00171E7A"/>
    <w:rsid w:val="00172012"/>
    <w:rsid w:val="0017259D"/>
    <w:rsid w:val="0017289B"/>
    <w:rsid w:val="00172A27"/>
    <w:rsid w:val="00174B2E"/>
    <w:rsid w:val="00174CBD"/>
    <w:rsid w:val="00175664"/>
    <w:rsid w:val="00177F56"/>
    <w:rsid w:val="001801DA"/>
    <w:rsid w:val="00180F4E"/>
    <w:rsid w:val="00181B18"/>
    <w:rsid w:val="00181D12"/>
    <w:rsid w:val="0018256C"/>
    <w:rsid w:val="001833CE"/>
    <w:rsid w:val="001847C1"/>
    <w:rsid w:val="00184AB7"/>
    <w:rsid w:val="00184F48"/>
    <w:rsid w:val="00185833"/>
    <w:rsid w:val="001860FA"/>
    <w:rsid w:val="00187C35"/>
    <w:rsid w:val="00187E31"/>
    <w:rsid w:val="001908F7"/>
    <w:rsid w:val="001914D6"/>
    <w:rsid w:val="001914F4"/>
    <w:rsid w:val="00191BC0"/>
    <w:rsid w:val="00191CA6"/>
    <w:rsid w:val="00191DB8"/>
    <w:rsid w:val="00192901"/>
    <w:rsid w:val="00192977"/>
    <w:rsid w:val="001932D3"/>
    <w:rsid w:val="001946C2"/>
    <w:rsid w:val="00194954"/>
    <w:rsid w:val="001951F2"/>
    <w:rsid w:val="00195B88"/>
    <w:rsid w:val="00195E46"/>
    <w:rsid w:val="001972AD"/>
    <w:rsid w:val="001972AF"/>
    <w:rsid w:val="00197474"/>
    <w:rsid w:val="001A2040"/>
    <w:rsid w:val="001A2A16"/>
    <w:rsid w:val="001A2F28"/>
    <w:rsid w:val="001A3C72"/>
    <w:rsid w:val="001A42CF"/>
    <w:rsid w:val="001A496A"/>
    <w:rsid w:val="001A4987"/>
    <w:rsid w:val="001A5573"/>
    <w:rsid w:val="001A5946"/>
    <w:rsid w:val="001A5993"/>
    <w:rsid w:val="001A59CF"/>
    <w:rsid w:val="001A5EC6"/>
    <w:rsid w:val="001A6542"/>
    <w:rsid w:val="001A6DD8"/>
    <w:rsid w:val="001A7D0E"/>
    <w:rsid w:val="001B0BA6"/>
    <w:rsid w:val="001B1F28"/>
    <w:rsid w:val="001B222F"/>
    <w:rsid w:val="001B2A7D"/>
    <w:rsid w:val="001B386F"/>
    <w:rsid w:val="001B3B1A"/>
    <w:rsid w:val="001B4222"/>
    <w:rsid w:val="001B442B"/>
    <w:rsid w:val="001B46B1"/>
    <w:rsid w:val="001B4BA5"/>
    <w:rsid w:val="001B4E51"/>
    <w:rsid w:val="001B5381"/>
    <w:rsid w:val="001B539E"/>
    <w:rsid w:val="001B55BD"/>
    <w:rsid w:val="001B5F32"/>
    <w:rsid w:val="001B6173"/>
    <w:rsid w:val="001B6491"/>
    <w:rsid w:val="001B76E2"/>
    <w:rsid w:val="001B790E"/>
    <w:rsid w:val="001B7C0E"/>
    <w:rsid w:val="001C0264"/>
    <w:rsid w:val="001C039B"/>
    <w:rsid w:val="001C0A25"/>
    <w:rsid w:val="001C0AE2"/>
    <w:rsid w:val="001C134D"/>
    <w:rsid w:val="001C25FE"/>
    <w:rsid w:val="001C346F"/>
    <w:rsid w:val="001C3EC3"/>
    <w:rsid w:val="001C40E9"/>
    <w:rsid w:val="001C41F4"/>
    <w:rsid w:val="001C433C"/>
    <w:rsid w:val="001C480B"/>
    <w:rsid w:val="001C5C07"/>
    <w:rsid w:val="001C5D47"/>
    <w:rsid w:val="001C60E4"/>
    <w:rsid w:val="001C651E"/>
    <w:rsid w:val="001C6676"/>
    <w:rsid w:val="001C6840"/>
    <w:rsid w:val="001C684F"/>
    <w:rsid w:val="001C6BB1"/>
    <w:rsid w:val="001C6D6C"/>
    <w:rsid w:val="001C7CA8"/>
    <w:rsid w:val="001D0288"/>
    <w:rsid w:val="001D056C"/>
    <w:rsid w:val="001D132B"/>
    <w:rsid w:val="001D15D4"/>
    <w:rsid w:val="001D1802"/>
    <w:rsid w:val="001D2F16"/>
    <w:rsid w:val="001D3292"/>
    <w:rsid w:val="001D3780"/>
    <w:rsid w:val="001D39E2"/>
    <w:rsid w:val="001D4B21"/>
    <w:rsid w:val="001D4B28"/>
    <w:rsid w:val="001D4F08"/>
    <w:rsid w:val="001D559D"/>
    <w:rsid w:val="001D5F4E"/>
    <w:rsid w:val="001D6548"/>
    <w:rsid w:val="001D6613"/>
    <w:rsid w:val="001D6AE9"/>
    <w:rsid w:val="001D7400"/>
    <w:rsid w:val="001D773C"/>
    <w:rsid w:val="001D7DD6"/>
    <w:rsid w:val="001E046D"/>
    <w:rsid w:val="001E2B20"/>
    <w:rsid w:val="001E5B79"/>
    <w:rsid w:val="001E6041"/>
    <w:rsid w:val="001E615C"/>
    <w:rsid w:val="001E6B94"/>
    <w:rsid w:val="001E7BCC"/>
    <w:rsid w:val="001E7E0E"/>
    <w:rsid w:val="001F0549"/>
    <w:rsid w:val="001F0612"/>
    <w:rsid w:val="001F0D04"/>
    <w:rsid w:val="001F110F"/>
    <w:rsid w:val="001F204A"/>
    <w:rsid w:val="001F2667"/>
    <w:rsid w:val="001F358F"/>
    <w:rsid w:val="001F39D0"/>
    <w:rsid w:val="001F3BA1"/>
    <w:rsid w:val="001F5275"/>
    <w:rsid w:val="001F574B"/>
    <w:rsid w:val="001F59BA"/>
    <w:rsid w:val="001F5F3C"/>
    <w:rsid w:val="0020051B"/>
    <w:rsid w:val="00200991"/>
    <w:rsid w:val="002009E2"/>
    <w:rsid w:val="00201090"/>
    <w:rsid w:val="00201152"/>
    <w:rsid w:val="00201542"/>
    <w:rsid w:val="00202278"/>
    <w:rsid w:val="00202821"/>
    <w:rsid w:val="00203316"/>
    <w:rsid w:val="00205332"/>
    <w:rsid w:val="00205B5F"/>
    <w:rsid w:val="00205D74"/>
    <w:rsid w:val="00206595"/>
    <w:rsid w:val="002065BC"/>
    <w:rsid w:val="00206B5D"/>
    <w:rsid w:val="002070A8"/>
    <w:rsid w:val="002079F2"/>
    <w:rsid w:val="00207B66"/>
    <w:rsid w:val="0021007B"/>
    <w:rsid w:val="002106F7"/>
    <w:rsid w:val="002108D1"/>
    <w:rsid w:val="00211023"/>
    <w:rsid w:val="0021257B"/>
    <w:rsid w:val="00212D6B"/>
    <w:rsid w:val="00212F52"/>
    <w:rsid w:val="002133AC"/>
    <w:rsid w:val="0021348A"/>
    <w:rsid w:val="0021352E"/>
    <w:rsid w:val="0021396F"/>
    <w:rsid w:val="002139C2"/>
    <w:rsid w:val="00213E5B"/>
    <w:rsid w:val="002141EA"/>
    <w:rsid w:val="00214225"/>
    <w:rsid w:val="00214400"/>
    <w:rsid w:val="002144BC"/>
    <w:rsid w:val="0021493E"/>
    <w:rsid w:val="0021533C"/>
    <w:rsid w:val="0021541C"/>
    <w:rsid w:val="00216CF7"/>
    <w:rsid w:val="002173A7"/>
    <w:rsid w:val="00217B41"/>
    <w:rsid w:val="00221119"/>
    <w:rsid w:val="00221CD3"/>
    <w:rsid w:val="00221E31"/>
    <w:rsid w:val="00221E75"/>
    <w:rsid w:val="002228ED"/>
    <w:rsid w:val="00222C10"/>
    <w:rsid w:val="002236A6"/>
    <w:rsid w:val="002238F8"/>
    <w:rsid w:val="002239A1"/>
    <w:rsid w:val="00223A15"/>
    <w:rsid w:val="00224F80"/>
    <w:rsid w:val="00225C80"/>
    <w:rsid w:val="002265E8"/>
    <w:rsid w:val="00226D61"/>
    <w:rsid w:val="00227795"/>
    <w:rsid w:val="00227C40"/>
    <w:rsid w:val="00230072"/>
    <w:rsid w:val="0023079E"/>
    <w:rsid w:val="00231F7F"/>
    <w:rsid w:val="0023256D"/>
    <w:rsid w:val="0023335B"/>
    <w:rsid w:val="00233682"/>
    <w:rsid w:val="00233DC5"/>
    <w:rsid w:val="00234096"/>
    <w:rsid w:val="002344C2"/>
    <w:rsid w:val="00234662"/>
    <w:rsid w:val="00234694"/>
    <w:rsid w:val="00234708"/>
    <w:rsid w:val="00234F5E"/>
    <w:rsid w:val="00235493"/>
    <w:rsid w:val="00235EC1"/>
    <w:rsid w:val="00236032"/>
    <w:rsid w:val="002362E7"/>
    <w:rsid w:val="0023630A"/>
    <w:rsid w:val="0023630B"/>
    <w:rsid w:val="00236324"/>
    <w:rsid w:val="00237A84"/>
    <w:rsid w:val="002408B4"/>
    <w:rsid w:val="00240B75"/>
    <w:rsid w:val="00241279"/>
    <w:rsid w:val="00241BD6"/>
    <w:rsid w:val="00242EAB"/>
    <w:rsid w:val="002430B3"/>
    <w:rsid w:val="002446C5"/>
    <w:rsid w:val="0024535D"/>
    <w:rsid w:val="0024594D"/>
    <w:rsid w:val="00245BA9"/>
    <w:rsid w:val="00246CEA"/>
    <w:rsid w:val="002500AF"/>
    <w:rsid w:val="002503A9"/>
    <w:rsid w:val="0025051E"/>
    <w:rsid w:val="00250DCF"/>
    <w:rsid w:val="00251D2C"/>
    <w:rsid w:val="00251E90"/>
    <w:rsid w:val="00252A21"/>
    <w:rsid w:val="002532CB"/>
    <w:rsid w:val="0025408C"/>
    <w:rsid w:val="002549F1"/>
    <w:rsid w:val="00254AB8"/>
    <w:rsid w:val="00254E0A"/>
    <w:rsid w:val="00255A90"/>
    <w:rsid w:val="00256173"/>
    <w:rsid w:val="00256E4E"/>
    <w:rsid w:val="00257A6A"/>
    <w:rsid w:val="00257D63"/>
    <w:rsid w:val="00261021"/>
    <w:rsid w:val="0026121E"/>
    <w:rsid w:val="00261DAF"/>
    <w:rsid w:val="002627D3"/>
    <w:rsid w:val="0026316A"/>
    <w:rsid w:val="00263A3A"/>
    <w:rsid w:val="00264965"/>
    <w:rsid w:val="00264A53"/>
    <w:rsid w:val="0026654E"/>
    <w:rsid w:val="002668EB"/>
    <w:rsid w:val="00267036"/>
    <w:rsid w:val="00267AD9"/>
    <w:rsid w:val="00267F60"/>
    <w:rsid w:val="00270675"/>
    <w:rsid w:val="002713DE"/>
    <w:rsid w:val="002714DA"/>
    <w:rsid w:val="00271999"/>
    <w:rsid w:val="00273E64"/>
    <w:rsid w:val="0027419D"/>
    <w:rsid w:val="00274695"/>
    <w:rsid w:val="00274F50"/>
    <w:rsid w:val="00275321"/>
    <w:rsid w:val="002754F4"/>
    <w:rsid w:val="002758C2"/>
    <w:rsid w:val="002758E7"/>
    <w:rsid w:val="00275ECA"/>
    <w:rsid w:val="0028008F"/>
    <w:rsid w:val="0028048E"/>
    <w:rsid w:val="00280B9A"/>
    <w:rsid w:val="002813A1"/>
    <w:rsid w:val="002816BC"/>
    <w:rsid w:val="0028231C"/>
    <w:rsid w:val="0028257F"/>
    <w:rsid w:val="002825E4"/>
    <w:rsid w:val="00282B30"/>
    <w:rsid w:val="00282CB0"/>
    <w:rsid w:val="00282EA9"/>
    <w:rsid w:val="002832D6"/>
    <w:rsid w:val="0028371F"/>
    <w:rsid w:val="00283A59"/>
    <w:rsid w:val="00283D91"/>
    <w:rsid w:val="00284BF8"/>
    <w:rsid w:val="00284FAD"/>
    <w:rsid w:val="0028576A"/>
    <w:rsid w:val="00285890"/>
    <w:rsid w:val="00286963"/>
    <w:rsid w:val="00287245"/>
    <w:rsid w:val="002879F1"/>
    <w:rsid w:val="00287C96"/>
    <w:rsid w:val="00290923"/>
    <w:rsid w:val="00290BCD"/>
    <w:rsid w:val="00291777"/>
    <w:rsid w:val="00291B93"/>
    <w:rsid w:val="002922C0"/>
    <w:rsid w:val="00292479"/>
    <w:rsid w:val="00293198"/>
    <w:rsid w:val="002935AB"/>
    <w:rsid w:val="00294B18"/>
    <w:rsid w:val="00295584"/>
    <w:rsid w:val="00295C82"/>
    <w:rsid w:val="00296275"/>
    <w:rsid w:val="002968CF"/>
    <w:rsid w:val="00296B50"/>
    <w:rsid w:val="002978C2"/>
    <w:rsid w:val="00297F74"/>
    <w:rsid w:val="002A066D"/>
    <w:rsid w:val="002A08D8"/>
    <w:rsid w:val="002A1793"/>
    <w:rsid w:val="002A1CE0"/>
    <w:rsid w:val="002A2054"/>
    <w:rsid w:val="002A37E5"/>
    <w:rsid w:val="002A3929"/>
    <w:rsid w:val="002A3E4A"/>
    <w:rsid w:val="002A42D2"/>
    <w:rsid w:val="002A51B2"/>
    <w:rsid w:val="002A6315"/>
    <w:rsid w:val="002A73CD"/>
    <w:rsid w:val="002A7863"/>
    <w:rsid w:val="002A7B09"/>
    <w:rsid w:val="002B04BA"/>
    <w:rsid w:val="002B105C"/>
    <w:rsid w:val="002B12AE"/>
    <w:rsid w:val="002B268A"/>
    <w:rsid w:val="002B2C9E"/>
    <w:rsid w:val="002B437E"/>
    <w:rsid w:val="002B4783"/>
    <w:rsid w:val="002B504E"/>
    <w:rsid w:val="002B5303"/>
    <w:rsid w:val="002B5588"/>
    <w:rsid w:val="002B5CCD"/>
    <w:rsid w:val="002B6F66"/>
    <w:rsid w:val="002B792C"/>
    <w:rsid w:val="002C06B4"/>
    <w:rsid w:val="002C1543"/>
    <w:rsid w:val="002C1564"/>
    <w:rsid w:val="002C1FA7"/>
    <w:rsid w:val="002C279B"/>
    <w:rsid w:val="002C2A69"/>
    <w:rsid w:val="002C300B"/>
    <w:rsid w:val="002C3558"/>
    <w:rsid w:val="002C3F8F"/>
    <w:rsid w:val="002C411B"/>
    <w:rsid w:val="002C468B"/>
    <w:rsid w:val="002C4B60"/>
    <w:rsid w:val="002C5339"/>
    <w:rsid w:val="002C6C04"/>
    <w:rsid w:val="002C6C1C"/>
    <w:rsid w:val="002C6F79"/>
    <w:rsid w:val="002C74C2"/>
    <w:rsid w:val="002C7D31"/>
    <w:rsid w:val="002C7D4F"/>
    <w:rsid w:val="002D1229"/>
    <w:rsid w:val="002D17D7"/>
    <w:rsid w:val="002D18BB"/>
    <w:rsid w:val="002D3086"/>
    <w:rsid w:val="002D4099"/>
    <w:rsid w:val="002D42AE"/>
    <w:rsid w:val="002D4F61"/>
    <w:rsid w:val="002D543A"/>
    <w:rsid w:val="002D5D1D"/>
    <w:rsid w:val="002D5D3B"/>
    <w:rsid w:val="002D6301"/>
    <w:rsid w:val="002D6400"/>
    <w:rsid w:val="002E0384"/>
    <w:rsid w:val="002E0694"/>
    <w:rsid w:val="002E0764"/>
    <w:rsid w:val="002E091C"/>
    <w:rsid w:val="002E0A4C"/>
    <w:rsid w:val="002E1841"/>
    <w:rsid w:val="002E2800"/>
    <w:rsid w:val="002E4CF7"/>
    <w:rsid w:val="002E5A2D"/>
    <w:rsid w:val="002E6053"/>
    <w:rsid w:val="002E694F"/>
    <w:rsid w:val="002E6A4A"/>
    <w:rsid w:val="002E70A1"/>
    <w:rsid w:val="002E760B"/>
    <w:rsid w:val="002E7CD2"/>
    <w:rsid w:val="002F068E"/>
    <w:rsid w:val="002F18BA"/>
    <w:rsid w:val="002F1F60"/>
    <w:rsid w:val="002F22E4"/>
    <w:rsid w:val="002F2AD7"/>
    <w:rsid w:val="002F33A1"/>
    <w:rsid w:val="002F36C6"/>
    <w:rsid w:val="002F3C51"/>
    <w:rsid w:val="002F3ECE"/>
    <w:rsid w:val="002F4778"/>
    <w:rsid w:val="002F4D02"/>
    <w:rsid w:val="002F572A"/>
    <w:rsid w:val="002F57E4"/>
    <w:rsid w:val="002F7AB8"/>
    <w:rsid w:val="002F7BEE"/>
    <w:rsid w:val="002F7E6E"/>
    <w:rsid w:val="003000FA"/>
    <w:rsid w:val="003005A5"/>
    <w:rsid w:val="00300938"/>
    <w:rsid w:val="0030164E"/>
    <w:rsid w:val="00301A86"/>
    <w:rsid w:val="00302409"/>
    <w:rsid w:val="00302F74"/>
    <w:rsid w:val="0030429E"/>
    <w:rsid w:val="0030486A"/>
    <w:rsid w:val="00306275"/>
    <w:rsid w:val="0030694E"/>
    <w:rsid w:val="003069C4"/>
    <w:rsid w:val="003073F5"/>
    <w:rsid w:val="0030741D"/>
    <w:rsid w:val="00307B45"/>
    <w:rsid w:val="003106DE"/>
    <w:rsid w:val="00310990"/>
    <w:rsid w:val="00310BF4"/>
    <w:rsid w:val="00310FE6"/>
    <w:rsid w:val="003118BA"/>
    <w:rsid w:val="003118D9"/>
    <w:rsid w:val="00312CB4"/>
    <w:rsid w:val="0031388D"/>
    <w:rsid w:val="00313A09"/>
    <w:rsid w:val="0031472F"/>
    <w:rsid w:val="0031598C"/>
    <w:rsid w:val="003173D1"/>
    <w:rsid w:val="00317FDF"/>
    <w:rsid w:val="0032197B"/>
    <w:rsid w:val="00322673"/>
    <w:rsid w:val="00323DFA"/>
    <w:rsid w:val="00324113"/>
    <w:rsid w:val="003247CC"/>
    <w:rsid w:val="00324A81"/>
    <w:rsid w:val="00325092"/>
    <w:rsid w:val="003253D1"/>
    <w:rsid w:val="00325B2C"/>
    <w:rsid w:val="0033016F"/>
    <w:rsid w:val="003309B1"/>
    <w:rsid w:val="00331A0C"/>
    <w:rsid w:val="00331C86"/>
    <w:rsid w:val="003322F0"/>
    <w:rsid w:val="00332FAB"/>
    <w:rsid w:val="00334153"/>
    <w:rsid w:val="00334AE5"/>
    <w:rsid w:val="00334CC0"/>
    <w:rsid w:val="00334D01"/>
    <w:rsid w:val="00335649"/>
    <w:rsid w:val="00335960"/>
    <w:rsid w:val="003359FE"/>
    <w:rsid w:val="003367AC"/>
    <w:rsid w:val="00336B07"/>
    <w:rsid w:val="003371A8"/>
    <w:rsid w:val="00337326"/>
    <w:rsid w:val="00337708"/>
    <w:rsid w:val="00337982"/>
    <w:rsid w:val="00340C82"/>
    <w:rsid w:val="00341144"/>
    <w:rsid w:val="00342389"/>
    <w:rsid w:val="0034288D"/>
    <w:rsid w:val="00342BA0"/>
    <w:rsid w:val="00342E3C"/>
    <w:rsid w:val="00343BBF"/>
    <w:rsid w:val="00343E79"/>
    <w:rsid w:val="003446BB"/>
    <w:rsid w:val="00344BA6"/>
    <w:rsid w:val="00345740"/>
    <w:rsid w:val="003464F2"/>
    <w:rsid w:val="0034678D"/>
    <w:rsid w:val="00346D05"/>
    <w:rsid w:val="00346F3F"/>
    <w:rsid w:val="00347628"/>
    <w:rsid w:val="00347962"/>
    <w:rsid w:val="00347B48"/>
    <w:rsid w:val="003519AB"/>
    <w:rsid w:val="00351D02"/>
    <w:rsid w:val="003524C0"/>
    <w:rsid w:val="003527FA"/>
    <w:rsid w:val="00352CD4"/>
    <w:rsid w:val="003533C9"/>
    <w:rsid w:val="00353EF7"/>
    <w:rsid w:val="00354608"/>
    <w:rsid w:val="0035525A"/>
    <w:rsid w:val="0035541A"/>
    <w:rsid w:val="00355EE5"/>
    <w:rsid w:val="00364516"/>
    <w:rsid w:val="00364A26"/>
    <w:rsid w:val="00364CFE"/>
    <w:rsid w:val="00364FBD"/>
    <w:rsid w:val="0036549F"/>
    <w:rsid w:val="003659C8"/>
    <w:rsid w:val="00366411"/>
    <w:rsid w:val="003668F9"/>
    <w:rsid w:val="00366D8C"/>
    <w:rsid w:val="00367FD5"/>
    <w:rsid w:val="003703F7"/>
    <w:rsid w:val="00370B42"/>
    <w:rsid w:val="0037269E"/>
    <w:rsid w:val="003731D7"/>
    <w:rsid w:val="00374069"/>
    <w:rsid w:val="00374591"/>
    <w:rsid w:val="00374DC2"/>
    <w:rsid w:val="00375518"/>
    <w:rsid w:val="0037634D"/>
    <w:rsid w:val="00376A45"/>
    <w:rsid w:val="00376C2C"/>
    <w:rsid w:val="0037703E"/>
    <w:rsid w:val="0037783A"/>
    <w:rsid w:val="00377EA1"/>
    <w:rsid w:val="003800FC"/>
    <w:rsid w:val="00380192"/>
    <w:rsid w:val="00380882"/>
    <w:rsid w:val="00380FE9"/>
    <w:rsid w:val="00381304"/>
    <w:rsid w:val="0038319F"/>
    <w:rsid w:val="00384767"/>
    <w:rsid w:val="0038529D"/>
    <w:rsid w:val="00385507"/>
    <w:rsid w:val="00385AC1"/>
    <w:rsid w:val="0038604B"/>
    <w:rsid w:val="0038613A"/>
    <w:rsid w:val="00386189"/>
    <w:rsid w:val="003863E3"/>
    <w:rsid w:val="00386471"/>
    <w:rsid w:val="003878FC"/>
    <w:rsid w:val="00387CAB"/>
    <w:rsid w:val="003930FE"/>
    <w:rsid w:val="00393278"/>
    <w:rsid w:val="003945B2"/>
    <w:rsid w:val="00394C3A"/>
    <w:rsid w:val="003954AA"/>
    <w:rsid w:val="00395545"/>
    <w:rsid w:val="00395744"/>
    <w:rsid w:val="00395D8F"/>
    <w:rsid w:val="00395E0E"/>
    <w:rsid w:val="00396620"/>
    <w:rsid w:val="00396A8E"/>
    <w:rsid w:val="003A0EB7"/>
    <w:rsid w:val="003A1310"/>
    <w:rsid w:val="003A1338"/>
    <w:rsid w:val="003A1C78"/>
    <w:rsid w:val="003A1DF0"/>
    <w:rsid w:val="003A2C99"/>
    <w:rsid w:val="003A33C0"/>
    <w:rsid w:val="003A3CDD"/>
    <w:rsid w:val="003A43F2"/>
    <w:rsid w:val="003A4402"/>
    <w:rsid w:val="003A5690"/>
    <w:rsid w:val="003A5886"/>
    <w:rsid w:val="003A5975"/>
    <w:rsid w:val="003A6BC5"/>
    <w:rsid w:val="003A74D8"/>
    <w:rsid w:val="003A7C63"/>
    <w:rsid w:val="003B0AD1"/>
    <w:rsid w:val="003B1306"/>
    <w:rsid w:val="003B136D"/>
    <w:rsid w:val="003B14AA"/>
    <w:rsid w:val="003B2FEF"/>
    <w:rsid w:val="003B41C3"/>
    <w:rsid w:val="003B4456"/>
    <w:rsid w:val="003B50D2"/>
    <w:rsid w:val="003B52EC"/>
    <w:rsid w:val="003B5D5E"/>
    <w:rsid w:val="003B5DB0"/>
    <w:rsid w:val="003B5F66"/>
    <w:rsid w:val="003B629C"/>
    <w:rsid w:val="003B6AB2"/>
    <w:rsid w:val="003B6BED"/>
    <w:rsid w:val="003B6C02"/>
    <w:rsid w:val="003B74C6"/>
    <w:rsid w:val="003B77E4"/>
    <w:rsid w:val="003B7CE0"/>
    <w:rsid w:val="003B7D15"/>
    <w:rsid w:val="003B7D82"/>
    <w:rsid w:val="003C00B9"/>
    <w:rsid w:val="003C0EEA"/>
    <w:rsid w:val="003C1199"/>
    <w:rsid w:val="003C1395"/>
    <w:rsid w:val="003C1AE4"/>
    <w:rsid w:val="003C4160"/>
    <w:rsid w:val="003C4632"/>
    <w:rsid w:val="003C68C5"/>
    <w:rsid w:val="003C7826"/>
    <w:rsid w:val="003D03C1"/>
    <w:rsid w:val="003D0535"/>
    <w:rsid w:val="003D0D83"/>
    <w:rsid w:val="003D1571"/>
    <w:rsid w:val="003D1A9D"/>
    <w:rsid w:val="003D1B03"/>
    <w:rsid w:val="003D1B28"/>
    <w:rsid w:val="003D1DFF"/>
    <w:rsid w:val="003D1FE9"/>
    <w:rsid w:val="003D2E0B"/>
    <w:rsid w:val="003D341B"/>
    <w:rsid w:val="003D3992"/>
    <w:rsid w:val="003D4614"/>
    <w:rsid w:val="003D4942"/>
    <w:rsid w:val="003D4D93"/>
    <w:rsid w:val="003D5CBB"/>
    <w:rsid w:val="003D630F"/>
    <w:rsid w:val="003D71CC"/>
    <w:rsid w:val="003D7C97"/>
    <w:rsid w:val="003D7D95"/>
    <w:rsid w:val="003E2974"/>
    <w:rsid w:val="003E33A5"/>
    <w:rsid w:val="003E35CA"/>
    <w:rsid w:val="003E4876"/>
    <w:rsid w:val="003E49C3"/>
    <w:rsid w:val="003E5031"/>
    <w:rsid w:val="003E5CA8"/>
    <w:rsid w:val="003E5E6C"/>
    <w:rsid w:val="003E629B"/>
    <w:rsid w:val="003E6680"/>
    <w:rsid w:val="003E678B"/>
    <w:rsid w:val="003E6F8C"/>
    <w:rsid w:val="003E775E"/>
    <w:rsid w:val="003E7878"/>
    <w:rsid w:val="003E7B34"/>
    <w:rsid w:val="003E7FFB"/>
    <w:rsid w:val="003F0A47"/>
    <w:rsid w:val="003F0A75"/>
    <w:rsid w:val="003F1742"/>
    <w:rsid w:val="003F1EBC"/>
    <w:rsid w:val="003F26B9"/>
    <w:rsid w:val="003F2C67"/>
    <w:rsid w:val="003F2D55"/>
    <w:rsid w:val="003F3EAA"/>
    <w:rsid w:val="003F4007"/>
    <w:rsid w:val="003F4055"/>
    <w:rsid w:val="003F41FE"/>
    <w:rsid w:val="003F43E8"/>
    <w:rsid w:val="003F4492"/>
    <w:rsid w:val="003F44BE"/>
    <w:rsid w:val="003F4A48"/>
    <w:rsid w:val="003F5283"/>
    <w:rsid w:val="003F5641"/>
    <w:rsid w:val="003F58DA"/>
    <w:rsid w:val="003F5EA6"/>
    <w:rsid w:val="003F7270"/>
    <w:rsid w:val="003F72B7"/>
    <w:rsid w:val="003F778E"/>
    <w:rsid w:val="00400008"/>
    <w:rsid w:val="00402A4A"/>
    <w:rsid w:val="00402E79"/>
    <w:rsid w:val="0040384E"/>
    <w:rsid w:val="0040402F"/>
    <w:rsid w:val="00404251"/>
    <w:rsid w:val="00404342"/>
    <w:rsid w:val="00404EBC"/>
    <w:rsid w:val="0040515F"/>
    <w:rsid w:val="0040524B"/>
    <w:rsid w:val="00405C80"/>
    <w:rsid w:val="00406006"/>
    <w:rsid w:val="004064A5"/>
    <w:rsid w:val="00406FAF"/>
    <w:rsid w:val="00407451"/>
    <w:rsid w:val="004075F0"/>
    <w:rsid w:val="00410144"/>
    <w:rsid w:val="00410375"/>
    <w:rsid w:val="00410E3E"/>
    <w:rsid w:val="00411359"/>
    <w:rsid w:val="004128C8"/>
    <w:rsid w:val="00413379"/>
    <w:rsid w:val="004134D8"/>
    <w:rsid w:val="00413B58"/>
    <w:rsid w:val="00413CE4"/>
    <w:rsid w:val="004146BA"/>
    <w:rsid w:val="004149B2"/>
    <w:rsid w:val="00414AE3"/>
    <w:rsid w:val="00414B15"/>
    <w:rsid w:val="004153E5"/>
    <w:rsid w:val="00416031"/>
    <w:rsid w:val="00416401"/>
    <w:rsid w:val="00416588"/>
    <w:rsid w:val="00417211"/>
    <w:rsid w:val="00420088"/>
    <w:rsid w:val="00420CEF"/>
    <w:rsid w:val="004214A2"/>
    <w:rsid w:val="00421734"/>
    <w:rsid w:val="00421E8A"/>
    <w:rsid w:val="00421F73"/>
    <w:rsid w:val="004221F2"/>
    <w:rsid w:val="0042318D"/>
    <w:rsid w:val="004241F2"/>
    <w:rsid w:val="004242AB"/>
    <w:rsid w:val="00424670"/>
    <w:rsid w:val="00424BA7"/>
    <w:rsid w:val="00425397"/>
    <w:rsid w:val="004255E0"/>
    <w:rsid w:val="004265D4"/>
    <w:rsid w:val="004268E6"/>
    <w:rsid w:val="004270ED"/>
    <w:rsid w:val="00427776"/>
    <w:rsid w:val="00427CB4"/>
    <w:rsid w:val="00430298"/>
    <w:rsid w:val="004303B0"/>
    <w:rsid w:val="00430CBC"/>
    <w:rsid w:val="004313DF"/>
    <w:rsid w:val="004319EB"/>
    <w:rsid w:val="004321C6"/>
    <w:rsid w:val="004321F9"/>
    <w:rsid w:val="00432514"/>
    <w:rsid w:val="00432612"/>
    <w:rsid w:val="0043394F"/>
    <w:rsid w:val="00433A1C"/>
    <w:rsid w:val="004340BB"/>
    <w:rsid w:val="004344DE"/>
    <w:rsid w:val="00434958"/>
    <w:rsid w:val="00434CD9"/>
    <w:rsid w:val="00435D3A"/>
    <w:rsid w:val="00435EBB"/>
    <w:rsid w:val="004369D8"/>
    <w:rsid w:val="00436ECF"/>
    <w:rsid w:val="00437471"/>
    <w:rsid w:val="0043752B"/>
    <w:rsid w:val="00437F06"/>
    <w:rsid w:val="00437FBE"/>
    <w:rsid w:val="00440FE9"/>
    <w:rsid w:val="0044121D"/>
    <w:rsid w:val="0044251C"/>
    <w:rsid w:val="004425C0"/>
    <w:rsid w:val="00443606"/>
    <w:rsid w:val="0044421E"/>
    <w:rsid w:val="00445E58"/>
    <w:rsid w:val="0044606B"/>
    <w:rsid w:val="00446913"/>
    <w:rsid w:val="00446B40"/>
    <w:rsid w:val="00446B55"/>
    <w:rsid w:val="00447155"/>
    <w:rsid w:val="0044784E"/>
    <w:rsid w:val="00447BA2"/>
    <w:rsid w:val="00447D70"/>
    <w:rsid w:val="00447F50"/>
    <w:rsid w:val="0045019A"/>
    <w:rsid w:val="00450BEE"/>
    <w:rsid w:val="00452B8A"/>
    <w:rsid w:val="00453A6E"/>
    <w:rsid w:val="00453C05"/>
    <w:rsid w:val="00453FBF"/>
    <w:rsid w:val="004546C7"/>
    <w:rsid w:val="00455681"/>
    <w:rsid w:val="00455B4B"/>
    <w:rsid w:val="00455B87"/>
    <w:rsid w:val="00455E55"/>
    <w:rsid w:val="00456962"/>
    <w:rsid w:val="004577AB"/>
    <w:rsid w:val="00460234"/>
    <w:rsid w:val="0046056B"/>
    <w:rsid w:val="00460CD0"/>
    <w:rsid w:val="00460EA7"/>
    <w:rsid w:val="0046138A"/>
    <w:rsid w:val="004623BB"/>
    <w:rsid w:val="00462918"/>
    <w:rsid w:val="004636D2"/>
    <w:rsid w:val="004653E9"/>
    <w:rsid w:val="004656ED"/>
    <w:rsid w:val="004663A6"/>
    <w:rsid w:val="004667E5"/>
    <w:rsid w:val="004669F3"/>
    <w:rsid w:val="00466F0C"/>
    <w:rsid w:val="004673DE"/>
    <w:rsid w:val="0046751A"/>
    <w:rsid w:val="004675D0"/>
    <w:rsid w:val="004702C0"/>
    <w:rsid w:val="00470403"/>
    <w:rsid w:val="004706FA"/>
    <w:rsid w:val="004707F6"/>
    <w:rsid w:val="00471776"/>
    <w:rsid w:val="00472786"/>
    <w:rsid w:val="00473088"/>
    <w:rsid w:val="00473321"/>
    <w:rsid w:val="0047384B"/>
    <w:rsid w:val="00473896"/>
    <w:rsid w:val="00473E75"/>
    <w:rsid w:val="00474011"/>
    <w:rsid w:val="00474C6B"/>
    <w:rsid w:val="00474E3C"/>
    <w:rsid w:val="00474E7B"/>
    <w:rsid w:val="00474F25"/>
    <w:rsid w:val="00475968"/>
    <w:rsid w:val="00476939"/>
    <w:rsid w:val="00476CF5"/>
    <w:rsid w:val="00477748"/>
    <w:rsid w:val="00480897"/>
    <w:rsid w:val="00480B7C"/>
    <w:rsid w:val="0048114C"/>
    <w:rsid w:val="0048184A"/>
    <w:rsid w:val="00482161"/>
    <w:rsid w:val="00482190"/>
    <w:rsid w:val="0048220C"/>
    <w:rsid w:val="00482349"/>
    <w:rsid w:val="00482493"/>
    <w:rsid w:val="00483904"/>
    <w:rsid w:val="00483969"/>
    <w:rsid w:val="004840EF"/>
    <w:rsid w:val="00484261"/>
    <w:rsid w:val="00484C05"/>
    <w:rsid w:val="004859CE"/>
    <w:rsid w:val="00486337"/>
    <w:rsid w:val="004865E2"/>
    <w:rsid w:val="004866D2"/>
    <w:rsid w:val="00487A93"/>
    <w:rsid w:val="00490364"/>
    <w:rsid w:val="00490F0B"/>
    <w:rsid w:val="0049178C"/>
    <w:rsid w:val="00491A0B"/>
    <w:rsid w:val="00491ED1"/>
    <w:rsid w:val="0049302F"/>
    <w:rsid w:val="0049389A"/>
    <w:rsid w:val="00493C45"/>
    <w:rsid w:val="004946ED"/>
    <w:rsid w:val="0049476C"/>
    <w:rsid w:val="00494C02"/>
    <w:rsid w:val="00494EC5"/>
    <w:rsid w:val="00494FDA"/>
    <w:rsid w:val="004951D6"/>
    <w:rsid w:val="0049703C"/>
    <w:rsid w:val="00497B69"/>
    <w:rsid w:val="00497CCD"/>
    <w:rsid w:val="004A002A"/>
    <w:rsid w:val="004A0ABB"/>
    <w:rsid w:val="004A1099"/>
    <w:rsid w:val="004A10D1"/>
    <w:rsid w:val="004A13B5"/>
    <w:rsid w:val="004A1709"/>
    <w:rsid w:val="004A18A5"/>
    <w:rsid w:val="004A1B52"/>
    <w:rsid w:val="004A221A"/>
    <w:rsid w:val="004A2CCC"/>
    <w:rsid w:val="004A35AA"/>
    <w:rsid w:val="004A43FD"/>
    <w:rsid w:val="004A4F60"/>
    <w:rsid w:val="004A5B98"/>
    <w:rsid w:val="004A6058"/>
    <w:rsid w:val="004A60A2"/>
    <w:rsid w:val="004A6963"/>
    <w:rsid w:val="004B04EE"/>
    <w:rsid w:val="004B106A"/>
    <w:rsid w:val="004B149E"/>
    <w:rsid w:val="004B1B55"/>
    <w:rsid w:val="004B1FB4"/>
    <w:rsid w:val="004B350A"/>
    <w:rsid w:val="004B3BE5"/>
    <w:rsid w:val="004B4558"/>
    <w:rsid w:val="004B5441"/>
    <w:rsid w:val="004B5BC2"/>
    <w:rsid w:val="004B5CCC"/>
    <w:rsid w:val="004B6A39"/>
    <w:rsid w:val="004B6B21"/>
    <w:rsid w:val="004B7121"/>
    <w:rsid w:val="004B71B7"/>
    <w:rsid w:val="004B71C4"/>
    <w:rsid w:val="004B749F"/>
    <w:rsid w:val="004C01C9"/>
    <w:rsid w:val="004C066F"/>
    <w:rsid w:val="004C0DEA"/>
    <w:rsid w:val="004C0EF5"/>
    <w:rsid w:val="004C1288"/>
    <w:rsid w:val="004C17CC"/>
    <w:rsid w:val="004C2042"/>
    <w:rsid w:val="004C2461"/>
    <w:rsid w:val="004C2A23"/>
    <w:rsid w:val="004C2A4D"/>
    <w:rsid w:val="004C2E2E"/>
    <w:rsid w:val="004C328A"/>
    <w:rsid w:val="004C3296"/>
    <w:rsid w:val="004C3319"/>
    <w:rsid w:val="004C3A4A"/>
    <w:rsid w:val="004C3E30"/>
    <w:rsid w:val="004C3FE9"/>
    <w:rsid w:val="004C414E"/>
    <w:rsid w:val="004C439F"/>
    <w:rsid w:val="004C454D"/>
    <w:rsid w:val="004C4FBD"/>
    <w:rsid w:val="004C5111"/>
    <w:rsid w:val="004C57EC"/>
    <w:rsid w:val="004C5B6A"/>
    <w:rsid w:val="004C63EA"/>
    <w:rsid w:val="004C66C4"/>
    <w:rsid w:val="004C68DC"/>
    <w:rsid w:val="004C6979"/>
    <w:rsid w:val="004C7739"/>
    <w:rsid w:val="004C786B"/>
    <w:rsid w:val="004C7C3A"/>
    <w:rsid w:val="004C7EB4"/>
    <w:rsid w:val="004D0C0E"/>
    <w:rsid w:val="004D15DC"/>
    <w:rsid w:val="004D177A"/>
    <w:rsid w:val="004D220C"/>
    <w:rsid w:val="004D33D9"/>
    <w:rsid w:val="004D37FC"/>
    <w:rsid w:val="004D3B7B"/>
    <w:rsid w:val="004D3D20"/>
    <w:rsid w:val="004D45E4"/>
    <w:rsid w:val="004D47A7"/>
    <w:rsid w:val="004D47C0"/>
    <w:rsid w:val="004D5491"/>
    <w:rsid w:val="004D57A3"/>
    <w:rsid w:val="004D5D72"/>
    <w:rsid w:val="004D6405"/>
    <w:rsid w:val="004D68A3"/>
    <w:rsid w:val="004E0325"/>
    <w:rsid w:val="004E0BDA"/>
    <w:rsid w:val="004E1EA5"/>
    <w:rsid w:val="004E1F2E"/>
    <w:rsid w:val="004E214C"/>
    <w:rsid w:val="004E2543"/>
    <w:rsid w:val="004E2CC5"/>
    <w:rsid w:val="004E2ED2"/>
    <w:rsid w:val="004E4121"/>
    <w:rsid w:val="004E446B"/>
    <w:rsid w:val="004E48DB"/>
    <w:rsid w:val="004E58EB"/>
    <w:rsid w:val="004E6121"/>
    <w:rsid w:val="004E6D70"/>
    <w:rsid w:val="004E7154"/>
    <w:rsid w:val="004E72CC"/>
    <w:rsid w:val="004E754B"/>
    <w:rsid w:val="004E776D"/>
    <w:rsid w:val="004F02A1"/>
    <w:rsid w:val="004F050D"/>
    <w:rsid w:val="004F07DC"/>
    <w:rsid w:val="004F0D4E"/>
    <w:rsid w:val="004F0EA5"/>
    <w:rsid w:val="004F1921"/>
    <w:rsid w:val="004F25E5"/>
    <w:rsid w:val="004F2E75"/>
    <w:rsid w:val="004F2F44"/>
    <w:rsid w:val="004F35B5"/>
    <w:rsid w:val="004F6BCA"/>
    <w:rsid w:val="004F71B8"/>
    <w:rsid w:val="005001D6"/>
    <w:rsid w:val="00500822"/>
    <w:rsid w:val="0050120F"/>
    <w:rsid w:val="00501BF6"/>
    <w:rsid w:val="00501CF3"/>
    <w:rsid w:val="0050249E"/>
    <w:rsid w:val="00503208"/>
    <w:rsid w:val="00504BF8"/>
    <w:rsid w:val="00504C1E"/>
    <w:rsid w:val="0050557D"/>
    <w:rsid w:val="005059B4"/>
    <w:rsid w:val="00505AF3"/>
    <w:rsid w:val="00505FE5"/>
    <w:rsid w:val="0050689C"/>
    <w:rsid w:val="00506999"/>
    <w:rsid w:val="005070E4"/>
    <w:rsid w:val="0050767F"/>
    <w:rsid w:val="00507A12"/>
    <w:rsid w:val="0051151A"/>
    <w:rsid w:val="00512060"/>
    <w:rsid w:val="00512501"/>
    <w:rsid w:val="005126A7"/>
    <w:rsid w:val="00513098"/>
    <w:rsid w:val="005147DE"/>
    <w:rsid w:val="00514C8E"/>
    <w:rsid w:val="00515748"/>
    <w:rsid w:val="0051652F"/>
    <w:rsid w:val="00516CA6"/>
    <w:rsid w:val="00516CAB"/>
    <w:rsid w:val="00517E9C"/>
    <w:rsid w:val="0052033F"/>
    <w:rsid w:val="00520C59"/>
    <w:rsid w:val="00522202"/>
    <w:rsid w:val="0052273C"/>
    <w:rsid w:val="00524A5A"/>
    <w:rsid w:val="00525487"/>
    <w:rsid w:val="0052570B"/>
    <w:rsid w:val="005257C0"/>
    <w:rsid w:val="00525F90"/>
    <w:rsid w:val="00526002"/>
    <w:rsid w:val="00526516"/>
    <w:rsid w:val="00526748"/>
    <w:rsid w:val="0052698C"/>
    <w:rsid w:val="00527C28"/>
    <w:rsid w:val="00527E00"/>
    <w:rsid w:val="00530023"/>
    <w:rsid w:val="00530CD2"/>
    <w:rsid w:val="00532447"/>
    <w:rsid w:val="00532647"/>
    <w:rsid w:val="005333CF"/>
    <w:rsid w:val="0053490D"/>
    <w:rsid w:val="00534CF4"/>
    <w:rsid w:val="0053535B"/>
    <w:rsid w:val="00536471"/>
    <w:rsid w:val="005376B4"/>
    <w:rsid w:val="00537E11"/>
    <w:rsid w:val="00540052"/>
    <w:rsid w:val="00541828"/>
    <w:rsid w:val="00541CEE"/>
    <w:rsid w:val="00542B37"/>
    <w:rsid w:val="00543921"/>
    <w:rsid w:val="00544CD7"/>
    <w:rsid w:val="005450BC"/>
    <w:rsid w:val="0054513B"/>
    <w:rsid w:val="00545879"/>
    <w:rsid w:val="005468E0"/>
    <w:rsid w:val="005472C3"/>
    <w:rsid w:val="005472C4"/>
    <w:rsid w:val="00547802"/>
    <w:rsid w:val="0054797E"/>
    <w:rsid w:val="00550803"/>
    <w:rsid w:val="0055166E"/>
    <w:rsid w:val="00552019"/>
    <w:rsid w:val="005522D1"/>
    <w:rsid w:val="00552A93"/>
    <w:rsid w:val="00552AED"/>
    <w:rsid w:val="00552DCB"/>
    <w:rsid w:val="005536A0"/>
    <w:rsid w:val="00554069"/>
    <w:rsid w:val="00554B45"/>
    <w:rsid w:val="00555F02"/>
    <w:rsid w:val="00556DBC"/>
    <w:rsid w:val="00556FF7"/>
    <w:rsid w:val="00561EFA"/>
    <w:rsid w:val="00562A5B"/>
    <w:rsid w:val="00562DA1"/>
    <w:rsid w:val="0056391C"/>
    <w:rsid w:val="00563BB7"/>
    <w:rsid w:val="0056419B"/>
    <w:rsid w:val="00564213"/>
    <w:rsid w:val="00565761"/>
    <w:rsid w:val="00565AA8"/>
    <w:rsid w:val="00567503"/>
    <w:rsid w:val="00567919"/>
    <w:rsid w:val="00567E35"/>
    <w:rsid w:val="00570DFD"/>
    <w:rsid w:val="005713A6"/>
    <w:rsid w:val="00571CBC"/>
    <w:rsid w:val="00571D34"/>
    <w:rsid w:val="00571ECC"/>
    <w:rsid w:val="005726DE"/>
    <w:rsid w:val="00572DB2"/>
    <w:rsid w:val="00573927"/>
    <w:rsid w:val="00573DC2"/>
    <w:rsid w:val="00573F57"/>
    <w:rsid w:val="00574092"/>
    <w:rsid w:val="00574744"/>
    <w:rsid w:val="00574DB6"/>
    <w:rsid w:val="00574E11"/>
    <w:rsid w:val="005758F9"/>
    <w:rsid w:val="005759B6"/>
    <w:rsid w:val="0057666F"/>
    <w:rsid w:val="00577CD6"/>
    <w:rsid w:val="00580382"/>
    <w:rsid w:val="00580494"/>
    <w:rsid w:val="00580835"/>
    <w:rsid w:val="00580D0A"/>
    <w:rsid w:val="00584169"/>
    <w:rsid w:val="005842D4"/>
    <w:rsid w:val="0058525F"/>
    <w:rsid w:val="0058555C"/>
    <w:rsid w:val="00585D5F"/>
    <w:rsid w:val="00587DDF"/>
    <w:rsid w:val="005901AC"/>
    <w:rsid w:val="00591EA8"/>
    <w:rsid w:val="00592BEE"/>
    <w:rsid w:val="00592D41"/>
    <w:rsid w:val="0059392D"/>
    <w:rsid w:val="00593C2E"/>
    <w:rsid w:val="00593C5B"/>
    <w:rsid w:val="00593DA5"/>
    <w:rsid w:val="00596CA0"/>
    <w:rsid w:val="00597718"/>
    <w:rsid w:val="00597CDB"/>
    <w:rsid w:val="005A1EA3"/>
    <w:rsid w:val="005A240C"/>
    <w:rsid w:val="005A3122"/>
    <w:rsid w:val="005A3489"/>
    <w:rsid w:val="005A3F6E"/>
    <w:rsid w:val="005A3FC3"/>
    <w:rsid w:val="005A4728"/>
    <w:rsid w:val="005A6052"/>
    <w:rsid w:val="005A6D0E"/>
    <w:rsid w:val="005A78B0"/>
    <w:rsid w:val="005B025C"/>
    <w:rsid w:val="005B0565"/>
    <w:rsid w:val="005B0CF3"/>
    <w:rsid w:val="005B0E62"/>
    <w:rsid w:val="005B13E2"/>
    <w:rsid w:val="005B21B2"/>
    <w:rsid w:val="005B27E3"/>
    <w:rsid w:val="005B2C41"/>
    <w:rsid w:val="005B2E5A"/>
    <w:rsid w:val="005B3112"/>
    <w:rsid w:val="005B4CEC"/>
    <w:rsid w:val="005B50D4"/>
    <w:rsid w:val="005B51F8"/>
    <w:rsid w:val="005B59F7"/>
    <w:rsid w:val="005B5E77"/>
    <w:rsid w:val="005B6339"/>
    <w:rsid w:val="005B6623"/>
    <w:rsid w:val="005B6650"/>
    <w:rsid w:val="005B6D3A"/>
    <w:rsid w:val="005B73E8"/>
    <w:rsid w:val="005B7B26"/>
    <w:rsid w:val="005B7D7A"/>
    <w:rsid w:val="005B7F4A"/>
    <w:rsid w:val="005C08B2"/>
    <w:rsid w:val="005C0EB0"/>
    <w:rsid w:val="005C157E"/>
    <w:rsid w:val="005C1945"/>
    <w:rsid w:val="005C2C4F"/>
    <w:rsid w:val="005C3529"/>
    <w:rsid w:val="005C399F"/>
    <w:rsid w:val="005C3CBA"/>
    <w:rsid w:val="005C3E1C"/>
    <w:rsid w:val="005C3F5E"/>
    <w:rsid w:val="005C447D"/>
    <w:rsid w:val="005C495B"/>
    <w:rsid w:val="005C4EA4"/>
    <w:rsid w:val="005C51FF"/>
    <w:rsid w:val="005C5529"/>
    <w:rsid w:val="005C5BE4"/>
    <w:rsid w:val="005C640C"/>
    <w:rsid w:val="005C67D9"/>
    <w:rsid w:val="005C7304"/>
    <w:rsid w:val="005C7D9C"/>
    <w:rsid w:val="005D0E79"/>
    <w:rsid w:val="005D2273"/>
    <w:rsid w:val="005D23D2"/>
    <w:rsid w:val="005D24D9"/>
    <w:rsid w:val="005D2FA4"/>
    <w:rsid w:val="005D39E4"/>
    <w:rsid w:val="005D3ED4"/>
    <w:rsid w:val="005D49A0"/>
    <w:rsid w:val="005D49A2"/>
    <w:rsid w:val="005D5197"/>
    <w:rsid w:val="005D5969"/>
    <w:rsid w:val="005D654F"/>
    <w:rsid w:val="005E0053"/>
    <w:rsid w:val="005E026F"/>
    <w:rsid w:val="005E0828"/>
    <w:rsid w:val="005E0B10"/>
    <w:rsid w:val="005E112F"/>
    <w:rsid w:val="005E1939"/>
    <w:rsid w:val="005E1D79"/>
    <w:rsid w:val="005E2178"/>
    <w:rsid w:val="005E2418"/>
    <w:rsid w:val="005E3186"/>
    <w:rsid w:val="005E34E6"/>
    <w:rsid w:val="005E3668"/>
    <w:rsid w:val="005E3798"/>
    <w:rsid w:val="005E4E10"/>
    <w:rsid w:val="005E5621"/>
    <w:rsid w:val="005E5799"/>
    <w:rsid w:val="005E58BF"/>
    <w:rsid w:val="005E59BB"/>
    <w:rsid w:val="005E6381"/>
    <w:rsid w:val="005E7610"/>
    <w:rsid w:val="005F0066"/>
    <w:rsid w:val="005F031E"/>
    <w:rsid w:val="005F0880"/>
    <w:rsid w:val="005F0C0E"/>
    <w:rsid w:val="005F1530"/>
    <w:rsid w:val="005F16BD"/>
    <w:rsid w:val="005F1956"/>
    <w:rsid w:val="005F3251"/>
    <w:rsid w:val="005F3EDE"/>
    <w:rsid w:val="005F4516"/>
    <w:rsid w:val="005F570A"/>
    <w:rsid w:val="005F611E"/>
    <w:rsid w:val="005F714D"/>
    <w:rsid w:val="005F729E"/>
    <w:rsid w:val="006005E8"/>
    <w:rsid w:val="00600B34"/>
    <w:rsid w:val="0060195F"/>
    <w:rsid w:val="00601DAC"/>
    <w:rsid w:val="00601FE5"/>
    <w:rsid w:val="00602011"/>
    <w:rsid w:val="006023E2"/>
    <w:rsid w:val="0060278E"/>
    <w:rsid w:val="00602AEB"/>
    <w:rsid w:val="00603E53"/>
    <w:rsid w:val="006044E0"/>
    <w:rsid w:val="0060457F"/>
    <w:rsid w:val="006053FA"/>
    <w:rsid w:val="006054C1"/>
    <w:rsid w:val="00605594"/>
    <w:rsid w:val="00606080"/>
    <w:rsid w:val="006060BD"/>
    <w:rsid w:val="00607752"/>
    <w:rsid w:val="00607B2E"/>
    <w:rsid w:val="00607C12"/>
    <w:rsid w:val="00607E4C"/>
    <w:rsid w:val="006106A4"/>
    <w:rsid w:val="00610E01"/>
    <w:rsid w:val="0061168D"/>
    <w:rsid w:val="006126B1"/>
    <w:rsid w:val="0061295E"/>
    <w:rsid w:val="00613338"/>
    <w:rsid w:val="006136DB"/>
    <w:rsid w:val="00613FB4"/>
    <w:rsid w:val="006145FC"/>
    <w:rsid w:val="00614752"/>
    <w:rsid w:val="00614D87"/>
    <w:rsid w:val="006156FF"/>
    <w:rsid w:val="006161C8"/>
    <w:rsid w:val="00616951"/>
    <w:rsid w:val="00616AB1"/>
    <w:rsid w:val="0061733E"/>
    <w:rsid w:val="00617F0D"/>
    <w:rsid w:val="00617F4C"/>
    <w:rsid w:val="00617F57"/>
    <w:rsid w:val="00620DF3"/>
    <w:rsid w:val="00620E6F"/>
    <w:rsid w:val="00621067"/>
    <w:rsid w:val="006219F0"/>
    <w:rsid w:val="0062229A"/>
    <w:rsid w:val="00622F64"/>
    <w:rsid w:val="00623D99"/>
    <w:rsid w:val="00624227"/>
    <w:rsid w:val="0062434F"/>
    <w:rsid w:val="0062575E"/>
    <w:rsid w:val="00626050"/>
    <w:rsid w:val="00627738"/>
    <w:rsid w:val="006300B7"/>
    <w:rsid w:val="006302BC"/>
    <w:rsid w:val="00630ED3"/>
    <w:rsid w:val="00631151"/>
    <w:rsid w:val="00631375"/>
    <w:rsid w:val="006316AA"/>
    <w:rsid w:val="00632104"/>
    <w:rsid w:val="006325F2"/>
    <w:rsid w:val="006328F7"/>
    <w:rsid w:val="00632F2E"/>
    <w:rsid w:val="00633034"/>
    <w:rsid w:val="0063320A"/>
    <w:rsid w:val="00633862"/>
    <w:rsid w:val="00633B57"/>
    <w:rsid w:val="00634028"/>
    <w:rsid w:val="0063489B"/>
    <w:rsid w:val="006348CF"/>
    <w:rsid w:val="00635435"/>
    <w:rsid w:val="006360DB"/>
    <w:rsid w:val="00636CAC"/>
    <w:rsid w:val="00640261"/>
    <w:rsid w:val="00640C1A"/>
    <w:rsid w:val="00640DD0"/>
    <w:rsid w:val="00641751"/>
    <w:rsid w:val="00641AD7"/>
    <w:rsid w:val="00641C89"/>
    <w:rsid w:val="006420D0"/>
    <w:rsid w:val="0064217B"/>
    <w:rsid w:val="00642A52"/>
    <w:rsid w:val="00642C6B"/>
    <w:rsid w:val="00642D0A"/>
    <w:rsid w:val="00643420"/>
    <w:rsid w:val="00643C50"/>
    <w:rsid w:val="00644833"/>
    <w:rsid w:val="00644C89"/>
    <w:rsid w:val="00644CD7"/>
    <w:rsid w:val="00645012"/>
    <w:rsid w:val="00646C98"/>
    <w:rsid w:val="006472FC"/>
    <w:rsid w:val="00647B99"/>
    <w:rsid w:val="00647D95"/>
    <w:rsid w:val="00647EAD"/>
    <w:rsid w:val="00650541"/>
    <w:rsid w:val="006513AC"/>
    <w:rsid w:val="00651ECC"/>
    <w:rsid w:val="0065242C"/>
    <w:rsid w:val="00653201"/>
    <w:rsid w:val="0065349E"/>
    <w:rsid w:val="00653C5A"/>
    <w:rsid w:val="00654188"/>
    <w:rsid w:val="00654922"/>
    <w:rsid w:val="00655AB7"/>
    <w:rsid w:val="00656702"/>
    <w:rsid w:val="00657044"/>
    <w:rsid w:val="00657463"/>
    <w:rsid w:val="006575B7"/>
    <w:rsid w:val="0066055F"/>
    <w:rsid w:val="006608B7"/>
    <w:rsid w:val="00661216"/>
    <w:rsid w:val="00661325"/>
    <w:rsid w:val="0066195A"/>
    <w:rsid w:val="00661E8D"/>
    <w:rsid w:val="00662526"/>
    <w:rsid w:val="00663570"/>
    <w:rsid w:val="006637C0"/>
    <w:rsid w:val="00663ECD"/>
    <w:rsid w:val="006648E2"/>
    <w:rsid w:val="006653AB"/>
    <w:rsid w:val="0066566C"/>
    <w:rsid w:val="006657F9"/>
    <w:rsid w:val="00665B5B"/>
    <w:rsid w:val="00665B69"/>
    <w:rsid w:val="00665D7D"/>
    <w:rsid w:val="0066606E"/>
    <w:rsid w:val="0066621F"/>
    <w:rsid w:val="00666AA9"/>
    <w:rsid w:val="00667446"/>
    <w:rsid w:val="006674BF"/>
    <w:rsid w:val="00667AB4"/>
    <w:rsid w:val="00667C8C"/>
    <w:rsid w:val="00670ABF"/>
    <w:rsid w:val="0067227A"/>
    <w:rsid w:val="00672BFF"/>
    <w:rsid w:val="00672DE6"/>
    <w:rsid w:val="006735E0"/>
    <w:rsid w:val="00673AAF"/>
    <w:rsid w:val="00673D5A"/>
    <w:rsid w:val="006744C8"/>
    <w:rsid w:val="00674BE6"/>
    <w:rsid w:val="00675FF0"/>
    <w:rsid w:val="00676031"/>
    <w:rsid w:val="006764C1"/>
    <w:rsid w:val="006775E8"/>
    <w:rsid w:val="00677DCD"/>
    <w:rsid w:val="006802A6"/>
    <w:rsid w:val="00681949"/>
    <w:rsid w:val="00681DC4"/>
    <w:rsid w:val="00681FBF"/>
    <w:rsid w:val="00683B9E"/>
    <w:rsid w:val="00683C66"/>
    <w:rsid w:val="006840A0"/>
    <w:rsid w:val="006843A6"/>
    <w:rsid w:val="00684534"/>
    <w:rsid w:val="0068474A"/>
    <w:rsid w:val="00686E9E"/>
    <w:rsid w:val="006870C7"/>
    <w:rsid w:val="00687605"/>
    <w:rsid w:val="00687813"/>
    <w:rsid w:val="00687D39"/>
    <w:rsid w:val="00687DD5"/>
    <w:rsid w:val="006918D2"/>
    <w:rsid w:val="00691BD0"/>
    <w:rsid w:val="006925FB"/>
    <w:rsid w:val="00694781"/>
    <w:rsid w:val="00694B6C"/>
    <w:rsid w:val="00694C05"/>
    <w:rsid w:val="006953E6"/>
    <w:rsid w:val="00695D34"/>
    <w:rsid w:val="00696C9B"/>
    <w:rsid w:val="00697086"/>
    <w:rsid w:val="00697159"/>
    <w:rsid w:val="00697445"/>
    <w:rsid w:val="006974CE"/>
    <w:rsid w:val="006A0705"/>
    <w:rsid w:val="006A0B66"/>
    <w:rsid w:val="006A10C8"/>
    <w:rsid w:val="006A112C"/>
    <w:rsid w:val="006A1D47"/>
    <w:rsid w:val="006A1F44"/>
    <w:rsid w:val="006A22FC"/>
    <w:rsid w:val="006A26F5"/>
    <w:rsid w:val="006A277E"/>
    <w:rsid w:val="006A3208"/>
    <w:rsid w:val="006A40D9"/>
    <w:rsid w:val="006A5C29"/>
    <w:rsid w:val="006A5F28"/>
    <w:rsid w:val="006A6B2A"/>
    <w:rsid w:val="006A6E93"/>
    <w:rsid w:val="006A7459"/>
    <w:rsid w:val="006A7C0C"/>
    <w:rsid w:val="006A7FF9"/>
    <w:rsid w:val="006B0697"/>
    <w:rsid w:val="006B0980"/>
    <w:rsid w:val="006B1F13"/>
    <w:rsid w:val="006B3559"/>
    <w:rsid w:val="006B3834"/>
    <w:rsid w:val="006B4844"/>
    <w:rsid w:val="006B4F1B"/>
    <w:rsid w:val="006B660A"/>
    <w:rsid w:val="006B6A35"/>
    <w:rsid w:val="006B732B"/>
    <w:rsid w:val="006B757E"/>
    <w:rsid w:val="006B7D97"/>
    <w:rsid w:val="006C0599"/>
    <w:rsid w:val="006C0D91"/>
    <w:rsid w:val="006C1DF0"/>
    <w:rsid w:val="006C2646"/>
    <w:rsid w:val="006C2E00"/>
    <w:rsid w:val="006C30D9"/>
    <w:rsid w:val="006C358F"/>
    <w:rsid w:val="006C4901"/>
    <w:rsid w:val="006C532D"/>
    <w:rsid w:val="006C58A4"/>
    <w:rsid w:val="006C619D"/>
    <w:rsid w:val="006C62DC"/>
    <w:rsid w:val="006C63AF"/>
    <w:rsid w:val="006C75F4"/>
    <w:rsid w:val="006D004C"/>
    <w:rsid w:val="006D0526"/>
    <w:rsid w:val="006D0622"/>
    <w:rsid w:val="006D279A"/>
    <w:rsid w:val="006D28FE"/>
    <w:rsid w:val="006D3446"/>
    <w:rsid w:val="006D35BE"/>
    <w:rsid w:val="006D3FE7"/>
    <w:rsid w:val="006D4962"/>
    <w:rsid w:val="006D4A6E"/>
    <w:rsid w:val="006D6331"/>
    <w:rsid w:val="006D66B5"/>
    <w:rsid w:val="006D6E28"/>
    <w:rsid w:val="006D7021"/>
    <w:rsid w:val="006D73BA"/>
    <w:rsid w:val="006D7B63"/>
    <w:rsid w:val="006D7F44"/>
    <w:rsid w:val="006E078C"/>
    <w:rsid w:val="006E0BD9"/>
    <w:rsid w:val="006E0C77"/>
    <w:rsid w:val="006E145D"/>
    <w:rsid w:val="006E16D8"/>
    <w:rsid w:val="006E2F1E"/>
    <w:rsid w:val="006E34F4"/>
    <w:rsid w:val="006E36B8"/>
    <w:rsid w:val="006E4175"/>
    <w:rsid w:val="006E41AF"/>
    <w:rsid w:val="006E435C"/>
    <w:rsid w:val="006E4E97"/>
    <w:rsid w:val="006E58C8"/>
    <w:rsid w:val="006E5A67"/>
    <w:rsid w:val="006E5DBE"/>
    <w:rsid w:val="006E65A3"/>
    <w:rsid w:val="006E6A97"/>
    <w:rsid w:val="006E724D"/>
    <w:rsid w:val="006E728E"/>
    <w:rsid w:val="006E765A"/>
    <w:rsid w:val="006E78CD"/>
    <w:rsid w:val="006E7AA6"/>
    <w:rsid w:val="006F0700"/>
    <w:rsid w:val="006F0824"/>
    <w:rsid w:val="006F0EB0"/>
    <w:rsid w:val="006F122A"/>
    <w:rsid w:val="006F12DF"/>
    <w:rsid w:val="006F1505"/>
    <w:rsid w:val="006F2270"/>
    <w:rsid w:val="006F26E7"/>
    <w:rsid w:val="006F2C07"/>
    <w:rsid w:val="006F3571"/>
    <w:rsid w:val="006F3D62"/>
    <w:rsid w:val="006F46FC"/>
    <w:rsid w:val="006F470E"/>
    <w:rsid w:val="006F53E2"/>
    <w:rsid w:val="006F66BB"/>
    <w:rsid w:val="006F6A6C"/>
    <w:rsid w:val="006F7217"/>
    <w:rsid w:val="006F7330"/>
    <w:rsid w:val="006F74E3"/>
    <w:rsid w:val="006F7723"/>
    <w:rsid w:val="00700DA7"/>
    <w:rsid w:val="00701A8B"/>
    <w:rsid w:val="00701A9C"/>
    <w:rsid w:val="0070304F"/>
    <w:rsid w:val="007033FA"/>
    <w:rsid w:val="007034A8"/>
    <w:rsid w:val="007062C2"/>
    <w:rsid w:val="00706EE0"/>
    <w:rsid w:val="007070A7"/>
    <w:rsid w:val="00710C9A"/>
    <w:rsid w:val="00710E10"/>
    <w:rsid w:val="00710EC8"/>
    <w:rsid w:val="00711DCB"/>
    <w:rsid w:val="0071237A"/>
    <w:rsid w:val="00712644"/>
    <w:rsid w:val="007126EA"/>
    <w:rsid w:val="0071309C"/>
    <w:rsid w:val="00713129"/>
    <w:rsid w:val="007146CA"/>
    <w:rsid w:val="007152E9"/>
    <w:rsid w:val="007153AB"/>
    <w:rsid w:val="00715A46"/>
    <w:rsid w:val="00715FF6"/>
    <w:rsid w:val="007160F5"/>
    <w:rsid w:val="00716DF8"/>
    <w:rsid w:val="00717624"/>
    <w:rsid w:val="00717AED"/>
    <w:rsid w:val="0072042C"/>
    <w:rsid w:val="00720BD8"/>
    <w:rsid w:val="00721097"/>
    <w:rsid w:val="0072167A"/>
    <w:rsid w:val="007216FE"/>
    <w:rsid w:val="00722532"/>
    <w:rsid w:val="00722886"/>
    <w:rsid w:val="00724316"/>
    <w:rsid w:val="00725165"/>
    <w:rsid w:val="0072550B"/>
    <w:rsid w:val="0072560C"/>
    <w:rsid w:val="007257AC"/>
    <w:rsid w:val="00725917"/>
    <w:rsid w:val="00725BB3"/>
    <w:rsid w:val="00725D51"/>
    <w:rsid w:val="0072615F"/>
    <w:rsid w:val="00726716"/>
    <w:rsid w:val="00726785"/>
    <w:rsid w:val="00726829"/>
    <w:rsid w:val="00730885"/>
    <w:rsid w:val="007309A3"/>
    <w:rsid w:val="00730AB5"/>
    <w:rsid w:val="00730BA6"/>
    <w:rsid w:val="00731BC7"/>
    <w:rsid w:val="00731DE6"/>
    <w:rsid w:val="00731FC4"/>
    <w:rsid w:val="00733BAA"/>
    <w:rsid w:val="007340D4"/>
    <w:rsid w:val="007343F9"/>
    <w:rsid w:val="00736FA8"/>
    <w:rsid w:val="00737272"/>
    <w:rsid w:val="007375CB"/>
    <w:rsid w:val="0074008B"/>
    <w:rsid w:val="0074050A"/>
    <w:rsid w:val="0074084A"/>
    <w:rsid w:val="0074371C"/>
    <w:rsid w:val="00743A10"/>
    <w:rsid w:val="007445AE"/>
    <w:rsid w:val="007448BC"/>
    <w:rsid w:val="00744D79"/>
    <w:rsid w:val="007451B9"/>
    <w:rsid w:val="00746127"/>
    <w:rsid w:val="007462CA"/>
    <w:rsid w:val="00746329"/>
    <w:rsid w:val="0074675F"/>
    <w:rsid w:val="00746E5D"/>
    <w:rsid w:val="007472FF"/>
    <w:rsid w:val="0074755F"/>
    <w:rsid w:val="007476D2"/>
    <w:rsid w:val="0074770E"/>
    <w:rsid w:val="00747A76"/>
    <w:rsid w:val="00747AF5"/>
    <w:rsid w:val="00747F10"/>
    <w:rsid w:val="007501B0"/>
    <w:rsid w:val="00750DE7"/>
    <w:rsid w:val="00751184"/>
    <w:rsid w:val="00752215"/>
    <w:rsid w:val="007525AF"/>
    <w:rsid w:val="00752907"/>
    <w:rsid w:val="00752A30"/>
    <w:rsid w:val="00752BDA"/>
    <w:rsid w:val="007531D4"/>
    <w:rsid w:val="00753FA6"/>
    <w:rsid w:val="007540AE"/>
    <w:rsid w:val="007544EA"/>
    <w:rsid w:val="00754500"/>
    <w:rsid w:val="00754A97"/>
    <w:rsid w:val="0075601A"/>
    <w:rsid w:val="007566B0"/>
    <w:rsid w:val="007567B2"/>
    <w:rsid w:val="00757144"/>
    <w:rsid w:val="00757C4C"/>
    <w:rsid w:val="00757D04"/>
    <w:rsid w:val="00760432"/>
    <w:rsid w:val="00760BD4"/>
    <w:rsid w:val="00761E6D"/>
    <w:rsid w:val="007621C4"/>
    <w:rsid w:val="007628CB"/>
    <w:rsid w:val="00762C78"/>
    <w:rsid w:val="00762F27"/>
    <w:rsid w:val="00763267"/>
    <w:rsid w:val="00763D9A"/>
    <w:rsid w:val="00763EA6"/>
    <w:rsid w:val="007647D6"/>
    <w:rsid w:val="007658F6"/>
    <w:rsid w:val="007666FB"/>
    <w:rsid w:val="00766730"/>
    <w:rsid w:val="00766B37"/>
    <w:rsid w:val="00766B3A"/>
    <w:rsid w:val="00767553"/>
    <w:rsid w:val="00770137"/>
    <w:rsid w:val="00771C3A"/>
    <w:rsid w:val="00771C61"/>
    <w:rsid w:val="007722CB"/>
    <w:rsid w:val="007726DD"/>
    <w:rsid w:val="00773031"/>
    <w:rsid w:val="007733AE"/>
    <w:rsid w:val="007738CE"/>
    <w:rsid w:val="00773F70"/>
    <w:rsid w:val="00774997"/>
    <w:rsid w:val="0077552B"/>
    <w:rsid w:val="00775997"/>
    <w:rsid w:val="00775C78"/>
    <w:rsid w:val="007761BC"/>
    <w:rsid w:val="007761F0"/>
    <w:rsid w:val="00777960"/>
    <w:rsid w:val="00780410"/>
    <w:rsid w:val="00780B18"/>
    <w:rsid w:val="007812D4"/>
    <w:rsid w:val="0078148B"/>
    <w:rsid w:val="007819B3"/>
    <w:rsid w:val="00782C56"/>
    <w:rsid w:val="00783775"/>
    <w:rsid w:val="00783979"/>
    <w:rsid w:val="0078640F"/>
    <w:rsid w:val="00786D83"/>
    <w:rsid w:val="007871F0"/>
    <w:rsid w:val="00787936"/>
    <w:rsid w:val="00787998"/>
    <w:rsid w:val="00787CCB"/>
    <w:rsid w:val="00787D7A"/>
    <w:rsid w:val="00790739"/>
    <w:rsid w:val="00790B21"/>
    <w:rsid w:val="00791505"/>
    <w:rsid w:val="00791744"/>
    <w:rsid w:val="00791A0F"/>
    <w:rsid w:val="00791F5A"/>
    <w:rsid w:val="00793359"/>
    <w:rsid w:val="00793DB8"/>
    <w:rsid w:val="007947F3"/>
    <w:rsid w:val="00794FF2"/>
    <w:rsid w:val="007954E9"/>
    <w:rsid w:val="0079556C"/>
    <w:rsid w:val="00795602"/>
    <w:rsid w:val="00795D6A"/>
    <w:rsid w:val="00796941"/>
    <w:rsid w:val="00796B92"/>
    <w:rsid w:val="00796ED6"/>
    <w:rsid w:val="00797519"/>
    <w:rsid w:val="0079776D"/>
    <w:rsid w:val="007A12F1"/>
    <w:rsid w:val="007A1697"/>
    <w:rsid w:val="007A1F80"/>
    <w:rsid w:val="007A22F7"/>
    <w:rsid w:val="007A2624"/>
    <w:rsid w:val="007A2CC4"/>
    <w:rsid w:val="007A3153"/>
    <w:rsid w:val="007A3850"/>
    <w:rsid w:val="007A4C11"/>
    <w:rsid w:val="007A4DA7"/>
    <w:rsid w:val="007A50AB"/>
    <w:rsid w:val="007A576D"/>
    <w:rsid w:val="007A6BC4"/>
    <w:rsid w:val="007A7A1D"/>
    <w:rsid w:val="007A7A80"/>
    <w:rsid w:val="007B0248"/>
    <w:rsid w:val="007B07A5"/>
    <w:rsid w:val="007B1D8B"/>
    <w:rsid w:val="007B26D3"/>
    <w:rsid w:val="007B4603"/>
    <w:rsid w:val="007B59EC"/>
    <w:rsid w:val="007B5E69"/>
    <w:rsid w:val="007B6DD4"/>
    <w:rsid w:val="007B6ECD"/>
    <w:rsid w:val="007B70C3"/>
    <w:rsid w:val="007B7A21"/>
    <w:rsid w:val="007B7C85"/>
    <w:rsid w:val="007C05EF"/>
    <w:rsid w:val="007C0BBC"/>
    <w:rsid w:val="007C239C"/>
    <w:rsid w:val="007C2443"/>
    <w:rsid w:val="007C2B05"/>
    <w:rsid w:val="007C5D1F"/>
    <w:rsid w:val="007C5EA9"/>
    <w:rsid w:val="007C7E60"/>
    <w:rsid w:val="007D00D6"/>
    <w:rsid w:val="007D0F69"/>
    <w:rsid w:val="007D1081"/>
    <w:rsid w:val="007D1385"/>
    <w:rsid w:val="007D1B0E"/>
    <w:rsid w:val="007D1F0C"/>
    <w:rsid w:val="007D23CF"/>
    <w:rsid w:val="007D288D"/>
    <w:rsid w:val="007D4AC1"/>
    <w:rsid w:val="007D4DCC"/>
    <w:rsid w:val="007D5106"/>
    <w:rsid w:val="007D5239"/>
    <w:rsid w:val="007D54D2"/>
    <w:rsid w:val="007D5C30"/>
    <w:rsid w:val="007D640D"/>
    <w:rsid w:val="007D6697"/>
    <w:rsid w:val="007D6A48"/>
    <w:rsid w:val="007D6D58"/>
    <w:rsid w:val="007D71F7"/>
    <w:rsid w:val="007D71F9"/>
    <w:rsid w:val="007E0DEA"/>
    <w:rsid w:val="007E1134"/>
    <w:rsid w:val="007E1710"/>
    <w:rsid w:val="007E21B8"/>
    <w:rsid w:val="007E2739"/>
    <w:rsid w:val="007E2BE8"/>
    <w:rsid w:val="007E35BB"/>
    <w:rsid w:val="007E3C08"/>
    <w:rsid w:val="007E3D30"/>
    <w:rsid w:val="007E4501"/>
    <w:rsid w:val="007E46D2"/>
    <w:rsid w:val="007E4742"/>
    <w:rsid w:val="007E4CEE"/>
    <w:rsid w:val="007E566D"/>
    <w:rsid w:val="007E61D1"/>
    <w:rsid w:val="007E7056"/>
    <w:rsid w:val="007E7097"/>
    <w:rsid w:val="007E70C5"/>
    <w:rsid w:val="007E7161"/>
    <w:rsid w:val="007E78BB"/>
    <w:rsid w:val="007F03F0"/>
    <w:rsid w:val="007F072F"/>
    <w:rsid w:val="007F0A44"/>
    <w:rsid w:val="007F1440"/>
    <w:rsid w:val="007F1833"/>
    <w:rsid w:val="007F3417"/>
    <w:rsid w:val="007F3572"/>
    <w:rsid w:val="007F61C1"/>
    <w:rsid w:val="007F6463"/>
    <w:rsid w:val="007F6701"/>
    <w:rsid w:val="007F68D0"/>
    <w:rsid w:val="007F6F73"/>
    <w:rsid w:val="007F71B2"/>
    <w:rsid w:val="007F7419"/>
    <w:rsid w:val="007F7A5B"/>
    <w:rsid w:val="00800067"/>
    <w:rsid w:val="008004C4"/>
    <w:rsid w:val="00800566"/>
    <w:rsid w:val="0080083D"/>
    <w:rsid w:val="008008CF"/>
    <w:rsid w:val="008012DA"/>
    <w:rsid w:val="008013E6"/>
    <w:rsid w:val="00801DB4"/>
    <w:rsid w:val="00802E2F"/>
    <w:rsid w:val="0080328C"/>
    <w:rsid w:val="008032E7"/>
    <w:rsid w:val="00803475"/>
    <w:rsid w:val="00804E2D"/>
    <w:rsid w:val="008051A6"/>
    <w:rsid w:val="008052F9"/>
    <w:rsid w:val="0080538D"/>
    <w:rsid w:val="008054EB"/>
    <w:rsid w:val="008056D0"/>
    <w:rsid w:val="00805BE6"/>
    <w:rsid w:val="008060A4"/>
    <w:rsid w:val="00806B42"/>
    <w:rsid w:val="00807970"/>
    <w:rsid w:val="00807B8E"/>
    <w:rsid w:val="00807C80"/>
    <w:rsid w:val="0081094B"/>
    <w:rsid w:val="00811829"/>
    <w:rsid w:val="00811DA4"/>
    <w:rsid w:val="008121B4"/>
    <w:rsid w:val="00812965"/>
    <w:rsid w:val="00813C14"/>
    <w:rsid w:val="00813E5F"/>
    <w:rsid w:val="0081471F"/>
    <w:rsid w:val="00814BD9"/>
    <w:rsid w:val="00814CE0"/>
    <w:rsid w:val="00814FF9"/>
    <w:rsid w:val="00815399"/>
    <w:rsid w:val="00815C62"/>
    <w:rsid w:val="00816112"/>
    <w:rsid w:val="0081631B"/>
    <w:rsid w:val="00816664"/>
    <w:rsid w:val="008168DE"/>
    <w:rsid w:val="008169FB"/>
    <w:rsid w:val="00816C9E"/>
    <w:rsid w:val="00816FFF"/>
    <w:rsid w:val="00817E06"/>
    <w:rsid w:val="00817F66"/>
    <w:rsid w:val="00820F61"/>
    <w:rsid w:val="00821480"/>
    <w:rsid w:val="00822CBB"/>
    <w:rsid w:val="00823B92"/>
    <w:rsid w:val="00823E5D"/>
    <w:rsid w:val="00824079"/>
    <w:rsid w:val="0082458D"/>
    <w:rsid w:val="00824AE4"/>
    <w:rsid w:val="008261F5"/>
    <w:rsid w:val="00826F9F"/>
    <w:rsid w:val="00827437"/>
    <w:rsid w:val="0082791D"/>
    <w:rsid w:val="00827E74"/>
    <w:rsid w:val="008300A7"/>
    <w:rsid w:val="00830F03"/>
    <w:rsid w:val="008314CD"/>
    <w:rsid w:val="008317C0"/>
    <w:rsid w:val="008319BE"/>
    <w:rsid w:val="0083247A"/>
    <w:rsid w:val="00833454"/>
    <w:rsid w:val="0083350D"/>
    <w:rsid w:val="00833518"/>
    <w:rsid w:val="00834CFD"/>
    <w:rsid w:val="008352CA"/>
    <w:rsid w:val="00835FFB"/>
    <w:rsid w:val="008361AA"/>
    <w:rsid w:val="008362B6"/>
    <w:rsid w:val="008363E4"/>
    <w:rsid w:val="008368B0"/>
    <w:rsid w:val="00836BD5"/>
    <w:rsid w:val="00837B39"/>
    <w:rsid w:val="00840A5A"/>
    <w:rsid w:val="00840DA5"/>
    <w:rsid w:val="00841947"/>
    <w:rsid w:val="00841A3B"/>
    <w:rsid w:val="0084243C"/>
    <w:rsid w:val="00842664"/>
    <w:rsid w:val="008427D0"/>
    <w:rsid w:val="00843D0D"/>
    <w:rsid w:val="00843ED0"/>
    <w:rsid w:val="00844A64"/>
    <w:rsid w:val="00844F4C"/>
    <w:rsid w:val="00847A92"/>
    <w:rsid w:val="00850055"/>
    <w:rsid w:val="0085007B"/>
    <w:rsid w:val="0085075A"/>
    <w:rsid w:val="00850DD3"/>
    <w:rsid w:val="0085179C"/>
    <w:rsid w:val="00852184"/>
    <w:rsid w:val="00853F1B"/>
    <w:rsid w:val="0085446A"/>
    <w:rsid w:val="00855F74"/>
    <w:rsid w:val="00857E85"/>
    <w:rsid w:val="00860651"/>
    <w:rsid w:val="008611D2"/>
    <w:rsid w:val="00861F97"/>
    <w:rsid w:val="00862081"/>
    <w:rsid w:val="00862304"/>
    <w:rsid w:val="008628C6"/>
    <w:rsid w:val="00862C22"/>
    <w:rsid w:val="00863588"/>
    <w:rsid w:val="00864352"/>
    <w:rsid w:val="008649BD"/>
    <w:rsid w:val="00865A1D"/>
    <w:rsid w:val="00865CBD"/>
    <w:rsid w:val="00866D1F"/>
    <w:rsid w:val="0086774C"/>
    <w:rsid w:val="0087019F"/>
    <w:rsid w:val="0087057A"/>
    <w:rsid w:val="008707C4"/>
    <w:rsid w:val="00870EDD"/>
    <w:rsid w:val="0087151B"/>
    <w:rsid w:val="00872A36"/>
    <w:rsid w:val="008741F8"/>
    <w:rsid w:val="008743FD"/>
    <w:rsid w:val="00874ABC"/>
    <w:rsid w:val="008752B3"/>
    <w:rsid w:val="00876953"/>
    <w:rsid w:val="00877DF3"/>
    <w:rsid w:val="00880710"/>
    <w:rsid w:val="008815D4"/>
    <w:rsid w:val="00881BFB"/>
    <w:rsid w:val="00881E71"/>
    <w:rsid w:val="00882587"/>
    <w:rsid w:val="00882C28"/>
    <w:rsid w:val="0088301E"/>
    <w:rsid w:val="00883A8F"/>
    <w:rsid w:val="00883C95"/>
    <w:rsid w:val="00884E31"/>
    <w:rsid w:val="00886148"/>
    <w:rsid w:val="00887582"/>
    <w:rsid w:val="00887AAD"/>
    <w:rsid w:val="00890217"/>
    <w:rsid w:val="00890A3F"/>
    <w:rsid w:val="00890D3D"/>
    <w:rsid w:val="00891B80"/>
    <w:rsid w:val="008926C2"/>
    <w:rsid w:val="008932FC"/>
    <w:rsid w:val="00893E31"/>
    <w:rsid w:val="0089459F"/>
    <w:rsid w:val="008948CC"/>
    <w:rsid w:val="00895F18"/>
    <w:rsid w:val="00896129"/>
    <w:rsid w:val="00896366"/>
    <w:rsid w:val="00896AA0"/>
    <w:rsid w:val="00896C44"/>
    <w:rsid w:val="00897950"/>
    <w:rsid w:val="00897C2B"/>
    <w:rsid w:val="008A0297"/>
    <w:rsid w:val="008A0BD7"/>
    <w:rsid w:val="008A0C89"/>
    <w:rsid w:val="008A20E4"/>
    <w:rsid w:val="008A2417"/>
    <w:rsid w:val="008A254F"/>
    <w:rsid w:val="008A3653"/>
    <w:rsid w:val="008A3B11"/>
    <w:rsid w:val="008A489D"/>
    <w:rsid w:val="008A61B5"/>
    <w:rsid w:val="008A6A71"/>
    <w:rsid w:val="008B0479"/>
    <w:rsid w:val="008B10D4"/>
    <w:rsid w:val="008B1521"/>
    <w:rsid w:val="008B25F9"/>
    <w:rsid w:val="008B2E4C"/>
    <w:rsid w:val="008B37DD"/>
    <w:rsid w:val="008B521E"/>
    <w:rsid w:val="008B67CA"/>
    <w:rsid w:val="008B6809"/>
    <w:rsid w:val="008B6B63"/>
    <w:rsid w:val="008B7A24"/>
    <w:rsid w:val="008C0167"/>
    <w:rsid w:val="008C07EB"/>
    <w:rsid w:val="008C2E3B"/>
    <w:rsid w:val="008C3E4E"/>
    <w:rsid w:val="008C57C5"/>
    <w:rsid w:val="008C5CBC"/>
    <w:rsid w:val="008C6341"/>
    <w:rsid w:val="008C7FF4"/>
    <w:rsid w:val="008D27CC"/>
    <w:rsid w:val="008D4006"/>
    <w:rsid w:val="008D4A2C"/>
    <w:rsid w:val="008D56F8"/>
    <w:rsid w:val="008D6439"/>
    <w:rsid w:val="008D643F"/>
    <w:rsid w:val="008D679E"/>
    <w:rsid w:val="008D71E6"/>
    <w:rsid w:val="008D7638"/>
    <w:rsid w:val="008E0209"/>
    <w:rsid w:val="008E022E"/>
    <w:rsid w:val="008E051B"/>
    <w:rsid w:val="008E05EC"/>
    <w:rsid w:val="008E1D18"/>
    <w:rsid w:val="008E1EE2"/>
    <w:rsid w:val="008E270F"/>
    <w:rsid w:val="008E2C74"/>
    <w:rsid w:val="008E2D2D"/>
    <w:rsid w:val="008E3027"/>
    <w:rsid w:val="008E3CAA"/>
    <w:rsid w:val="008E3F73"/>
    <w:rsid w:val="008E4492"/>
    <w:rsid w:val="008E4B61"/>
    <w:rsid w:val="008E4BA9"/>
    <w:rsid w:val="008E5EC9"/>
    <w:rsid w:val="008E6A1C"/>
    <w:rsid w:val="008F0B0E"/>
    <w:rsid w:val="008F0BE6"/>
    <w:rsid w:val="008F126D"/>
    <w:rsid w:val="008F14AD"/>
    <w:rsid w:val="008F17C5"/>
    <w:rsid w:val="008F17C7"/>
    <w:rsid w:val="008F1BBB"/>
    <w:rsid w:val="008F2786"/>
    <w:rsid w:val="008F311E"/>
    <w:rsid w:val="008F325A"/>
    <w:rsid w:val="008F329E"/>
    <w:rsid w:val="008F34DB"/>
    <w:rsid w:val="008F364D"/>
    <w:rsid w:val="008F375B"/>
    <w:rsid w:val="008F4149"/>
    <w:rsid w:val="008F4F9D"/>
    <w:rsid w:val="008F57D0"/>
    <w:rsid w:val="008F5864"/>
    <w:rsid w:val="008F6BEA"/>
    <w:rsid w:val="008F7421"/>
    <w:rsid w:val="009000DD"/>
    <w:rsid w:val="009004E6"/>
    <w:rsid w:val="0090073C"/>
    <w:rsid w:val="0090086F"/>
    <w:rsid w:val="00900C7A"/>
    <w:rsid w:val="00901771"/>
    <w:rsid w:val="00901C73"/>
    <w:rsid w:val="00902B44"/>
    <w:rsid w:val="00903427"/>
    <w:rsid w:val="00903DC6"/>
    <w:rsid w:val="009048F6"/>
    <w:rsid w:val="00904B54"/>
    <w:rsid w:val="00904E7E"/>
    <w:rsid w:val="00904EE0"/>
    <w:rsid w:val="0090666B"/>
    <w:rsid w:val="00907B2E"/>
    <w:rsid w:val="00907B3B"/>
    <w:rsid w:val="00910947"/>
    <w:rsid w:val="00910F0E"/>
    <w:rsid w:val="00911531"/>
    <w:rsid w:val="00911806"/>
    <w:rsid w:val="00911CB5"/>
    <w:rsid w:val="00912D44"/>
    <w:rsid w:val="009135D0"/>
    <w:rsid w:val="009137C8"/>
    <w:rsid w:val="00914119"/>
    <w:rsid w:val="00914968"/>
    <w:rsid w:val="00914CCA"/>
    <w:rsid w:val="00915FF2"/>
    <w:rsid w:val="0091635F"/>
    <w:rsid w:val="00916A47"/>
    <w:rsid w:val="00916DE5"/>
    <w:rsid w:val="0091726F"/>
    <w:rsid w:val="0091733E"/>
    <w:rsid w:val="00917B54"/>
    <w:rsid w:val="00920354"/>
    <w:rsid w:val="00920BFE"/>
    <w:rsid w:val="00920FDE"/>
    <w:rsid w:val="00921B70"/>
    <w:rsid w:val="0092214B"/>
    <w:rsid w:val="00922B16"/>
    <w:rsid w:val="00922BEF"/>
    <w:rsid w:val="00922F23"/>
    <w:rsid w:val="00923D4D"/>
    <w:rsid w:val="00925A16"/>
    <w:rsid w:val="00925ACF"/>
    <w:rsid w:val="0092660D"/>
    <w:rsid w:val="009276F1"/>
    <w:rsid w:val="00927C43"/>
    <w:rsid w:val="00930040"/>
    <w:rsid w:val="009302B6"/>
    <w:rsid w:val="0093058E"/>
    <w:rsid w:val="00930880"/>
    <w:rsid w:val="009315D6"/>
    <w:rsid w:val="00931673"/>
    <w:rsid w:val="009318C2"/>
    <w:rsid w:val="0093253F"/>
    <w:rsid w:val="00932FAC"/>
    <w:rsid w:val="00933634"/>
    <w:rsid w:val="0093381E"/>
    <w:rsid w:val="00933831"/>
    <w:rsid w:val="0093412A"/>
    <w:rsid w:val="009343B5"/>
    <w:rsid w:val="009357B8"/>
    <w:rsid w:val="00937505"/>
    <w:rsid w:val="00937B06"/>
    <w:rsid w:val="00937BDA"/>
    <w:rsid w:val="0094024A"/>
    <w:rsid w:val="00940807"/>
    <w:rsid w:val="009411B1"/>
    <w:rsid w:val="009417FD"/>
    <w:rsid w:val="009423AD"/>
    <w:rsid w:val="009425E6"/>
    <w:rsid w:val="00942CC2"/>
    <w:rsid w:val="009431A4"/>
    <w:rsid w:val="00943885"/>
    <w:rsid w:val="0094395B"/>
    <w:rsid w:val="00944289"/>
    <w:rsid w:val="00944914"/>
    <w:rsid w:val="00944A5D"/>
    <w:rsid w:val="0094603C"/>
    <w:rsid w:val="009467BB"/>
    <w:rsid w:val="00946AE0"/>
    <w:rsid w:val="00946F01"/>
    <w:rsid w:val="0094770D"/>
    <w:rsid w:val="00947742"/>
    <w:rsid w:val="00950004"/>
    <w:rsid w:val="009500BA"/>
    <w:rsid w:val="0095028C"/>
    <w:rsid w:val="00950ADF"/>
    <w:rsid w:val="00950D01"/>
    <w:rsid w:val="00951547"/>
    <w:rsid w:val="0095156A"/>
    <w:rsid w:val="0095171C"/>
    <w:rsid w:val="00951A74"/>
    <w:rsid w:val="00952D83"/>
    <w:rsid w:val="00953B00"/>
    <w:rsid w:val="00953B70"/>
    <w:rsid w:val="009541D3"/>
    <w:rsid w:val="00954A44"/>
    <w:rsid w:val="00954A89"/>
    <w:rsid w:val="00955116"/>
    <w:rsid w:val="009551CF"/>
    <w:rsid w:val="00955AF0"/>
    <w:rsid w:val="00956C6F"/>
    <w:rsid w:val="0095718C"/>
    <w:rsid w:val="009602C8"/>
    <w:rsid w:val="0096240C"/>
    <w:rsid w:val="009625C2"/>
    <w:rsid w:val="00963090"/>
    <w:rsid w:val="00963ACF"/>
    <w:rsid w:val="00963D20"/>
    <w:rsid w:val="009641F6"/>
    <w:rsid w:val="00964364"/>
    <w:rsid w:val="0096538E"/>
    <w:rsid w:val="00965513"/>
    <w:rsid w:val="009657B4"/>
    <w:rsid w:val="00965982"/>
    <w:rsid w:val="00965D84"/>
    <w:rsid w:val="00965F78"/>
    <w:rsid w:val="009660A6"/>
    <w:rsid w:val="009661B4"/>
    <w:rsid w:val="009662E9"/>
    <w:rsid w:val="00966512"/>
    <w:rsid w:val="00966732"/>
    <w:rsid w:val="00966A3D"/>
    <w:rsid w:val="00967568"/>
    <w:rsid w:val="009708C0"/>
    <w:rsid w:val="009709A9"/>
    <w:rsid w:val="00972109"/>
    <w:rsid w:val="00972298"/>
    <w:rsid w:val="00972744"/>
    <w:rsid w:val="00973714"/>
    <w:rsid w:val="00974162"/>
    <w:rsid w:val="009747E6"/>
    <w:rsid w:val="009756B8"/>
    <w:rsid w:val="00975C6F"/>
    <w:rsid w:val="0097609D"/>
    <w:rsid w:val="00976358"/>
    <w:rsid w:val="00976C17"/>
    <w:rsid w:val="00980A3B"/>
    <w:rsid w:val="00980E66"/>
    <w:rsid w:val="00980F77"/>
    <w:rsid w:val="0098101B"/>
    <w:rsid w:val="00981733"/>
    <w:rsid w:val="009822CA"/>
    <w:rsid w:val="00983163"/>
    <w:rsid w:val="00983847"/>
    <w:rsid w:val="00983E0B"/>
    <w:rsid w:val="00983FDD"/>
    <w:rsid w:val="00984A88"/>
    <w:rsid w:val="00984D7F"/>
    <w:rsid w:val="0098616F"/>
    <w:rsid w:val="009900A8"/>
    <w:rsid w:val="009909A3"/>
    <w:rsid w:val="00991475"/>
    <w:rsid w:val="0099198D"/>
    <w:rsid w:val="00991A37"/>
    <w:rsid w:val="00993D30"/>
    <w:rsid w:val="00993F79"/>
    <w:rsid w:val="00994711"/>
    <w:rsid w:val="00995611"/>
    <w:rsid w:val="009967D0"/>
    <w:rsid w:val="009972FB"/>
    <w:rsid w:val="00997AA6"/>
    <w:rsid w:val="00997BFD"/>
    <w:rsid w:val="009A0006"/>
    <w:rsid w:val="009A1A3E"/>
    <w:rsid w:val="009A1B49"/>
    <w:rsid w:val="009A1FFB"/>
    <w:rsid w:val="009A26A4"/>
    <w:rsid w:val="009A39CD"/>
    <w:rsid w:val="009A4074"/>
    <w:rsid w:val="009A40EE"/>
    <w:rsid w:val="009A54ED"/>
    <w:rsid w:val="009A55B3"/>
    <w:rsid w:val="009A71E1"/>
    <w:rsid w:val="009A776E"/>
    <w:rsid w:val="009B0075"/>
    <w:rsid w:val="009B0EC2"/>
    <w:rsid w:val="009B110F"/>
    <w:rsid w:val="009B143F"/>
    <w:rsid w:val="009B1970"/>
    <w:rsid w:val="009B1DB7"/>
    <w:rsid w:val="009B2715"/>
    <w:rsid w:val="009B27E3"/>
    <w:rsid w:val="009B2A34"/>
    <w:rsid w:val="009B2F2C"/>
    <w:rsid w:val="009B386B"/>
    <w:rsid w:val="009B4F44"/>
    <w:rsid w:val="009B52CD"/>
    <w:rsid w:val="009B55BB"/>
    <w:rsid w:val="009B56AA"/>
    <w:rsid w:val="009B5C17"/>
    <w:rsid w:val="009B5FF5"/>
    <w:rsid w:val="009B6464"/>
    <w:rsid w:val="009B6AA0"/>
    <w:rsid w:val="009B6CCA"/>
    <w:rsid w:val="009B7B30"/>
    <w:rsid w:val="009B7F64"/>
    <w:rsid w:val="009C08A5"/>
    <w:rsid w:val="009C09BD"/>
    <w:rsid w:val="009C143D"/>
    <w:rsid w:val="009C1877"/>
    <w:rsid w:val="009C2392"/>
    <w:rsid w:val="009C3153"/>
    <w:rsid w:val="009C3254"/>
    <w:rsid w:val="009C3339"/>
    <w:rsid w:val="009C3379"/>
    <w:rsid w:val="009C376E"/>
    <w:rsid w:val="009C3A0F"/>
    <w:rsid w:val="009C3DEF"/>
    <w:rsid w:val="009C41DF"/>
    <w:rsid w:val="009C4701"/>
    <w:rsid w:val="009C49D1"/>
    <w:rsid w:val="009C53F7"/>
    <w:rsid w:val="009C551C"/>
    <w:rsid w:val="009C5ABF"/>
    <w:rsid w:val="009C6877"/>
    <w:rsid w:val="009C705C"/>
    <w:rsid w:val="009C74BF"/>
    <w:rsid w:val="009C7A17"/>
    <w:rsid w:val="009C7A37"/>
    <w:rsid w:val="009D01B3"/>
    <w:rsid w:val="009D0BBF"/>
    <w:rsid w:val="009D1FFD"/>
    <w:rsid w:val="009D2162"/>
    <w:rsid w:val="009D26E9"/>
    <w:rsid w:val="009D2E15"/>
    <w:rsid w:val="009D32BE"/>
    <w:rsid w:val="009D3531"/>
    <w:rsid w:val="009D396F"/>
    <w:rsid w:val="009D5910"/>
    <w:rsid w:val="009D6653"/>
    <w:rsid w:val="009D6E91"/>
    <w:rsid w:val="009E0864"/>
    <w:rsid w:val="009E0B5A"/>
    <w:rsid w:val="009E16F9"/>
    <w:rsid w:val="009E1E79"/>
    <w:rsid w:val="009E22D2"/>
    <w:rsid w:val="009E2D9F"/>
    <w:rsid w:val="009E46BC"/>
    <w:rsid w:val="009E4911"/>
    <w:rsid w:val="009E4B32"/>
    <w:rsid w:val="009E5A32"/>
    <w:rsid w:val="009E7D82"/>
    <w:rsid w:val="009F0656"/>
    <w:rsid w:val="009F172D"/>
    <w:rsid w:val="009F1B1A"/>
    <w:rsid w:val="009F1C6A"/>
    <w:rsid w:val="009F2F74"/>
    <w:rsid w:val="009F3CD4"/>
    <w:rsid w:val="009F4939"/>
    <w:rsid w:val="009F514A"/>
    <w:rsid w:val="009F51D4"/>
    <w:rsid w:val="009F5944"/>
    <w:rsid w:val="009F5ACC"/>
    <w:rsid w:val="009F5F65"/>
    <w:rsid w:val="009F6019"/>
    <w:rsid w:val="009F67AC"/>
    <w:rsid w:val="009F79BC"/>
    <w:rsid w:val="00A006F5"/>
    <w:rsid w:val="00A00967"/>
    <w:rsid w:val="00A009E0"/>
    <w:rsid w:val="00A0123C"/>
    <w:rsid w:val="00A01AE0"/>
    <w:rsid w:val="00A02D4F"/>
    <w:rsid w:val="00A03060"/>
    <w:rsid w:val="00A034AC"/>
    <w:rsid w:val="00A0385F"/>
    <w:rsid w:val="00A040FD"/>
    <w:rsid w:val="00A042A5"/>
    <w:rsid w:val="00A04EF6"/>
    <w:rsid w:val="00A0507C"/>
    <w:rsid w:val="00A0663E"/>
    <w:rsid w:val="00A07225"/>
    <w:rsid w:val="00A07729"/>
    <w:rsid w:val="00A1030A"/>
    <w:rsid w:val="00A11818"/>
    <w:rsid w:val="00A125CB"/>
    <w:rsid w:val="00A12F6E"/>
    <w:rsid w:val="00A13D60"/>
    <w:rsid w:val="00A14F02"/>
    <w:rsid w:val="00A15351"/>
    <w:rsid w:val="00A1545F"/>
    <w:rsid w:val="00A15A9A"/>
    <w:rsid w:val="00A15D83"/>
    <w:rsid w:val="00A1612B"/>
    <w:rsid w:val="00A16620"/>
    <w:rsid w:val="00A1697A"/>
    <w:rsid w:val="00A16CB1"/>
    <w:rsid w:val="00A16FFC"/>
    <w:rsid w:val="00A177E0"/>
    <w:rsid w:val="00A2094B"/>
    <w:rsid w:val="00A20AE6"/>
    <w:rsid w:val="00A20CB5"/>
    <w:rsid w:val="00A213A1"/>
    <w:rsid w:val="00A2181B"/>
    <w:rsid w:val="00A218EB"/>
    <w:rsid w:val="00A21B0C"/>
    <w:rsid w:val="00A22B4C"/>
    <w:rsid w:val="00A22BDE"/>
    <w:rsid w:val="00A2348F"/>
    <w:rsid w:val="00A23492"/>
    <w:rsid w:val="00A23C84"/>
    <w:rsid w:val="00A23D4A"/>
    <w:rsid w:val="00A2462C"/>
    <w:rsid w:val="00A25DC9"/>
    <w:rsid w:val="00A26CB8"/>
    <w:rsid w:val="00A30206"/>
    <w:rsid w:val="00A3033B"/>
    <w:rsid w:val="00A3073A"/>
    <w:rsid w:val="00A31818"/>
    <w:rsid w:val="00A31B08"/>
    <w:rsid w:val="00A3238E"/>
    <w:rsid w:val="00A33BC9"/>
    <w:rsid w:val="00A34065"/>
    <w:rsid w:val="00A3425E"/>
    <w:rsid w:val="00A34330"/>
    <w:rsid w:val="00A3486E"/>
    <w:rsid w:val="00A36CC0"/>
    <w:rsid w:val="00A36D4E"/>
    <w:rsid w:val="00A37157"/>
    <w:rsid w:val="00A37E26"/>
    <w:rsid w:val="00A40AD9"/>
    <w:rsid w:val="00A40BFC"/>
    <w:rsid w:val="00A40E00"/>
    <w:rsid w:val="00A415DF"/>
    <w:rsid w:val="00A41801"/>
    <w:rsid w:val="00A42703"/>
    <w:rsid w:val="00A4293A"/>
    <w:rsid w:val="00A43026"/>
    <w:rsid w:val="00A443C1"/>
    <w:rsid w:val="00A445A7"/>
    <w:rsid w:val="00A4490C"/>
    <w:rsid w:val="00A44C5A"/>
    <w:rsid w:val="00A450C6"/>
    <w:rsid w:val="00A45433"/>
    <w:rsid w:val="00A454A5"/>
    <w:rsid w:val="00A46425"/>
    <w:rsid w:val="00A46466"/>
    <w:rsid w:val="00A476BF"/>
    <w:rsid w:val="00A501DF"/>
    <w:rsid w:val="00A50E97"/>
    <w:rsid w:val="00A51309"/>
    <w:rsid w:val="00A51E38"/>
    <w:rsid w:val="00A524EE"/>
    <w:rsid w:val="00A5293A"/>
    <w:rsid w:val="00A52B47"/>
    <w:rsid w:val="00A5356D"/>
    <w:rsid w:val="00A5359D"/>
    <w:rsid w:val="00A53AD5"/>
    <w:rsid w:val="00A54594"/>
    <w:rsid w:val="00A5466F"/>
    <w:rsid w:val="00A549AD"/>
    <w:rsid w:val="00A57AD0"/>
    <w:rsid w:val="00A57B89"/>
    <w:rsid w:val="00A60E43"/>
    <w:rsid w:val="00A61262"/>
    <w:rsid w:val="00A61BC6"/>
    <w:rsid w:val="00A633FF"/>
    <w:rsid w:val="00A64122"/>
    <w:rsid w:val="00A64682"/>
    <w:rsid w:val="00A64823"/>
    <w:rsid w:val="00A65125"/>
    <w:rsid w:val="00A65A70"/>
    <w:rsid w:val="00A66701"/>
    <w:rsid w:val="00A66864"/>
    <w:rsid w:val="00A66E5B"/>
    <w:rsid w:val="00A672E1"/>
    <w:rsid w:val="00A67FCB"/>
    <w:rsid w:val="00A70277"/>
    <w:rsid w:val="00A7084B"/>
    <w:rsid w:val="00A70EBB"/>
    <w:rsid w:val="00A719AE"/>
    <w:rsid w:val="00A721F2"/>
    <w:rsid w:val="00A73644"/>
    <w:rsid w:val="00A73BD6"/>
    <w:rsid w:val="00A73C8D"/>
    <w:rsid w:val="00A745AC"/>
    <w:rsid w:val="00A747D6"/>
    <w:rsid w:val="00A74C3A"/>
    <w:rsid w:val="00A752AC"/>
    <w:rsid w:val="00A7553B"/>
    <w:rsid w:val="00A75C8C"/>
    <w:rsid w:val="00A7625B"/>
    <w:rsid w:val="00A76740"/>
    <w:rsid w:val="00A7795A"/>
    <w:rsid w:val="00A77C8D"/>
    <w:rsid w:val="00A823C3"/>
    <w:rsid w:val="00A82C89"/>
    <w:rsid w:val="00A83948"/>
    <w:rsid w:val="00A842E9"/>
    <w:rsid w:val="00A8474E"/>
    <w:rsid w:val="00A8495B"/>
    <w:rsid w:val="00A84991"/>
    <w:rsid w:val="00A84D3D"/>
    <w:rsid w:val="00A859EA"/>
    <w:rsid w:val="00A86377"/>
    <w:rsid w:val="00A86965"/>
    <w:rsid w:val="00A86E9E"/>
    <w:rsid w:val="00A874BD"/>
    <w:rsid w:val="00A875CE"/>
    <w:rsid w:val="00A8781F"/>
    <w:rsid w:val="00A87943"/>
    <w:rsid w:val="00A87B77"/>
    <w:rsid w:val="00A87DE0"/>
    <w:rsid w:val="00A90A06"/>
    <w:rsid w:val="00A91D2D"/>
    <w:rsid w:val="00A925B3"/>
    <w:rsid w:val="00A93939"/>
    <w:rsid w:val="00A93B21"/>
    <w:rsid w:val="00A940B7"/>
    <w:rsid w:val="00A943C7"/>
    <w:rsid w:val="00A954E5"/>
    <w:rsid w:val="00A9616F"/>
    <w:rsid w:val="00A966E9"/>
    <w:rsid w:val="00A9711B"/>
    <w:rsid w:val="00AA0B79"/>
    <w:rsid w:val="00AA1677"/>
    <w:rsid w:val="00AA1861"/>
    <w:rsid w:val="00AA1BE7"/>
    <w:rsid w:val="00AA1F9F"/>
    <w:rsid w:val="00AA32E6"/>
    <w:rsid w:val="00AA52E3"/>
    <w:rsid w:val="00AA57B5"/>
    <w:rsid w:val="00AA59A2"/>
    <w:rsid w:val="00AA5A1D"/>
    <w:rsid w:val="00AA5AC7"/>
    <w:rsid w:val="00AA6170"/>
    <w:rsid w:val="00AA66EE"/>
    <w:rsid w:val="00AA75A8"/>
    <w:rsid w:val="00AB0139"/>
    <w:rsid w:val="00AB0B48"/>
    <w:rsid w:val="00AB12D4"/>
    <w:rsid w:val="00AB253E"/>
    <w:rsid w:val="00AB26D8"/>
    <w:rsid w:val="00AB271F"/>
    <w:rsid w:val="00AB2E65"/>
    <w:rsid w:val="00AB3EE9"/>
    <w:rsid w:val="00AB4559"/>
    <w:rsid w:val="00AB4A94"/>
    <w:rsid w:val="00AB525E"/>
    <w:rsid w:val="00AB59AA"/>
    <w:rsid w:val="00AB6533"/>
    <w:rsid w:val="00AB6A5C"/>
    <w:rsid w:val="00AB6F48"/>
    <w:rsid w:val="00AB7367"/>
    <w:rsid w:val="00AB76C7"/>
    <w:rsid w:val="00AB7A8F"/>
    <w:rsid w:val="00AB7B24"/>
    <w:rsid w:val="00AC05EC"/>
    <w:rsid w:val="00AC07AD"/>
    <w:rsid w:val="00AC0A10"/>
    <w:rsid w:val="00AC157C"/>
    <w:rsid w:val="00AC17DE"/>
    <w:rsid w:val="00AC20A2"/>
    <w:rsid w:val="00AC2644"/>
    <w:rsid w:val="00AC2688"/>
    <w:rsid w:val="00AC352F"/>
    <w:rsid w:val="00AC4509"/>
    <w:rsid w:val="00AC4C77"/>
    <w:rsid w:val="00AC50CE"/>
    <w:rsid w:val="00AC54BC"/>
    <w:rsid w:val="00AC5A71"/>
    <w:rsid w:val="00AC5EF4"/>
    <w:rsid w:val="00AC638D"/>
    <w:rsid w:val="00AC6C11"/>
    <w:rsid w:val="00AC75F3"/>
    <w:rsid w:val="00AD0CBA"/>
    <w:rsid w:val="00AD10B6"/>
    <w:rsid w:val="00AD1137"/>
    <w:rsid w:val="00AD2FE2"/>
    <w:rsid w:val="00AD3B4F"/>
    <w:rsid w:val="00AD4DDD"/>
    <w:rsid w:val="00AD5259"/>
    <w:rsid w:val="00AD5430"/>
    <w:rsid w:val="00AD5503"/>
    <w:rsid w:val="00AD5690"/>
    <w:rsid w:val="00AD58E2"/>
    <w:rsid w:val="00AD654A"/>
    <w:rsid w:val="00AD66D8"/>
    <w:rsid w:val="00AE0628"/>
    <w:rsid w:val="00AE0A02"/>
    <w:rsid w:val="00AE14ED"/>
    <w:rsid w:val="00AE16A9"/>
    <w:rsid w:val="00AE181C"/>
    <w:rsid w:val="00AE2629"/>
    <w:rsid w:val="00AE2CE8"/>
    <w:rsid w:val="00AE4415"/>
    <w:rsid w:val="00AE4440"/>
    <w:rsid w:val="00AE47CA"/>
    <w:rsid w:val="00AE4D6F"/>
    <w:rsid w:val="00AE5E89"/>
    <w:rsid w:val="00AE654E"/>
    <w:rsid w:val="00AE6EEB"/>
    <w:rsid w:val="00AF0FDD"/>
    <w:rsid w:val="00AF188F"/>
    <w:rsid w:val="00AF21FF"/>
    <w:rsid w:val="00AF27F2"/>
    <w:rsid w:val="00AF2AA2"/>
    <w:rsid w:val="00AF4217"/>
    <w:rsid w:val="00AF4570"/>
    <w:rsid w:val="00AF575A"/>
    <w:rsid w:val="00AF5D44"/>
    <w:rsid w:val="00AF6097"/>
    <w:rsid w:val="00AF61F3"/>
    <w:rsid w:val="00AF6F92"/>
    <w:rsid w:val="00AF7969"/>
    <w:rsid w:val="00AF7DAE"/>
    <w:rsid w:val="00B00479"/>
    <w:rsid w:val="00B0048B"/>
    <w:rsid w:val="00B00990"/>
    <w:rsid w:val="00B0194C"/>
    <w:rsid w:val="00B0236F"/>
    <w:rsid w:val="00B04D45"/>
    <w:rsid w:val="00B04E83"/>
    <w:rsid w:val="00B05BA5"/>
    <w:rsid w:val="00B071D4"/>
    <w:rsid w:val="00B07D6A"/>
    <w:rsid w:val="00B1010A"/>
    <w:rsid w:val="00B1057F"/>
    <w:rsid w:val="00B10C3A"/>
    <w:rsid w:val="00B10D4D"/>
    <w:rsid w:val="00B122CF"/>
    <w:rsid w:val="00B13307"/>
    <w:rsid w:val="00B134D5"/>
    <w:rsid w:val="00B1384C"/>
    <w:rsid w:val="00B13F05"/>
    <w:rsid w:val="00B154CD"/>
    <w:rsid w:val="00B1556A"/>
    <w:rsid w:val="00B1672A"/>
    <w:rsid w:val="00B16D6B"/>
    <w:rsid w:val="00B17438"/>
    <w:rsid w:val="00B179B8"/>
    <w:rsid w:val="00B201C9"/>
    <w:rsid w:val="00B20F0E"/>
    <w:rsid w:val="00B21DC7"/>
    <w:rsid w:val="00B2391F"/>
    <w:rsid w:val="00B23FE7"/>
    <w:rsid w:val="00B24524"/>
    <w:rsid w:val="00B2550A"/>
    <w:rsid w:val="00B257AB"/>
    <w:rsid w:val="00B27182"/>
    <w:rsid w:val="00B3149C"/>
    <w:rsid w:val="00B3150A"/>
    <w:rsid w:val="00B316BD"/>
    <w:rsid w:val="00B31E76"/>
    <w:rsid w:val="00B3245D"/>
    <w:rsid w:val="00B3246F"/>
    <w:rsid w:val="00B328D9"/>
    <w:rsid w:val="00B3327D"/>
    <w:rsid w:val="00B3358E"/>
    <w:rsid w:val="00B33B64"/>
    <w:rsid w:val="00B33EA3"/>
    <w:rsid w:val="00B34D4F"/>
    <w:rsid w:val="00B35154"/>
    <w:rsid w:val="00B35DA1"/>
    <w:rsid w:val="00B361BE"/>
    <w:rsid w:val="00B36EC4"/>
    <w:rsid w:val="00B37D40"/>
    <w:rsid w:val="00B40EA4"/>
    <w:rsid w:val="00B410A7"/>
    <w:rsid w:val="00B41C73"/>
    <w:rsid w:val="00B42ECC"/>
    <w:rsid w:val="00B43376"/>
    <w:rsid w:val="00B438B0"/>
    <w:rsid w:val="00B43A75"/>
    <w:rsid w:val="00B45049"/>
    <w:rsid w:val="00B4519B"/>
    <w:rsid w:val="00B4620B"/>
    <w:rsid w:val="00B46573"/>
    <w:rsid w:val="00B466B8"/>
    <w:rsid w:val="00B46983"/>
    <w:rsid w:val="00B46FF1"/>
    <w:rsid w:val="00B475CF"/>
    <w:rsid w:val="00B50B36"/>
    <w:rsid w:val="00B51153"/>
    <w:rsid w:val="00B516B8"/>
    <w:rsid w:val="00B519BB"/>
    <w:rsid w:val="00B52136"/>
    <w:rsid w:val="00B52584"/>
    <w:rsid w:val="00B5361C"/>
    <w:rsid w:val="00B53BBF"/>
    <w:rsid w:val="00B54934"/>
    <w:rsid w:val="00B555FC"/>
    <w:rsid w:val="00B55B16"/>
    <w:rsid w:val="00B55B82"/>
    <w:rsid w:val="00B56C62"/>
    <w:rsid w:val="00B56C76"/>
    <w:rsid w:val="00B576B1"/>
    <w:rsid w:val="00B6029C"/>
    <w:rsid w:val="00B602FF"/>
    <w:rsid w:val="00B617D5"/>
    <w:rsid w:val="00B6187C"/>
    <w:rsid w:val="00B61AB2"/>
    <w:rsid w:val="00B622D7"/>
    <w:rsid w:val="00B63809"/>
    <w:rsid w:val="00B6434B"/>
    <w:rsid w:val="00B64D9A"/>
    <w:rsid w:val="00B6560D"/>
    <w:rsid w:val="00B65DE9"/>
    <w:rsid w:val="00B65FED"/>
    <w:rsid w:val="00B6634F"/>
    <w:rsid w:val="00B66C46"/>
    <w:rsid w:val="00B67B07"/>
    <w:rsid w:val="00B706C6"/>
    <w:rsid w:val="00B7076C"/>
    <w:rsid w:val="00B70C9E"/>
    <w:rsid w:val="00B71102"/>
    <w:rsid w:val="00B714F7"/>
    <w:rsid w:val="00B718BF"/>
    <w:rsid w:val="00B72D05"/>
    <w:rsid w:val="00B7370E"/>
    <w:rsid w:val="00B74389"/>
    <w:rsid w:val="00B75C0A"/>
    <w:rsid w:val="00B76206"/>
    <w:rsid w:val="00B76789"/>
    <w:rsid w:val="00B810D6"/>
    <w:rsid w:val="00B82065"/>
    <w:rsid w:val="00B82385"/>
    <w:rsid w:val="00B83856"/>
    <w:rsid w:val="00B83B62"/>
    <w:rsid w:val="00B83CF1"/>
    <w:rsid w:val="00B83FAD"/>
    <w:rsid w:val="00B8424C"/>
    <w:rsid w:val="00B8442D"/>
    <w:rsid w:val="00B84742"/>
    <w:rsid w:val="00B84B90"/>
    <w:rsid w:val="00B8562A"/>
    <w:rsid w:val="00B85893"/>
    <w:rsid w:val="00B85B65"/>
    <w:rsid w:val="00B8620D"/>
    <w:rsid w:val="00B86316"/>
    <w:rsid w:val="00B8664B"/>
    <w:rsid w:val="00B86800"/>
    <w:rsid w:val="00B86885"/>
    <w:rsid w:val="00B86CDB"/>
    <w:rsid w:val="00B86FCB"/>
    <w:rsid w:val="00B8772D"/>
    <w:rsid w:val="00B87775"/>
    <w:rsid w:val="00B87CD0"/>
    <w:rsid w:val="00B90045"/>
    <w:rsid w:val="00B90F0F"/>
    <w:rsid w:val="00B92A84"/>
    <w:rsid w:val="00B92AC6"/>
    <w:rsid w:val="00B94E3E"/>
    <w:rsid w:val="00B94EB7"/>
    <w:rsid w:val="00B94F1F"/>
    <w:rsid w:val="00B95B86"/>
    <w:rsid w:val="00B962A5"/>
    <w:rsid w:val="00B96EFF"/>
    <w:rsid w:val="00B970DD"/>
    <w:rsid w:val="00B9721C"/>
    <w:rsid w:val="00BA02E4"/>
    <w:rsid w:val="00BA1312"/>
    <w:rsid w:val="00BA1672"/>
    <w:rsid w:val="00BA1C4E"/>
    <w:rsid w:val="00BA22FF"/>
    <w:rsid w:val="00BA2BB6"/>
    <w:rsid w:val="00BA31C0"/>
    <w:rsid w:val="00BA3439"/>
    <w:rsid w:val="00BA4A68"/>
    <w:rsid w:val="00BA4F67"/>
    <w:rsid w:val="00BA61BD"/>
    <w:rsid w:val="00BA636F"/>
    <w:rsid w:val="00BA63B0"/>
    <w:rsid w:val="00BA6576"/>
    <w:rsid w:val="00BA7966"/>
    <w:rsid w:val="00BB0487"/>
    <w:rsid w:val="00BB0DE9"/>
    <w:rsid w:val="00BB125A"/>
    <w:rsid w:val="00BB43B1"/>
    <w:rsid w:val="00BB447A"/>
    <w:rsid w:val="00BB4B99"/>
    <w:rsid w:val="00BB50C2"/>
    <w:rsid w:val="00BB5154"/>
    <w:rsid w:val="00BB51A0"/>
    <w:rsid w:val="00BB59F9"/>
    <w:rsid w:val="00BB6949"/>
    <w:rsid w:val="00BB6A0D"/>
    <w:rsid w:val="00BB78A2"/>
    <w:rsid w:val="00BB7BB6"/>
    <w:rsid w:val="00BB7EE1"/>
    <w:rsid w:val="00BC0745"/>
    <w:rsid w:val="00BC2213"/>
    <w:rsid w:val="00BC258B"/>
    <w:rsid w:val="00BC2A9C"/>
    <w:rsid w:val="00BC2DCF"/>
    <w:rsid w:val="00BC4092"/>
    <w:rsid w:val="00BC4885"/>
    <w:rsid w:val="00BC4B3C"/>
    <w:rsid w:val="00BC5DBC"/>
    <w:rsid w:val="00BC5E52"/>
    <w:rsid w:val="00BC6A51"/>
    <w:rsid w:val="00BC7157"/>
    <w:rsid w:val="00BC73A8"/>
    <w:rsid w:val="00BC776E"/>
    <w:rsid w:val="00BC7A41"/>
    <w:rsid w:val="00BC7C6E"/>
    <w:rsid w:val="00BC7D4A"/>
    <w:rsid w:val="00BD055B"/>
    <w:rsid w:val="00BD140E"/>
    <w:rsid w:val="00BD24FE"/>
    <w:rsid w:val="00BD2DEF"/>
    <w:rsid w:val="00BD3091"/>
    <w:rsid w:val="00BD34AC"/>
    <w:rsid w:val="00BD3CEF"/>
    <w:rsid w:val="00BD4A3E"/>
    <w:rsid w:val="00BD4DBB"/>
    <w:rsid w:val="00BD52CF"/>
    <w:rsid w:val="00BD5A98"/>
    <w:rsid w:val="00BD5B15"/>
    <w:rsid w:val="00BD79F4"/>
    <w:rsid w:val="00BD7BAF"/>
    <w:rsid w:val="00BE0635"/>
    <w:rsid w:val="00BE075D"/>
    <w:rsid w:val="00BE1304"/>
    <w:rsid w:val="00BE2904"/>
    <w:rsid w:val="00BE2D88"/>
    <w:rsid w:val="00BE378E"/>
    <w:rsid w:val="00BE3FB7"/>
    <w:rsid w:val="00BE539B"/>
    <w:rsid w:val="00BE547D"/>
    <w:rsid w:val="00BE5ACD"/>
    <w:rsid w:val="00BE5C38"/>
    <w:rsid w:val="00BE6750"/>
    <w:rsid w:val="00BE6AEF"/>
    <w:rsid w:val="00BE6D8D"/>
    <w:rsid w:val="00BF00B9"/>
    <w:rsid w:val="00BF014B"/>
    <w:rsid w:val="00BF0987"/>
    <w:rsid w:val="00BF1123"/>
    <w:rsid w:val="00BF1235"/>
    <w:rsid w:val="00BF1274"/>
    <w:rsid w:val="00BF140C"/>
    <w:rsid w:val="00BF1B45"/>
    <w:rsid w:val="00BF1C0E"/>
    <w:rsid w:val="00BF20F7"/>
    <w:rsid w:val="00BF2186"/>
    <w:rsid w:val="00BF2D21"/>
    <w:rsid w:val="00BF2F8F"/>
    <w:rsid w:val="00BF30DD"/>
    <w:rsid w:val="00BF3E9C"/>
    <w:rsid w:val="00BF4166"/>
    <w:rsid w:val="00BF54D2"/>
    <w:rsid w:val="00BF5C9D"/>
    <w:rsid w:val="00BF5DFC"/>
    <w:rsid w:val="00BF6370"/>
    <w:rsid w:val="00BF7DAC"/>
    <w:rsid w:val="00C00013"/>
    <w:rsid w:val="00C00175"/>
    <w:rsid w:val="00C0068D"/>
    <w:rsid w:val="00C00801"/>
    <w:rsid w:val="00C012C9"/>
    <w:rsid w:val="00C018ED"/>
    <w:rsid w:val="00C01A05"/>
    <w:rsid w:val="00C01D4E"/>
    <w:rsid w:val="00C02113"/>
    <w:rsid w:val="00C025A8"/>
    <w:rsid w:val="00C025E6"/>
    <w:rsid w:val="00C0351F"/>
    <w:rsid w:val="00C05198"/>
    <w:rsid w:val="00C0530A"/>
    <w:rsid w:val="00C055AB"/>
    <w:rsid w:val="00C05924"/>
    <w:rsid w:val="00C060C1"/>
    <w:rsid w:val="00C06375"/>
    <w:rsid w:val="00C06C5D"/>
    <w:rsid w:val="00C104B8"/>
    <w:rsid w:val="00C105AC"/>
    <w:rsid w:val="00C106DB"/>
    <w:rsid w:val="00C11FBA"/>
    <w:rsid w:val="00C1282B"/>
    <w:rsid w:val="00C13F3F"/>
    <w:rsid w:val="00C14569"/>
    <w:rsid w:val="00C146AD"/>
    <w:rsid w:val="00C151E8"/>
    <w:rsid w:val="00C16355"/>
    <w:rsid w:val="00C168E5"/>
    <w:rsid w:val="00C172AB"/>
    <w:rsid w:val="00C20554"/>
    <w:rsid w:val="00C21316"/>
    <w:rsid w:val="00C216F6"/>
    <w:rsid w:val="00C217A6"/>
    <w:rsid w:val="00C21BAF"/>
    <w:rsid w:val="00C21E2B"/>
    <w:rsid w:val="00C221C6"/>
    <w:rsid w:val="00C23C92"/>
    <w:rsid w:val="00C23F16"/>
    <w:rsid w:val="00C24493"/>
    <w:rsid w:val="00C245E2"/>
    <w:rsid w:val="00C2464A"/>
    <w:rsid w:val="00C254E5"/>
    <w:rsid w:val="00C25B7F"/>
    <w:rsid w:val="00C25FB0"/>
    <w:rsid w:val="00C26E6C"/>
    <w:rsid w:val="00C26EC5"/>
    <w:rsid w:val="00C272EE"/>
    <w:rsid w:val="00C27A98"/>
    <w:rsid w:val="00C27E46"/>
    <w:rsid w:val="00C309AF"/>
    <w:rsid w:val="00C311EF"/>
    <w:rsid w:val="00C31E54"/>
    <w:rsid w:val="00C31EB3"/>
    <w:rsid w:val="00C33365"/>
    <w:rsid w:val="00C33953"/>
    <w:rsid w:val="00C339D7"/>
    <w:rsid w:val="00C33C06"/>
    <w:rsid w:val="00C33D8D"/>
    <w:rsid w:val="00C3414D"/>
    <w:rsid w:val="00C35028"/>
    <w:rsid w:val="00C35BAE"/>
    <w:rsid w:val="00C35BE6"/>
    <w:rsid w:val="00C35C6F"/>
    <w:rsid w:val="00C37AF0"/>
    <w:rsid w:val="00C37EC2"/>
    <w:rsid w:val="00C407AC"/>
    <w:rsid w:val="00C40E2A"/>
    <w:rsid w:val="00C4198D"/>
    <w:rsid w:val="00C42095"/>
    <w:rsid w:val="00C42297"/>
    <w:rsid w:val="00C42531"/>
    <w:rsid w:val="00C42B89"/>
    <w:rsid w:val="00C451BC"/>
    <w:rsid w:val="00C458C5"/>
    <w:rsid w:val="00C459C4"/>
    <w:rsid w:val="00C47029"/>
    <w:rsid w:val="00C47F77"/>
    <w:rsid w:val="00C50063"/>
    <w:rsid w:val="00C5019F"/>
    <w:rsid w:val="00C506BF"/>
    <w:rsid w:val="00C51C31"/>
    <w:rsid w:val="00C5242C"/>
    <w:rsid w:val="00C541F9"/>
    <w:rsid w:val="00C542A4"/>
    <w:rsid w:val="00C54CC4"/>
    <w:rsid w:val="00C551FC"/>
    <w:rsid w:val="00C557CA"/>
    <w:rsid w:val="00C55A38"/>
    <w:rsid w:val="00C56001"/>
    <w:rsid w:val="00C577CB"/>
    <w:rsid w:val="00C579B9"/>
    <w:rsid w:val="00C604A0"/>
    <w:rsid w:val="00C63FE5"/>
    <w:rsid w:val="00C64913"/>
    <w:rsid w:val="00C653EC"/>
    <w:rsid w:val="00C65442"/>
    <w:rsid w:val="00C65A88"/>
    <w:rsid w:val="00C65DFF"/>
    <w:rsid w:val="00C65E01"/>
    <w:rsid w:val="00C65E24"/>
    <w:rsid w:val="00C66121"/>
    <w:rsid w:val="00C66326"/>
    <w:rsid w:val="00C66F89"/>
    <w:rsid w:val="00C674C1"/>
    <w:rsid w:val="00C676CC"/>
    <w:rsid w:val="00C67955"/>
    <w:rsid w:val="00C67A5A"/>
    <w:rsid w:val="00C70939"/>
    <w:rsid w:val="00C71110"/>
    <w:rsid w:val="00C71404"/>
    <w:rsid w:val="00C7273B"/>
    <w:rsid w:val="00C727F2"/>
    <w:rsid w:val="00C7284E"/>
    <w:rsid w:val="00C728A6"/>
    <w:rsid w:val="00C72D5C"/>
    <w:rsid w:val="00C72DBA"/>
    <w:rsid w:val="00C73676"/>
    <w:rsid w:val="00C73DD7"/>
    <w:rsid w:val="00C74AF7"/>
    <w:rsid w:val="00C74E25"/>
    <w:rsid w:val="00C759D8"/>
    <w:rsid w:val="00C75B01"/>
    <w:rsid w:val="00C77A43"/>
    <w:rsid w:val="00C80193"/>
    <w:rsid w:val="00C80245"/>
    <w:rsid w:val="00C815F4"/>
    <w:rsid w:val="00C82AED"/>
    <w:rsid w:val="00C82BCE"/>
    <w:rsid w:val="00C834EB"/>
    <w:rsid w:val="00C83F8E"/>
    <w:rsid w:val="00C87304"/>
    <w:rsid w:val="00C87C3C"/>
    <w:rsid w:val="00C9071C"/>
    <w:rsid w:val="00C90A6A"/>
    <w:rsid w:val="00C90C58"/>
    <w:rsid w:val="00C91309"/>
    <w:rsid w:val="00C917E3"/>
    <w:rsid w:val="00C92722"/>
    <w:rsid w:val="00C92EF2"/>
    <w:rsid w:val="00C93FC3"/>
    <w:rsid w:val="00C9475C"/>
    <w:rsid w:val="00C949F5"/>
    <w:rsid w:val="00C95273"/>
    <w:rsid w:val="00C9577F"/>
    <w:rsid w:val="00C9645B"/>
    <w:rsid w:val="00C967A2"/>
    <w:rsid w:val="00C96D84"/>
    <w:rsid w:val="00C97A44"/>
    <w:rsid w:val="00C97B48"/>
    <w:rsid w:val="00CA061F"/>
    <w:rsid w:val="00CA06B8"/>
    <w:rsid w:val="00CA1157"/>
    <w:rsid w:val="00CA1554"/>
    <w:rsid w:val="00CA1588"/>
    <w:rsid w:val="00CA182F"/>
    <w:rsid w:val="00CA1ABC"/>
    <w:rsid w:val="00CA236D"/>
    <w:rsid w:val="00CA2598"/>
    <w:rsid w:val="00CA2D0C"/>
    <w:rsid w:val="00CA3593"/>
    <w:rsid w:val="00CA4534"/>
    <w:rsid w:val="00CA4A6C"/>
    <w:rsid w:val="00CA5E2D"/>
    <w:rsid w:val="00CA5F69"/>
    <w:rsid w:val="00CA6405"/>
    <w:rsid w:val="00CA6846"/>
    <w:rsid w:val="00CA6BD8"/>
    <w:rsid w:val="00CA6E23"/>
    <w:rsid w:val="00CA70E2"/>
    <w:rsid w:val="00CA773C"/>
    <w:rsid w:val="00CA7A58"/>
    <w:rsid w:val="00CB079E"/>
    <w:rsid w:val="00CB0CB0"/>
    <w:rsid w:val="00CB0D90"/>
    <w:rsid w:val="00CB1860"/>
    <w:rsid w:val="00CB1C50"/>
    <w:rsid w:val="00CB1D89"/>
    <w:rsid w:val="00CB1E6E"/>
    <w:rsid w:val="00CB241E"/>
    <w:rsid w:val="00CB2630"/>
    <w:rsid w:val="00CB3C27"/>
    <w:rsid w:val="00CB4121"/>
    <w:rsid w:val="00CB463B"/>
    <w:rsid w:val="00CB46A2"/>
    <w:rsid w:val="00CB476B"/>
    <w:rsid w:val="00CB5162"/>
    <w:rsid w:val="00CB5283"/>
    <w:rsid w:val="00CB570F"/>
    <w:rsid w:val="00CB636D"/>
    <w:rsid w:val="00CC0B6D"/>
    <w:rsid w:val="00CC0BED"/>
    <w:rsid w:val="00CC0DC3"/>
    <w:rsid w:val="00CC12E0"/>
    <w:rsid w:val="00CC19F3"/>
    <w:rsid w:val="00CC23AF"/>
    <w:rsid w:val="00CC3350"/>
    <w:rsid w:val="00CC417E"/>
    <w:rsid w:val="00CC4F45"/>
    <w:rsid w:val="00CC7A86"/>
    <w:rsid w:val="00CD07E8"/>
    <w:rsid w:val="00CD0F71"/>
    <w:rsid w:val="00CD16E5"/>
    <w:rsid w:val="00CD1CF8"/>
    <w:rsid w:val="00CD1E71"/>
    <w:rsid w:val="00CD23F3"/>
    <w:rsid w:val="00CD269C"/>
    <w:rsid w:val="00CD32A9"/>
    <w:rsid w:val="00CD349D"/>
    <w:rsid w:val="00CD3A11"/>
    <w:rsid w:val="00CD43CB"/>
    <w:rsid w:val="00CD4662"/>
    <w:rsid w:val="00CD4847"/>
    <w:rsid w:val="00CD4EC1"/>
    <w:rsid w:val="00CD63EC"/>
    <w:rsid w:val="00CD7D18"/>
    <w:rsid w:val="00CE0066"/>
    <w:rsid w:val="00CE109D"/>
    <w:rsid w:val="00CE11DB"/>
    <w:rsid w:val="00CE2F69"/>
    <w:rsid w:val="00CE30D7"/>
    <w:rsid w:val="00CE36E3"/>
    <w:rsid w:val="00CE3A4E"/>
    <w:rsid w:val="00CE3C44"/>
    <w:rsid w:val="00CE463F"/>
    <w:rsid w:val="00CE47B1"/>
    <w:rsid w:val="00CE5323"/>
    <w:rsid w:val="00CE6118"/>
    <w:rsid w:val="00CE66A7"/>
    <w:rsid w:val="00CE6ED4"/>
    <w:rsid w:val="00CE719B"/>
    <w:rsid w:val="00CF0308"/>
    <w:rsid w:val="00CF1C13"/>
    <w:rsid w:val="00CF1DD1"/>
    <w:rsid w:val="00CF23E2"/>
    <w:rsid w:val="00CF2B08"/>
    <w:rsid w:val="00CF2BF7"/>
    <w:rsid w:val="00CF327B"/>
    <w:rsid w:val="00CF333E"/>
    <w:rsid w:val="00CF4743"/>
    <w:rsid w:val="00CF5588"/>
    <w:rsid w:val="00CF5E06"/>
    <w:rsid w:val="00CF74B3"/>
    <w:rsid w:val="00CF7F2E"/>
    <w:rsid w:val="00D003ED"/>
    <w:rsid w:val="00D00471"/>
    <w:rsid w:val="00D0054A"/>
    <w:rsid w:val="00D00F7A"/>
    <w:rsid w:val="00D01141"/>
    <w:rsid w:val="00D02482"/>
    <w:rsid w:val="00D0295C"/>
    <w:rsid w:val="00D029F5"/>
    <w:rsid w:val="00D033DC"/>
    <w:rsid w:val="00D04231"/>
    <w:rsid w:val="00D058FE"/>
    <w:rsid w:val="00D05ACF"/>
    <w:rsid w:val="00D06BB0"/>
    <w:rsid w:val="00D07612"/>
    <w:rsid w:val="00D12FC0"/>
    <w:rsid w:val="00D13291"/>
    <w:rsid w:val="00D13FE5"/>
    <w:rsid w:val="00D143D4"/>
    <w:rsid w:val="00D1483E"/>
    <w:rsid w:val="00D1591D"/>
    <w:rsid w:val="00D15F02"/>
    <w:rsid w:val="00D16DEF"/>
    <w:rsid w:val="00D17E97"/>
    <w:rsid w:val="00D17F63"/>
    <w:rsid w:val="00D20738"/>
    <w:rsid w:val="00D20E29"/>
    <w:rsid w:val="00D20FE0"/>
    <w:rsid w:val="00D2161E"/>
    <w:rsid w:val="00D21A8F"/>
    <w:rsid w:val="00D220C4"/>
    <w:rsid w:val="00D22D7D"/>
    <w:rsid w:val="00D23EE0"/>
    <w:rsid w:val="00D244F0"/>
    <w:rsid w:val="00D24505"/>
    <w:rsid w:val="00D24E76"/>
    <w:rsid w:val="00D24F75"/>
    <w:rsid w:val="00D26800"/>
    <w:rsid w:val="00D2692B"/>
    <w:rsid w:val="00D26AA2"/>
    <w:rsid w:val="00D26BF1"/>
    <w:rsid w:val="00D26FDE"/>
    <w:rsid w:val="00D273F6"/>
    <w:rsid w:val="00D2789F"/>
    <w:rsid w:val="00D30137"/>
    <w:rsid w:val="00D3032F"/>
    <w:rsid w:val="00D3043C"/>
    <w:rsid w:val="00D30D87"/>
    <w:rsid w:val="00D30EC9"/>
    <w:rsid w:val="00D32029"/>
    <w:rsid w:val="00D32066"/>
    <w:rsid w:val="00D321A8"/>
    <w:rsid w:val="00D326E4"/>
    <w:rsid w:val="00D32BD4"/>
    <w:rsid w:val="00D33354"/>
    <w:rsid w:val="00D33388"/>
    <w:rsid w:val="00D347A2"/>
    <w:rsid w:val="00D3533D"/>
    <w:rsid w:val="00D361A5"/>
    <w:rsid w:val="00D364F7"/>
    <w:rsid w:val="00D36D1F"/>
    <w:rsid w:val="00D37763"/>
    <w:rsid w:val="00D379F4"/>
    <w:rsid w:val="00D37CA0"/>
    <w:rsid w:val="00D404D7"/>
    <w:rsid w:val="00D408C4"/>
    <w:rsid w:val="00D40B68"/>
    <w:rsid w:val="00D412BC"/>
    <w:rsid w:val="00D4218C"/>
    <w:rsid w:val="00D423D5"/>
    <w:rsid w:val="00D4260E"/>
    <w:rsid w:val="00D4358E"/>
    <w:rsid w:val="00D438D6"/>
    <w:rsid w:val="00D43A6F"/>
    <w:rsid w:val="00D43E6B"/>
    <w:rsid w:val="00D440A9"/>
    <w:rsid w:val="00D44A63"/>
    <w:rsid w:val="00D44E23"/>
    <w:rsid w:val="00D45136"/>
    <w:rsid w:val="00D45298"/>
    <w:rsid w:val="00D46C61"/>
    <w:rsid w:val="00D475B0"/>
    <w:rsid w:val="00D50CEE"/>
    <w:rsid w:val="00D50E0D"/>
    <w:rsid w:val="00D511EE"/>
    <w:rsid w:val="00D51DC0"/>
    <w:rsid w:val="00D5234E"/>
    <w:rsid w:val="00D52422"/>
    <w:rsid w:val="00D5269A"/>
    <w:rsid w:val="00D527BC"/>
    <w:rsid w:val="00D53110"/>
    <w:rsid w:val="00D53F84"/>
    <w:rsid w:val="00D54173"/>
    <w:rsid w:val="00D54B8E"/>
    <w:rsid w:val="00D54D50"/>
    <w:rsid w:val="00D552BE"/>
    <w:rsid w:val="00D55363"/>
    <w:rsid w:val="00D55B13"/>
    <w:rsid w:val="00D55B6F"/>
    <w:rsid w:val="00D55C59"/>
    <w:rsid w:val="00D565A0"/>
    <w:rsid w:val="00D56968"/>
    <w:rsid w:val="00D56CC6"/>
    <w:rsid w:val="00D57974"/>
    <w:rsid w:val="00D57A0D"/>
    <w:rsid w:val="00D57A79"/>
    <w:rsid w:val="00D57E31"/>
    <w:rsid w:val="00D609FF"/>
    <w:rsid w:val="00D60CCD"/>
    <w:rsid w:val="00D60FB2"/>
    <w:rsid w:val="00D6124C"/>
    <w:rsid w:val="00D612A3"/>
    <w:rsid w:val="00D63554"/>
    <w:rsid w:val="00D63A25"/>
    <w:rsid w:val="00D63A36"/>
    <w:rsid w:val="00D63B32"/>
    <w:rsid w:val="00D64495"/>
    <w:rsid w:val="00D65862"/>
    <w:rsid w:val="00D65E7B"/>
    <w:rsid w:val="00D66BC6"/>
    <w:rsid w:val="00D67419"/>
    <w:rsid w:val="00D67FC7"/>
    <w:rsid w:val="00D70159"/>
    <w:rsid w:val="00D711D6"/>
    <w:rsid w:val="00D71B36"/>
    <w:rsid w:val="00D71C6C"/>
    <w:rsid w:val="00D7259D"/>
    <w:rsid w:val="00D72B64"/>
    <w:rsid w:val="00D74436"/>
    <w:rsid w:val="00D744B5"/>
    <w:rsid w:val="00D74633"/>
    <w:rsid w:val="00D74C8F"/>
    <w:rsid w:val="00D74FE1"/>
    <w:rsid w:val="00D755EB"/>
    <w:rsid w:val="00D763BB"/>
    <w:rsid w:val="00D76471"/>
    <w:rsid w:val="00D76800"/>
    <w:rsid w:val="00D800C7"/>
    <w:rsid w:val="00D81174"/>
    <w:rsid w:val="00D81379"/>
    <w:rsid w:val="00D81B5E"/>
    <w:rsid w:val="00D81E83"/>
    <w:rsid w:val="00D82A33"/>
    <w:rsid w:val="00D830F5"/>
    <w:rsid w:val="00D83538"/>
    <w:rsid w:val="00D84B78"/>
    <w:rsid w:val="00D85C05"/>
    <w:rsid w:val="00D85FD5"/>
    <w:rsid w:val="00D86D87"/>
    <w:rsid w:val="00D870EE"/>
    <w:rsid w:val="00D904D3"/>
    <w:rsid w:val="00D909BB"/>
    <w:rsid w:val="00D91C1C"/>
    <w:rsid w:val="00D92677"/>
    <w:rsid w:val="00D92CA2"/>
    <w:rsid w:val="00D93090"/>
    <w:rsid w:val="00D930C6"/>
    <w:rsid w:val="00D94091"/>
    <w:rsid w:val="00D94957"/>
    <w:rsid w:val="00D95180"/>
    <w:rsid w:val="00D9628E"/>
    <w:rsid w:val="00D96D48"/>
    <w:rsid w:val="00D974CD"/>
    <w:rsid w:val="00DA018B"/>
    <w:rsid w:val="00DA034F"/>
    <w:rsid w:val="00DA06D8"/>
    <w:rsid w:val="00DA0AA1"/>
    <w:rsid w:val="00DA1289"/>
    <w:rsid w:val="00DA1484"/>
    <w:rsid w:val="00DA19B6"/>
    <w:rsid w:val="00DA1EEF"/>
    <w:rsid w:val="00DA254E"/>
    <w:rsid w:val="00DA2F26"/>
    <w:rsid w:val="00DA3C64"/>
    <w:rsid w:val="00DA3DE4"/>
    <w:rsid w:val="00DA485E"/>
    <w:rsid w:val="00DA4B7D"/>
    <w:rsid w:val="00DA5A5F"/>
    <w:rsid w:val="00DA616D"/>
    <w:rsid w:val="00DA679B"/>
    <w:rsid w:val="00DA6B6F"/>
    <w:rsid w:val="00DA6FE6"/>
    <w:rsid w:val="00DA7B33"/>
    <w:rsid w:val="00DB03A1"/>
    <w:rsid w:val="00DB1D68"/>
    <w:rsid w:val="00DB2C29"/>
    <w:rsid w:val="00DB3E00"/>
    <w:rsid w:val="00DB3F28"/>
    <w:rsid w:val="00DB4851"/>
    <w:rsid w:val="00DB4D6B"/>
    <w:rsid w:val="00DB4FE5"/>
    <w:rsid w:val="00DB5293"/>
    <w:rsid w:val="00DB5350"/>
    <w:rsid w:val="00DB605A"/>
    <w:rsid w:val="00DB6275"/>
    <w:rsid w:val="00DB7753"/>
    <w:rsid w:val="00DB781E"/>
    <w:rsid w:val="00DB79C5"/>
    <w:rsid w:val="00DB7B3A"/>
    <w:rsid w:val="00DC0585"/>
    <w:rsid w:val="00DC0DDB"/>
    <w:rsid w:val="00DC1C24"/>
    <w:rsid w:val="00DC2086"/>
    <w:rsid w:val="00DC223E"/>
    <w:rsid w:val="00DC2605"/>
    <w:rsid w:val="00DC261D"/>
    <w:rsid w:val="00DC2D65"/>
    <w:rsid w:val="00DC311E"/>
    <w:rsid w:val="00DC3645"/>
    <w:rsid w:val="00DC3F0C"/>
    <w:rsid w:val="00DC4A56"/>
    <w:rsid w:val="00DC52A9"/>
    <w:rsid w:val="00DC54FF"/>
    <w:rsid w:val="00DC5715"/>
    <w:rsid w:val="00DC5DC1"/>
    <w:rsid w:val="00DC621C"/>
    <w:rsid w:val="00DC6930"/>
    <w:rsid w:val="00DC74C0"/>
    <w:rsid w:val="00DC767A"/>
    <w:rsid w:val="00DC7EA1"/>
    <w:rsid w:val="00DD2457"/>
    <w:rsid w:val="00DD2987"/>
    <w:rsid w:val="00DD2FB8"/>
    <w:rsid w:val="00DD3048"/>
    <w:rsid w:val="00DD3436"/>
    <w:rsid w:val="00DD3759"/>
    <w:rsid w:val="00DD404F"/>
    <w:rsid w:val="00DD5324"/>
    <w:rsid w:val="00DD5D53"/>
    <w:rsid w:val="00DD616A"/>
    <w:rsid w:val="00DD6E25"/>
    <w:rsid w:val="00DD7504"/>
    <w:rsid w:val="00DE0295"/>
    <w:rsid w:val="00DE0CD8"/>
    <w:rsid w:val="00DE0EB9"/>
    <w:rsid w:val="00DE14A5"/>
    <w:rsid w:val="00DE1D04"/>
    <w:rsid w:val="00DE1DFA"/>
    <w:rsid w:val="00DE2AF2"/>
    <w:rsid w:val="00DE2E0C"/>
    <w:rsid w:val="00DE306A"/>
    <w:rsid w:val="00DE35B5"/>
    <w:rsid w:val="00DE361B"/>
    <w:rsid w:val="00DE3849"/>
    <w:rsid w:val="00DE39D2"/>
    <w:rsid w:val="00DE4C88"/>
    <w:rsid w:val="00DE5493"/>
    <w:rsid w:val="00DE56A4"/>
    <w:rsid w:val="00DE60B0"/>
    <w:rsid w:val="00DE610E"/>
    <w:rsid w:val="00DE7300"/>
    <w:rsid w:val="00DE7D0B"/>
    <w:rsid w:val="00DF001C"/>
    <w:rsid w:val="00DF03AC"/>
    <w:rsid w:val="00DF0C75"/>
    <w:rsid w:val="00DF256B"/>
    <w:rsid w:val="00DF2A9A"/>
    <w:rsid w:val="00DF2D93"/>
    <w:rsid w:val="00DF3325"/>
    <w:rsid w:val="00DF3AA3"/>
    <w:rsid w:val="00DF3E9C"/>
    <w:rsid w:val="00DF3EAA"/>
    <w:rsid w:val="00DF56C8"/>
    <w:rsid w:val="00DF5903"/>
    <w:rsid w:val="00DF646B"/>
    <w:rsid w:val="00DF71A6"/>
    <w:rsid w:val="00DF7643"/>
    <w:rsid w:val="00DF770F"/>
    <w:rsid w:val="00DF7C45"/>
    <w:rsid w:val="00E000B8"/>
    <w:rsid w:val="00E00AB3"/>
    <w:rsid w:val="00E00B03"/>
    <w:rsid w:val="00E0138D"/>
    <w:rsid w:val="00E02428"/>
    <w:rsid w:val="00E049E5"/>
    <w:rsid w:val="00E05F55"/>
    <w:rsid w:val="00E07559"/>
    <w:rsid w:val="00E07FD9"/>
    <w:rsid w:val="00E10721"/>
    <w:rsid w:val="00E10904"/>
    <w:rsid w:val="00E109B3"/>
    <w:rsid w:val="00E10AEE"/>
    <w:rsid w:val="00E10CCC"/>
    <w:rsid w:val="00E1158B"/>
    <w:rsid w:val="00E1325F"/>
    <w:rsid w:val="00E1344B"/>
    <w:rsid w:val="00E134A3"/>
    <w:rsid w:val="00E13586"/>
    <w:rsid w:val="00E13FF3"/>
    <w:rsid w:val="00E140A5"/>
    <w:rsid w:val="00E14B0F"/>
    <w:rsid w:val="00E14E5C"/>
    <w:rsid w:val="00E15449"/>
    <w:rsid w:val="00E15774"/>
    <w:rsid w:val="00E169C0"/>
    <w:rsid w:val="00E16BA5"/>
    <w:rsid w:val="00E178A3"/>
    <w:rsid w:val="00E17EC4"/>
    <w:rsid w:val="00E20502"/>
    <w:rsid w:val="00E20877"/>
    <w:rsid w:val="00E20B85"/>
    <w:rsid w:val="00E20ECA"/>
    <w:rsid w:val="00E21B68"/>
    <w:rsid w:val="00E224B4"/>
    <w:rsid w:val="00E2260A"/>
    <w:rsid w:val="00E22D5B"/>
    <w:rsid w:val="00E23C3A"/>
    <w:rsid w:val="00E23D01"/>
    <w:rsid w:val="00E24ADB"/>
    <w:rsid w:val="00E24C3C"/>
    <w:rsid w:val="00E24D16"/>
    <w:rsid w:val="00E25F8A"/>
    <w:rsid w:val="00E261F5"/>
    <w:rsid w:val="00E262F5"/>
    <w:rsid w:val="00E264AA"/>
    <w:rsid w:val="00E26BC8"/>
    <w:rsid w:val="00E26C4D"/>
    <w:rsid w:val="00E2737F"/>
    <w:rsid w:val="00E27395"/>
    <w:rsid w:val="00E31410"/>
    <w:rsid w:val="00E31C3F"/>
    <w:rsid w:val="00E32B68"/>
    <w:rsid w:val="00E32C01"/>
    <w:rsid w:val="00E33387"/>
    <w:rsid w:val="00E33591"/>
    <w:rsid w:val="00E3417B"/>
    <w:rsid w:val="00E34BA0"/>
    <w:rsid w:val="00E34FEC"/>
    <w:rsid w:val="00E358A0"/>
    <w:rsid w:val="00E35BB7"/>
    <w:rsid w:val="00E36A38"/>
    <w:rsid w:val="00E36F18"/>
    <w:rsid w:val="00E3779D"/>
    <w:rsid w:val="00E37F09"/>
    <w:rsid w:val="00E404E6"/>
    <w:rsid w:val="00E4089A"/>
    <w:rsid w:val="00E4096C"/>
    <w:rsid w:val="00E41A56"/>
    <w:rsid w:val="00E4398F"/>
    <w:rsid w:val="00E443CB"/>
    <w:rsid w:val="00E44A4D"/>
    <w:rsid w:val="00E45F34"/>
    <w:rsid w:val="00E4647E"/>
    <w:rsid w:val="00E4653F"/>
    <w:rsid w:val="00E468F7"/>
    <w:rsid w:val="00E46A38"/>
    <w:rsid w:val="00E46E4D"/>
    <w:rsid w:val="00E50762"/>
    <w:rsid w:val="00E50DF7"/>
    <w:rsid w:val="00E51B96"/>
    <w:rsid w:val="00E51D23"/>
    <w:rsid w:val="00E51F6A"/>
    <w:rsid w:val="00E52198"/>
    <w:rsid w:val="00E52CD1"/>
    <w:rsid w:val="00E550FB"/>
    <w:rsid w:val="00E55535"/>
    <w:rsid w:val="00E55760"/>
    <w:rsid w:val="00E55953"/>
    <w:rsid w:val="00E55AED"/>
    <w:rsid w:val="00E566D8"/>
    <w:rsid w:val="00E56799"/>
    <w:rsid w:val="00E56DA0"/>
    <w:rsid w:val="00E57B33"/>
    <w:rsid w:val="00E57C7E"/>
    <w:rsid w:val="00E60ADF"/>
    <w:rsid w:val="00E6109D"/>
    <w:rsid w:val="00E61747"/>
    <w:rsid w:val="00E633A3"/>
    <w:rsid w:val="00E63826"/>
    <w:rsid w:val="00E641CD"/>
    <w:rsid w:val="00E641EE"/>
    <w:rsid w:val="00E64DBC"/>
    <w:rsid w:val="00E657FC"/>
    <w:rsid w:val="00E6621A"/>
    <w:rsid w:val="00E66445"/>
    <w:rsid w:val="00E66945"/>
    <w:rsid w:val="00E66F23"/>
    <w:rsid w:val="00E67336"/>
    <w:rsid w:val="00E673AC"/>
    <w:rsid w:val="00E7144A"/>
    <w:rsid w:val="00E71B30"/>
    <w:rsid w:val="00E71B60"/>
    <w:rsid w:val="00E71EE5"/>
    <w:rsid w:val="00E7236B"/>
    <w:rsid w:val="00E7373D"/>
    <w:rsid w:val="00E73B58"/>
    <w:rsid w:val="00E746E2"/>
    <w:rsid w:val="00E74A5E"/>
    <w:rsid w:val="00E7515D"/>
    <w:rsid w:val="00E752A0"/>
    <w:rsid w:val="00E752B0"/>
    <w:rsid w:val="00E75322"/>
    <w:rsid w:val="00E759BA"/>
    <w:rsid w:val="00E75CCF"/>
    <w:rsid w:val="00E75D25"/>
    <w:rsid w:val="00E76162"/>
    <w:rsid w:val="00E767F6"/>
    <w:rsid w:val="00E80357"/>
    <w:rsid w:val="00E803F8"/>
    <w:rsid w:val="00E809DC"/>
    <w:rsid w:val="00E81199"/>
    <w:rsid w:val="00E81EF7"/>
    <w:rsid w:val="00E821C5"/>
    <w:rsid w:val="00E824B8"/>
    <w:rsid w:val="00E82674"/>
    <w:rsid w:val="00E84461"/>
    <w:rsid w:val="00E8493D"/>
    <w:rsid w:val="00E84CC2"/>
    <w:rsid w:val="00E855E3"/>
    <w:rsid w:val="00E85FCB"/>
    <w:rsid w:val="00E863B6"/>
    <w:rsid w:val="00E865A2"/>
    <w:rsid w:val="00E86B1C"/>
    <w:rsid w:val="00E87461"/>
    <w:rsid w:val="00E877FA"/>
    <w:rsid w:val="00E8793F"/>
    <w:rsid w:val="00E87E92"/>
    <w:rsid w:val="00E87EFC"/>
    <w:rsid w:val="00E902B2"/>
    <w:rsid w:val="00E92362"/>
    <w:rsid w:val="00E93A34"/>
    <w:rsid w:val="00E94BA5"/>
    <w:rsid w:val="00E94DE0"/>
    <w:rsid w:val="00E950E4"/>
    <w:rsid w:val="00E95BBB"/>
    <w:rsid w:val="00E9691C"/>
    <w:rsid w:val="00E969E2"/>
    <w:rsid w:val="00E97C55"/>
    <w:rsid w:val="00E97F35"/>
    <w:rsid w:val="00EA0BA3"/>
    <w:rsid w:val="00EA1378"/>
    <w:rsid w:val="00EA3C93"/>
    <w:rsid w:val="00EA3FF6"/>
    <w:rsid w:val="00EA5E8F"/>
    <w:rsid w:val="00EA76D1"/>
    <w:rsid w:val="00EA7DAD"/>
    <w:rsid w:val="00EA7F51"/>
    <w:rsid w:val="00EB0146"/>
    <w:rsid w:val="00EB16A5"/>
    <w:rsid w:val="00EB173E"/>
    <w:rsid w:val="00EB1D29"/>
    <w:rsid w:val="00EB311C"/>
    <w:rsid w:val="00EB3B54"/>
    <w:rsid w:val="00EB4FB1"/>
    <w:rsid w:val="00EB61B1"/>
    <w:rsid w:val="00EB7580"/>
    <w:rsid w:val="00EB7781"/>
    <w:rsid w:val="00EB7E6B"/>
    <w:rsid w:val="00EC0035"/>
    <w:rsid w:val="00EC0334"/>
    <w:rsid w:val="00EC057B"/>
    <w:rsid w:val="00EC1CAA"/>
    <w:rsid w:val="00EC2C03"/>
    <w:rsid w:val="00EC304A"/>
    <w:rsid w:val="00EC34B4"/>
    <w:rsid w:val="00EC3C38"/>
    <w:rsid w:val="00EC4156"/>
    <w:rsid w:val="00EC4B25"/>
    <w:rsid w:val="00EC4BEB"/>
    <w:rsid w:val="00EC526F"/>
    <w:rsid w:val="00EC55E9"/>
    <w:rsid w:val="00EC6F9E"/>
    <w:rsid w:val="00EC75E0"/>
    <w:rsid w:val="00EC76AA"/>
    <w:rsid w:val="00EC76F0"/>
    <w:rsid w:val="00ED0374"/>
    <w:rsid w:val="00ED09B0"/>
    <w:rsid w:val="00ED0C4D"/>
    <w:rsid w:val="00ED1761"/>
    <w:rsid w:val="00ED1EC3"/>
    <w:rsid w:val="00ED22B3"/>
    <w:rsid w:val="00ED22F9"/>
    <w:rsid w:val="00ED35AD"/>
    <w:rsid w:val="00ED3A00"/>
    <w:rsid w:val="00ED3C6D"/>
    <w:rsid w:val="00ED4299"/>
    <w:rsid w:val="00ED55DD"/>
    <w:rsid w:val="00ED5B38"/>
    <w:rsid w:val="00ED6D09"/>
    <w:rsid w:val="00ED7780"/>
    <w:rsid w:val="00EE08E6"/>
    <w:rsid w:val="00EE181F"/>
    <w:rsid w:val="00EE19DF"/>
    <w:rsid w:val="00EE1B93"/>
    <w:rsid w:val="00EE1F93"/>
    <w:rsid w:val="00EE2587"/>
    <w:rsid w:val="00EE293B"/>
    <w:rsid w:val="00EE30FD"/>
    <w:rsid w:val="00EE3132"/>
    <w:rsid w:val="00EE3B56"/>
    <w:rsid w:val="00EE4532"/>
    <w:rsid w:val="00EE48C6"/>
    <w:rsid w:val="00EE4918"/>
    <w:rsid w:val="00EE4CBA"/>
    <w:rsid w:val="00EE59EA"/>
    <w:rsid w:val="00EE60D1"/>
    <w:rsid w:val="00EE6587"/>
    <w:rsid w:val="00EE7357"/>
    <w:rsid w:val="00EE77F5"/>
    <w:rsid w:val="00EE7BB1"/>
    <w:rsid w:val="00EF046A"/>
    <w:rsid w:val="00EF0FEB"/>
    <w:rsid w:val="00EF13BA"/>
    <w:rsid w:val="00EF1F49"/>
    <w:rsid w:val="00EF2101"/>
    <w:rsid w:val="00EF23EB"/>
    <w:rsid w:val="00EF2F76"/>
    <w:rsid w:val="00EF3189"/>
    <w:rsid w:val="00EF3DA4"/>
    <w:rsid w:val="00EF478B"/>
    <w:rsid w:val="00EF4CBC"/>
    <w:rsid w:val="00EF5739"/>
    <w:rsid w:val="00EF5C67"/>
    <w:rsid w:val="00EF64E2"/>
    <w:rsid w:val="00EF6B96"/>
    <w:rsid w:val="00EF6BFF"/>
    <w:rsid w:val="00EF6CA2"/>
    <w:rsid w:val="00EF7013"/>
    <w:rsid w:val="00EF7234"/>
    <w:rsid w:val="00EF7BB9"/>
    <w:rsid w:val="00EF7E1C"/>
    <w:rsid w:val="00EF7FDC"/>
    <w:rsid w:val="00F0055E"/>
    <w:rsid w:val="00F013B4"/>
    <w:rsid w:val="00F02495"/>
    <w:rsid w:val="00F02696"/>
    <w:rsid w:val="00F02CBC"/>
    <w:rsid w:val="00F02D7E"/>
    <w:rsid w:val="00F033C7"/>
    <w:rsid w:val="00F03DFB"/>
    <w:rsid w:val="00F05164"/>
    <w:rsid w:val="00F05203"/>
    <w:rsid w:val="00F056D5"/>
    <w:rsid w:val="00F056FC"/>
    <w:rsid w:val="00F06675"/>
    <w:rsid w:val="00F06932"/>
    <w:rsid w:val="00F06D3B"/>
    <w:rsid w:val="00F06F16"/>
    <w:rsid w:val="00F07062"/>
    <w:rsid w:val="00F07568"/>
    <w:rsid w:val="00F07B20"/>
    <w:rsid w:val="00F10EEB"/>
    <w:rsid w:val="00F113A4"/>
    <w:rsid w:val="00F1219C"/>
    <w:rsid w:val="00F12631"/>
    <w:rsid w:val="00F12D45"/>
    <w:rsid w:val="00F135D6"/>
    <w:rsid w:val="00F13657"/>
    <w:rsid w:val="00F139EF"/>
    <w:rsid w:val="00F13EF3"/>
    <w:rsid w:val="00F15291"/>
    <w:rsid w:val="00F153A4"/>
    <w:rsid w:val="00F155B5"/>
    <w:rsid w:val="00F16193"/>
    <w:rsid w:val="00F1665B"/>
    <w:rsid w:val="00F202B2"/>
    <w:rsid w:val="00F20F3D"/>
    <w:rsid w:val="00F213EE"/>
    <w:rsid w:val="00F218B2"/>
    <w:rsid w:val="00F224C6"/>
    <w:rsid w:val="00F232AF"/>
    <w:rsid w:val="00F235A9"/>
    <w:rsid w:val="00F25F82"/>
    <w:rsid w:val="00F260B2"/>
    <w:rsid w:val="00F26FC8"/>
    <w:rsid w:val="00F30917"/>
    <w:rsid w:val="00F31359"/>
    <w:rsid w:val="00F31540"/>
    <w:rsid w:val="00F32AE8"/>
    <w:rsid w:val="00F32C42"/>
    <w:rsid w:val="00F347A6"/>
    <w:rsid w:val="00F35197"/>
    <w:rsid w:val="00F364C1"/>
    <w:rsid w:val="00F367D4"/>
    <w:rsid w:val="00F369B8"/>
    <w:rsid w:val="00F36FB3"/>
    <w:rsid w:val="00F40BBE"/>
    <w:rsid w:val="00F40F4E"/>
    <w:rsid w:val="00F41899"/>
    <w:rsid w:val="00F42BFF"/>
    <w:rsid w:val="00F4339B"/>
    <w:rsid w:val="00F43D6B"/>
    <w:rsid w:val="00F43F57"/>
    <w:rsid w:val="00F44047"/>
    <w:rsid w:val="00F4449B"/>
    <w:rsid w:val="00F445AC"/>
    <w:rsid w:val="00F445F6"/>
    <w:rsid w:val="00F44AF8"/>
    <w:rsid w:val="00F452B7"/>
    <w:rsid w:val="00F459B6"/>
    <w:rsid w:val="00F45F3F"/>
    <w:rsid w:val="00F4762F"/>
    <w:rsid w:val="00F47A5E"/>
    <w:rsid w:val="00F501D4"/>
    <w:rsid w:val="00F51997"/>
    <w:rsid w:val="00F51CBE"/>
    <w:rsid w:val="00F52988"/>
    <w:rsid w:val="00F52C05"/>
    <w:rsid w:val="00F52C5D"/>
    <w:rsid w:val="00F532E9"/>
    <w:rsid w:val="00F5331F"/>
    <w:rsid w:val="00F53484"/>
    <w:rsid w:val="00F53AD4"/>
    <w:rsid w:val="00F550BB"/>
    <w:rsid w:val="00F55AA8"/>
    <w:rsid w:val="00F56624"/>
    <w:rsid w:val="00F57155"/>
    <w:rsid w:val="00F572AE"/>
    <w:rsid w:val="00F60227"/>
    <w:rsid w:val="00F609A3"/>
    <w:rsid w:val="00F60E60"/>
    <w:rsid w:val="00F60F5C"/>
    <w:rsid w:val="00F610EE"/>
    <w:rsid w:val="00F61148"/>
    <w:rsid w:val="00F613E3"/>
    <w:rsid w:val="00F62025"/>
    <w:rsid w:val="00F6214C"/>
    <w:rsid w:val="00F621DC"/>
    <w:rsid w:val="00F62CD7"/>
    <w:rsid w:val="00F63E0C"/>
    <w:rsid w:val="00F64F60"/>
    <w:rsid w:val="00F651ED"/>
    <w:rsid w:val="00F65BE7"/>
    <w:rsid w:val="00F66482"/>
    <w:rsid w:val="00F66E35"/>
    <w:rsid w:val="00F6710E"/>
    <w:rsid w:val="00F677C8"/>
    <w:rsid w:val="00F70F66"/>
    <w:rsid w:val="00F733F5"/>
    <w:rsid w:val="00F73D99"/>
    <w:rsid w:val="00F75415"/>
    <w:rsid w:val="00F75A9C"/>
    <w:rsid w:val="00F75BBD"/>
    <w:rsid w:val="00F75F00"/>
    <w:rsid w:val="00F76372"/>
    <w:rsid w:val="00F76AE0"/>
    <w:rsid w:val="00F76AFD"/>
    <w:rsid w:val="00F77161"/>
    <w:rsid w:val="00F77179"/>
    <w:rsid w:val="00F7789A"/>
    <w:rsid w:val="00F77C59"/>
    <w:rsid w:val="00F80051"/>
    <w:rsid w:val="00F8028D"/>
    <w:rsid w:val="00F80B43"/>
    <w:rsid w:val="00F81489"/>
    <w:rsid w:val="00F81F86"/>
    <w:rsid w:val="00F81FB5"/>
    <w:rsid w:val="00F82619"/>
    <w:rsid w:val="00F82756"/>
    <w:rsid w:val="00F83C5B"/>
    <w:rsid w:val="00F84D8D"/>
    <w:rsid w:val="00F856A5"/>
    <w:rsid w:val="00F857FA"/>
    <w:rsid w:val="00F86FFB"/>
    <w:rsid w:val="00F871AD"/>
    <w:rsid w:val="00F87356"/>
    <w:rsid w:val="00F8759E"/>
    <w:rsid w:val="00F900E9"/>
    <w:rsid w:val="00F9020D"/>
    <w:rsid w:val="00F90523"/>
    <w:rsid w:val="00F90AD6"/>
    <w:rsid w:val="00F90CF2"/>
    <w:rsid w:val="00F9153B"/>
    <w:rsid w:val="00F9196D"/>
    <w:rsid w:val="00F92848"/>
    <w:rsid w:val="00F941DF"/>
    <w:rsid w:val="00F9452B"/>
    <w:rsid w:val="00F950AC"/>
    <w:rsid w:val="00F951A8"/>
    <w:rsid w:val="00F951EE"/>
    <w:rsid w:val="00F95EE8"/>
    <w:rsid w:val="00F96143"/>
    <w:rsid w:val="00F968A1"/>
    <w:rsid w:val="00F96C0C"/>
    <w:rsid w:val="00F96CDE"/>
    <w:rsid w:val="00F96DAC"/>
    <w:rsid w:val="00F97D9B"/>
    <w:rsid w:val="00F97E3B"/>
    <w:rsid w:val="00FA0966"/>
    <w:rsid w:val="00FA1B11"/>
    <w:rsid w:val="00FA2695"/>
    <w:rsid w:val="00FA2E07"/>
    <w:rsid w:val="00FA33B2"/>
    <w:rsid w:val="00FA3A01"/>
    <w:rsid w:val="00FA45FA"/>
    <w:rsid w:val="00FA4CA2"/>
    <w:rsid w:val="00FA5885"/>
    <w:rsid w:val="00FA5C11"/>
    <w:rsid w:val="00FA6F66"/>
    <w:rsid w:val="00FA7156"/>
    <w:rsid w:val="00FA71B6"/>
    <w:rsid w:val="00FA71D7"/>
    <w:rsid w:val="00FA788E"/>
    <w:rsid w:val="00FA7D98"/>
    <w:rsid w:val="00FB018E"/>
    <w:rsid w:val="00FB0997"/>
    <w:rsid w:val="00FB2BC0"/>
    <w:rsid w:val="00FB3181"/>
    <w:rsid w:val="00FB689A"/>
    <w:rsid w:val="00FB6ED7"/>
    <w:rsid w:val="00FC0036"/>
    <w:rsid w:val="00FC032E"/>
    <w:rsid w:val="00FC1759"/>
    <w:rsid w:val="00FC3364"/>
    <w:rsid w:val="00FC364B"/>
    <w:rsid w:val="00FC3D1F"/>
    <w:rsid w:val="00FC3E78"/>
    <w:rsid w:val="00FC4447"/>
    <w:rsid w:val="00FC563D"/>
    <w:rsid w:val="00FC66C0"/>
    <w:rsid w:val="00FC66F4"/>
    <w:rsid w:val="00FC6D59"/>
    <w:rsid w:val="00FC729B"/>
    <w:rsid w:val="00FD00EE"/>
    <w:rsid w:val="00FD05ED"/>
    <w:rsid w:val="00FD0A29"/>
    <w:rsid w:val="00FD0D61"/>
    <w:rsid w:val="00FD136F"/>
    <w:rsid w:val="00FD2DF5"/>
    <w:rsid w:val="00FD3677"/>
    <w:rsid w:val="00FD371F"/>
    <w:rsid w:val="00FD3DEE"/>
    <w:rsid w:val="00FD4036"/>
    <w:rsid w:val="00FD44E4"/>
    <w:rsid w:val="00FD48BA"/>
    <w:rsid w:val="00FD4B4E"/>
    <w:rsid w:val="00FD511D"/>
    <w:rsid w:val="00FD6D1B"/>
    <w:rsid w:val="00FD6E73"/>
    <w:rsid w:val="00FD7BE2"/>
    <w:rsid w:val="00FD7CC4"/>
    <w:rsid w:val="00FD7DC9"/>
    <w:rsid w:val="00FD7E34"/>
    <w:rsid w:val="00FE001A"/>
    <w:rsid w:val="00FE0326"/>
    <w:rsid w:val="00FE072D"/>
    <w:rsid w:val="00FE1098"/>
    <w:rsid w:val="00FE20FE"/>
    <w:rsid w:val="00FE26AE"/>
    <w:rsid w:val="00FE2C31"/>
    <w:rsid w:val="00FE3417"/>
    <w:rsid w:val="00FE3A4F"/>
    <w:rsid w:val="00FE43D2"/>
    <w:rsid w:val="00FE4F17"/>
    <w:rsid w:val="00FE6181"/>
    <w:rsid w:val="00FE6B8A"/>
    <w:rsid w:val="00FE6C74"/>
    <w:rsid w:val="00FE7673"/>
    <w:rsid w:val="00FE7DA8"/>
    <w:rsid w:val="00FF044D"/>
    <w:rsid w:val="00FF0CF7"/>
    <w:rsid w:val="00FF11C0"/>
    <w:rsid w:val="00FF137C"/>
    <w:rsid w:val="00FF1C95"/>
    <w:rsid w:val="00FF2384"/>
    <w:rsid w:val="00FF2680"/>
    <w:rsid w:val="00FF2D48"/>
    <w:rsid w:val="00FF405C"/>
    <w:rsid w:val="00FF42E3"/>
    <w:rsid w:val="00FF47F4"/>
    <w:rsid w:val="00FF609F"/>
    <w:rsid w:val="00FF65D9"/>
    <w:rsid w:val="01106488"/>
    <w:rsid w:val="011A05C5"/>
    <w:rsid w:val="01280AA9"/>
    <w:rsid w:val="01390BCC"/>
    <w:rsid w:val="013C2EEF"/>
    <w:rsid w:val="01656F76"/>
    <w:rsid w:val="01663DAD"/>
    <w:rsid w:val="019365E7"/>
    <w:rsid w:val="019D52B5"/>
    <w:rsid w:val="019F0C86"/>
    <w:rsid w:val="01A12414"/>
    <w:rsid w:val="01A23234"/>
    <w:rsid w:val="01C3084F"/>
    <w:rsid w:val="01FB4B43"/>
    <w:rsid w:val="020453CD"/>
    <w:rsid w:val="02084E3D"/>
    <w:rsid w:val="020D4B92"/>
    <w:rsid w:val="022252BE"/>
    <w:rsid w:val="02266F9A"/>
    <w:rsid w:val="022C6820"/>
    <w:rsid w:val="0236331F"/>
    <w:rsid w:val="02956E07"/>
    <w:rsid w:val="02967CF8"/>
    <w:rsid w:val="029A7D90"/>
    <w:rsid w:val="02B41EEC"/>
    <w:rsid w:val="02B85D09"/>
    <w:rsid w:val="02C57DC4"/>
    <w:rsid w:val="02DF6023"/>
    <w:rsid w:val="02E906F3"/>
    <w:rsid w:val="02FE5BF6"/>
    <w:rsid w:val="03052A98"/>
    <w:rsid w:val="030B7C15"/>
    <w:rsid w:val="032906DA"/>
    <w:rsid w:val="032F2660"/>
    <w:rsid w:val="03371E07"/>
    <w:rsid w:val="03384C80"/>
    <w:rsid w:val="03875252"/>
    <w:rsid w:val="039B115D"/>
    <w:rsid w:val="03A721DC"/>
    <w:rsid w:val="03B052C6"/>
    <w:rsid w:val="03B05442"/>
    <w:rsid w:val="03D86091"/>
    <w:rsid w:val="03DF62F0"/>
    <w:rsid w:val="03E604E2"/>
    <w:rsid w:val="03E61515"/>
    <w:rsid w:val="03F243B1"/>
    <w:rsid w:val="03F365AC"/>
    <w:rsid w:val="03F90E3D"/>
    <w:rsid w:val="041403BA"/>
    <w:rsid w:val="04157886"/>
    <w:rsid w:val="041651F4"/>
    <w:rsid w:val="04175534"/>
    <w:rsid w:val="04344424"/>
    <w:rsid w:val="04356D2A"/>
    <w:rsid w:val="04431935"/>
    <w:rsid w:val="0444443B"/>
    <w:rsid w:val="045E22C0"/>
    <w:rsid w:val="049E61D4"/>
    <w:rsid w:val="04B93E11"/>
    <w:rsid w:val="050436A6"/>
    <w:rsid w:val="05053ED6"/>
    <w:rsid w:val="05155B5E"/>
    <w:rsid w:val="05177476"/>
    <w:rsid w:val="0527262E"/>
    <w:rsid w:val="05283CCC"/>
    <w:rsid w:val="052F5A8F"/>
    <w:rsid w:val="05334854"/>
    <w:rsid w:val="05484F3C"/>
    <w:rsid w:val="054E0EAE"/>
    <w:rsid w:val="056A33B7"/>
    <w:rsid w:val="057533E4"/>
    <w:rsid w:val="057A25D9"/>
    <w:rsid w:val="058D5C23"/>
    <w:rsid w:val="059B0C60"/>
    <w:rsid w:val="05AB16B8"/>
    <w:rsid w:val="05AF283D"/>
    <w:rsid w:val="05B46222"/>
    <w:rsid w:val="05B94E90"/>
    <w:rsid w:val="05D42E09"/>
    <w:rsid w:val="05D91FC4"/>
    <w:rsid w:val="05F72754"/>
    <w:rsid w:val="05FB288A"/>
    <w:rsid w:val="05FD057E"/>
    <w:rsid w:val="06085D07"/>
    <w:rsid w:val="060B282B"/>
    <w:rsid w:val="060B7D65"/>
    <w:rsid w:val="06105F7D"/>
    <w:rsid w:val="063938BD"/>
    <w:rsid w:val="06476D3B"/>
    <w:rsid w:val="065B19FB"/>
    <w:rsid w:val="066029F0"/>
    <w:rsid w:val="06604C29"/>
    <w:rsid w:val="06743B42"/>
    <w:rsid w:val="068706F7"/>
    <w:rsid w:val="069C40D7"/>
    <w:rsid w:val="06A564FA"/>
    <w:rsid w:val="06B331C3"/>
    <w:rsid w:val="06C35822"/>
    <w:rsid w:val="06C84714"/>
    <w:rsid w:val="06DE2C27"/>
    <w:rsid w:val="06EC23B0"/>
    <w:rsid w:val="06EF2927"/>
    <w:rsid w:val="06FB1F80"/>
    <w:rsid w:val="07075CF4"/>
    <w:rsid w:val="07085184"/>
    <w:rsid w:val="0719447E"/>
    <w:rsid w:val="07374A4A"/>
    <w:rsid w:val="073A1B28"/>
    <w:rsid w:val="073B1713"/>
    <w:rsid w:val="07504935"/>
    <w:rsid w:val="075B4534"/>
    <w:rsid w:val="076F2D6C"/>
    <w:rsid w:val="0778780E"/>
    <w:rsid w:val="077F75C8"/>
    <w:rsid w:val="07965CA4"/>
    <w:rsid w:val="07A07B25"/>
    <w:rsid w:val="07B14201"/>
    <w:rsid w:val="07C359B5"/>
    <w:rsid w:val="07C47F9D"/>
    <w:rsid w:val="07C946F3"/>
    <w:rsid w:val="07C97C4F"/>
    <w:rsid w:val="07D4093C"/>
    <w:rsid w:val="07D704E4"/>
    <w:rsid w:val="080538A6"/>
    <w:rsid w:val="082118A9"/>
    <w:rsid w:val="08537A14"/>
    <w:rsid w:val="087F106F"/>
    <w:rsid w:val="08892439"/>
    <w:rsid w:val="088A5CF3"/>
    <w:rsid w:val="089306B2"/>
    <w:rsid w:val="08A67BC0"/>
    <w:rsid w:val="08AC49F1"/>
    <w:rsid w:val="08B51480"/>
    <w:rsid w:val="08BD50EF"/>
    <w:rsid w:val="08DC107C"/>
    <w:rsid w:val="08DF096B"/>
    <w:rsid w:val="08F40E93"/>
    <w:rsid w:val="08F875BE"/>
    <w:rsid w:val="08FD352A"/>
    <w:rsid w:val="09117D53"/>
    <w:rsid w:val="09155D57"/>
    <w:rsid w:val="09284352"/>
    <w:rsid w:val="09405309"/>
    <w:rsid w:val="09420081"/>
    <w:rsid w:val="09461971"/>
    <w:rsid w:val="095A1B0F"/>
    <w:rsid w:val="09687D27"/>
    <w:rsid w:val="096E4FCE"/>
    <w:rsid w:val="097924AD"/>
    <w:rsid w:val="097D77B9"/>
    <w:rsid w:val="098B76B2"/>
    <w:rsid w:val="09944730"/>
    <w:rsid w:val="099E279A"/>
    <w:rsid w:val="09AD3DB5"/>
    <w:rsid w:val="09AF2DDC"/>
    <w:rsid w:val="09B710B1"/>
    <w:rsid w:val="09C7515D"/>
    <w:rsid w:val="09CC7573"/>
    <w:rsid w:val="09CD0A4B"/>
    <w:rsid w:val="09F121FB"/>
    <w:rsid w:val="09FB072A"/>
    <w:rsid w:val="0A145522"/>
    <w:rsid w:val="0A173FAF"/>
    <w:rsid w:val="0A1C2D18"/>
    <w:rsid w:val="0A2914EB"/>
    <w:rsid w:val="0A387D99"/>
    <w:rsid w:val="0A394348"/>
    <w:rsid w:val="0A473388"/>
    <w:rsid w:val="0A4E1AAF"/>
    <w:rsid w:val="0A562CEE"/>
    <w:rsid w:val="0A5A606F"/>
    <w:rsid w:val="0A682522"/>
    <w:rsid w:val="0A801619"/>
    <w:rsid w:val="0A8D48ED"/>
    <w:rsid w:val="0A8F1E29"/>
    <w:rsid w:val="0A9F37DF"/>
    <w:rsid w:val="0ABB2890"/>
    <w:rsid w:val="0AE20750"/>
    <w:rsid w:val="0B0803FE"/>
    <w:rsid w:val="0B121AF7"/>
    <w:rsid w:val="0B154424"/>
    <w:rsid w:val="0B1C054B"/>
    <w:rsid w:val="0B2406FA"/>
    <w:rsid w:val="0B262745"/>
    <w:rsid w:val="0B2C09F5"/>
    <w:rsid w:val="0B48388C"/>
    <w:rsid w:val="0B6264CB"/>
    <w:rsid w:val="0B637629"/>
    <w:rsid w:val="0B690C61"/>
    <w:rsid w:val="0B6B5BF1"/>
    <w:rsid w:val="0B6F6B22"/>
    <w:rsid w:val="0B831C56"/>
    <w:rsid w:val="0BB208E3"/>
    <w:rsid w:val="0BCC68C0"/>
    <w:rsid w:val="0BD11411"/>
    <w:rsid w:val="0BE54FD0"/>
    <w:rsid w:val="0BED0EAE"/>
    <w:rsid w:val="0C033352"/>
    <w:rsid w:val="0C0F5BF3"/>
    <w:rsid w:val="0C0F6130"/>
    <w:rsid w:val="0C2855BF"/>
    <w:rsid w:val="0C33114B"/>
    <w:rsid w:val="0C5E4111"/>
    <w:rsid w:val="0C6F25C5"/>
    <w:rsid w:val="0C8C56A3"/>
    <w:rsid w:val="0C8D4B16"/>
    <w:rsid w:val="0CA12340"/>
    <w:rsid w:val="0CA65F37"/>
    <w:rsid w:val="0CB62AE1"/>
    <w:rsid w:val="0CD41010"/>
    <w:rsid w:val="0CE147DD"/>
    <w:rsid w:val="0CE96159"/>
    <w:rsid w:val="0CEA58D0"/>
    <w:rsid w:val="0D055BB6"/>
    <w:rsid w:val="0D1223A6"/>
    <w:rsid w:val="0D2A7B20"/>
    <w:rsid w:val="0D2D060A"/>
    <w:rsid w:val="0D3D1FC5"/>
    <w:rsid w:val="0D46284F"/>
    <w:rsid w:val="0D46553C"/>
    <w:rsid w:val="0D551591"/>
    <w:rsid w:val="0D79535E"/>
    <w:rsid w:val="0D7B61C3"/>
    <w:rsid w:val="0D816497"/>
    <w:rsid w:val="0D936B00"/>
    <w:rsid w:val="0DB26286"/>
    <w:rsid w:val="0DC04756"/>
    <w:rsid w:val="0DD52111"/>
    <w:rsid w:val="0DE20414"/>
    <w:rsid w:val="0DF44025"/>
    <w:rsid w:val="0DF9065A"/>
    <w:rsid w:val="0E035544"/>
    <w:rsid w:val="0E1048CA"/>
    <w:rsid w:val="0E110C47"/>
    <w:rsid w:val="0E2E3B6C"/>
    <w:rsid w:val="0E2E6AF4"/>
    <w:rsid w:val="0E38434E"/>
    <w:rsid w:val="0E3966AF"/>
    <w:rsid w:val="0E3D4452"/>
    <w:rsid w:val="0E534B5D"/>
    <w:rsid w:val="0E751877"/>
    <w:rsid w:val="0E90158D"/>
    <w:rsid w:val="0E990EFC"/>
    <w:rsid w:val="0E9E6884"/>
    <w:rsid w:val="0ECE128D"/>
    <w:rsid w:val="0EDC26F7"/>
    <w:rsid w:val="0EEE4A03"/>
    <w:rsid w:val="0EEE59BC"/>
    <w:rsid w:val="0F225AA5"/>
    <w:rsid w:val="0F234672"/>
    <w:rsid w:val="0F3139F2"/>
    <w:rsid w:val="0F335C0E"/>
    <w:rsid w:val="0F4265E1"/>
    <w:rsid w:val="0F647490"/>
    <w:rsid w:val="0F650F1E"/>
    <w:rsid w:val="0F6A36E5"/>
    <w:rsid w:val="0F7C00D4"/>
    <w:rsid w:val="0F941CD9"/>
    <w:rsid w:val="0F9E01DE"/>
    <w:rsid w:val="0FAF3531"/>
    <w:rsid w:val="0FBC60EE"/>
    <w:rsid w:val="0FC027E3"/>
    <w:rsid w:val="10042B02"/>
    <w:rsid w:val="102F2FD3"/>
    <w:rsid w:val="103609B8"/>
    <w:rsid w:val="1036205E"/>
    <w:rsid w:val="1039568E"/>
    <w:rsid w:val="10534C19"/>
    <w:rsid w:val="107A12CC"/>
    <w:rsid w:val="1086297E"/>
    <w:rsid w:val="10976819"/>
    <w:rsid w:val="109A0CB0"/>
    <w:rsid w:val="109B6E20"/>
    <w:rsid w:val="10A13BEC"/>
    <w:rsid w:val="10B2311E"/>
    <w:rsid w:val="10C221BE"/>
    <w:rsid w:val="10C2425C"/>
    <w:rsid w:val="10DB68B2"/>
    <w:rsid w:val="10E41224"/>
    <w:rsid w:val="10EA6C68"/>
    <w:rsid w:val="10F2402E"/>
    <w:rsid w:val="112A1443"/>
    <w:rsid w:val="112E04F2"/>
    <w:rsid w:val="113D44A9"/>
    <w:rsid w:val="114D2DA1"/>
    <w:rsid w:val="11526C63"/>
    <w:rsid w:val="115306A9"/>
    <w:rsid w:val="11533622"/>
    <w:rsid w:val="115355CF"/>
    <w:rsid w:val="116967CE"/>
    <w:rsid w:val="116A0359"/>
    <w:rsid w:val="117E17B3"/>
    <w:rsid w:val="118B4626"/>
    <w:rsid w:val="118C26C9"/>
    <w:rsid w:val="11923946"/>
    <w:rsid w:val="119C4FDA"/>
    <w:rsid w:val="11A415F4"/>
    <w:rsid w:val="11AA3D76"/>
    <w:rsid w:val="11CE710E"/>
    <w:rsid w:val="11D45E68"/>
    <w:rsid w:val="11DC50D2"/>
    <w:rsid w:val="11EA3A9A"/>
    <w:rsid w:val="11EB5881"/>
    <w:rsid w:val="11F46E36"/>
    <w:rsid w:val="11F60E04"/>
    <w:rsid w:val="120C11DB"/>
    <w:rsid w:val="121C64DF"/>
    <w:rsid w:val="1236785B"/>
    <w:rsid w:val="12382831"/>
    <w:rsid w:val="12401E50"/>
    <w:rsid w:val="12410220"/>
    <w:rsid w:val="12435644"/>
    <w:rsid w:val="125132F4"/>
    <w:rsid w:val="1261186E"/>
    <w:rsid w:val="127D4D1A"/>
    <w:rsid w:val="128A6101"/>
    <w:rsid w:val="129F2D09"/>
    <w:rsid w:val="12A6460D"/>
    <w:rsid w:val="12A733BE"/>
    <w:rsid w:val="12D04670"/>
    <w:rsid w:val="12E017EF"/>
    <w:rsid w:val="12E91FF1"/>
    <w:rsid w:val="12F254CA"/>
    <w:rsid w:val="12F95229"/>
    <w:rsid w:val="131468C9"/>
    <w:rsid w:val="133404CB"/>
    <w:rsid w:val="13390ABC"/>
    <w:rsid w:val="134641E4"/>
    <w:rsid w:val="13474DA3"/>
    <w:rsid w:val="134E00F5"/>
    <w:rsid w:val="13652B6D"/>
    <w:rsid w:val="13793A4D"/>
    <w:rsid w:val="137C714A"/>
    <w:rsid w:val="13891611"/>
    <w:rsid w:val="139E7958"/>
    <w:rsid w:val="13A2275F"/>
    <w:rsid w:val="13A668F7"/>
    <w:rsid w:val="13BC5E50"/>
    <w:rsid w:val="13C64508"/>
    <w:rsid w:val="13D35B25"/>
    <w:rsid w:val="13D4424C"/>
    <w:rsid w:val="13E55317"/>
    <w:rsid w:val="14196300"/>
    <w:rsid w:val="144456AD"/>
    <w:rsid w:val="144778FA"/>
    <w:rsid w:val="147F12AA"/>
    <w:rsid w:val="14825253"/>
    <w:rsid w:val="14826154"/>
    <w:rsid w:val="1494044C"/>
    <w:rsid w:val="14A269F4"/>
    <w:rsid w:val="14A363CD"/>
    <w:rsid w:val="14B548AE"/>
    <w:rsid w:val="14CC2FF3"/>
    <w:rsid w:val="14D77D24"/>
    <w:rsid w:val="14DE6402"/>
    <w:rsid w:val="14E22CB8"/>
    <w:rsid w:val="14E73E2A"/>
    <w:rsid w:val="14E90351"/>
    <w:rsid w:val="14FB5D6C"/>
    <w:rsid w:val="150247AF"/>
    <w:rsid w:val="151A306C"/>
    <w:rsid w:val="151C3D6B"/>
    <w:rsid w:val="15216CF1"/>
    <w:rsid w:val="154957B5"/>
    <w:rsid w:val="155C617D"/>
    <w:rsid w:val="155F54BD"/>
    <w:rsid w:val="156E6CB3"/>
    <w:rsid w:val="15832BFD"/>
    <w:rsid w:val="158339A3"/>
    <w:rsid w:val="158D290B"/>
    <w:rsid w:val="158F2B2B"/>
    <w:rsid w:val="159452AF"/>
    <w:rsid w:val="15A9179B"/>
    <w:rsid w:val="15B66A01"/>
    <w:rsid w:val="15BC4D4E"/>
    <w:rsid w:val="15BE479A"/>
    <w:rsid w:val="15C03419"/>
    <w:rsid w:val="15DE6AF5"/>
    <w:rsid w:val="15E355A4"/>
    <w:rsid w:val="163D0E48"/>
    <w:rsid w:val="164B047C"/>
    <w:rsid w:val="1652142E"/>
    <w:rsid w:val="165268E1"/>
    <w:rsid w:val="165D2A95"/>
    <w:rsid w:val="16675CB9"/>
    <w:rsid w:val="1697523E"/>
    <w:rsid w:val="16A96713"/>
    <w:rsid w:val="16AD428C"/>
    <w:rsid w:val="16BD1BA5"/>
    <w:rsid w:val="16C726FC"/>
    <w:rsid w:val="16D01CE4"/>
    <w:rsid w:val="17016806"/>
    <w:rsid w:val="17242B35"/>
    <w:rsid w:val="173F4399"/>
    <w:rsid w:val="174761E1"/>
    <w:rsid w:val="174D14FB"/>
    <w:rsid w:val="17692098"/>
    <w:rsid w:val="17734F89"/>
    <w:rsid w:val="178B07C9"/>
    <w:rsid w:val="17A544E5"/>
    <w:rsid w:val="17AD5F52"/>
    <w:rsid w:val="17B32172"/>
    <w:rsid w:val="17BA57CD"/>
    <w:rsid w:val="17BC68BF"/>
    <w:rsid w:val="17C4717D"/>
    <w:rsid w:val="17C57E08"/>
    <w:rsid w:val="17CA4B1C"/>
    <w:rsid w:val="17CD1F64"/>
    <w:rsid w:val="17D17A63"/>
    <w:rsid w:val="17D8573F"/>
    <w:rsid w:val="17D905BB"/>
    <w:rsid w:val="17E72E94"/>
    <w:rsid w:val="18013F94"/>
    <w:rsid w:val="180E2A62"/>
    <w:rsid w:val="180E30D1"/>
    <w:rsid w:val="18144180"/>
    <w:rsid w:val="181B6907"/>
    <w:rsid w:val="181D0DEE"/>
    <w:rsid w:val="182220C9"/>
    <w:rsid w:val="182305DC"/>
    <w:rsid w:val="182939C7"/>
    <w:rsid w:val="182D68CD"/>
    <w:rsid w:val="183B341E"/>
    <w:rsid w:val="183E1C9F"/>
    <w:rsid w:val="18615C9B"/>
    <w:rsid w:val="187175BC"/>
    <w:rsid w:val="18725968"/>
    <w:rsid w:val="188C7DCB"/>
    <w:rsid w:val="18AE119D"/>
    <w:rsid w:val="18BF4A94"/>
    <w:rsid w:val="18C03B18"/>
    <w:rsid w:val="18CC27A8"/>
    <w:rsid w:val="18D93BD9"/>
    <w:rsid w:val="18DE76CA"/>
    <w:rsid w:val="19190799"/>
    <w:rsid w:val="192F227D"/>
    <w:rsid w:val="193528C1"/>
    <w:rsid w:val="193A224C"/>
    <w:rsid w:val="19550115"/>
    <w:rsid w:val="195B3A6D"/>
    <w:rsid w:val="195D0C4E"/>
    <w:rsid w:val="197674E1"/>
    <w:rsid w:val="1987413E"/>
    <w:rsid w:val="19B07682"/>
    <w:rsid w:val="19BE684B"/>
    <w:rsid w:val="19C719E5"/>
    <w:rsid w:val="19C939E3"/>
    <w:rsid w:val="19E00143"/>
    <w:rsid w:val="19F53E46"/>
    <w:rsid w:val="1A0219B3"/>
    <w:rsid w:val="1A124D5B"/>
    <w:rsid w:val="1A1401EC"/>
    <w:rsid w:val="1A273EDC"/>
    <w:rsid w:val="1A307677"/>
    <w:rsid w:val="1A6E24A9"/>
    <w:rsid w:val="1A703942"/>
    <w:rsid w:val="1A725405"/>
    <w:rsid w:val="1A7849EB"/>
    <w:rsid w:val="1A945B7D"/>
    <w:rsid w:val="1AA113B6"/>
    <w:rsid w:val="1ABF7F3C"/>
    <w:rsid w:val="1AE57C30"/>
    <w:rsid w:val="1AFD6EBA"/>
    <w:rsid w:val="1B0E2C71"/>
    <w:rsid w:val="1B100E93"/>
    <w:rsid w:val="1B104918"/>
    <w:rsid w:val="1B11424C"/>
    <w:rsid w:val="1B1C3AF0"/>
    <w:rsid w:val="1B232B32"/>
    <w:rsid w:val="1B3B0D22"/>
    <w:rsid w:val="1B490020"/>
    <w:rsid w:val="1B4D069A"/>
    <w:rsid w:val="1B4F6628"/>
    <w:rsid w:val="1B556483"/>
    <w:rsid w:val="1B6930F1"/>
    <w:rsid w:val="1B6F5BDC"/>
    <w:rsid w:val="1B704AE2"/>
    <w:rsid w:val="1B783E81"/>
    <w:rsid w:val="1B7C1E63"/>
    <w:rsid w:val="1B85036F"/>
    <w:rsid w:val="1B85166B"/>
    <w:rsid w:val="1B8A042B"/>
    <w:rsid w:val="1B9F2280"/>
    <w:rsid w:val="1BB17141"/>
    <w:rsid w:val="1BB606BB"/>
    <w:rsid w:val="1BB66DA5"/>
    <w:rsid w:val="1BBF6ED7"/>
    <w:rsid w:val="1BC411E2"/>
    <w:rsid w:val="1BC76B7B"/>
    <w:rsid w:val="1BCF2247"/>
    <w:rsid w:val="1BCF4D87"/>
    <w:rsid w:val="1BFF53B1"/>
    <w:rsid w:val="1C057BD0"/>
    <w:rsid w:val="1C071B9A"/>
    <w:rsid w:val="1C160727"/>
    <w:rsid w:val="1C1F4513"/>
    <w:rsid w:val="1C3C7FDC"/>
    <w:rsid w:val="1C3F4220"/>
    <w:rsid w:val="1C591086"/>
    <w:rsid w:val="1C5D58AB"/>
    <w:rsid w:val="1C696EE4"/>
    <w:rsid w:val="1C7F7C7D"/>
    <w:rsid w:val="1C874B7B"/>
    <w:rsid w:val="1C8B0552"/>
    <w:rsid w:val="1C8B59A8"/>
    <w:rsid w:val="1C9A3651"/>
    <w:rsid w:val="1C9A42AC"/>
    <w:rsid w:val="1CAC2E44"/>
    <w:rsid w:val="1CAD50DC"/>
    <w:rsid w:val="1CC6301A"/>
    <w:rsid w:val="1CDC0565"/>
    <w:rsid w:val="1D010604"/>
    <w:rsid w:val="1D0640C8"/>
    <w:rsid w:val="1D081B6E"/>
    <w:rsid w:val="1D0B230E"/>
    <w:rsid w:val="1D314FC9"/>
    <w:rsid w:val="1D355FCB"/>
    <w:rsid w:val="1D4C3F70"/>
    <w:rsid w:val="1D5077B4"/>
    <w:rsid w:val="1D52399E"/>
    <w:rsid w:val="1D5A201C"/>
    <w:rsid w:val="1D5E3118"/>
    <w:rsid w:val="1D790964"/>
    <w:rsid w:val="1D813BCE"/>
    <w:rsid w:val="1D91308E"/>
    <w:rsid w:val="1DA4553B"/>
    <w:rsid w:val="1DB75D16"/>
    <w:rsid w:val="1DBD5467"/>
    <w:rsid w:val="1DCB4DFA"/>
    <w:rsid w:val="1DD1265F"/>
    <w:rsid w:val="1DD269CC"/>
    <w:rsid w:val="1DE10E15"/>
    <w:rsid w:val="1E1171C1"/>
    <w:rsid w:val="1E171DB4"/>
    <w:rsid w:val="1E193D6A"/>
    <w:rsid w:val="1E290EEF"/>
    <w:rsid w:val="1E29750A"/>
    <w:rsid w:val="1E465128"/>
    <w:rsid w:val="1E5775E6"/>
    <w:rsid w:val="1E5A2509"/>
    <w:rsid w:val="1E6D45DA"/>
    <w:rsid w:val="1E723E56"/>
    <w:rsid w:val="1E7B13F7"/>
    <w:rsid w:val="1E7C5A5D"/>
    <w:rsid w:val="1E8337C6"/>
    <w:rsid w:val="1E884A2B"/>
    <w:rsid w:val="1E9A43AE"/>
    <w:rsid w:val="1E9F13A1"/>
    <w:rsid w:val="1EBA7398"/>
    <w:rsid w:val="1EC506C0"/>
    <w:rsid w:val="1EF0372E"/>
    <w:rsid w:val="1EF25B98"/>
    <w:rsid w:val="1EF56F58"/>
    <w:rsid w:val="1F061441"/>
    <w:rsid w:val="1F0E4FEE"/>
    <w:rsid w:val="1F1826BB"/>
    <w:rsid w:val="1F2B37D6"/>
    <w:rsid w:val="1F333A1F"/>
    <w:rsid w:val="1F367C13"/>
    <w:rsid w:val="1F3C19D3"/>
    <w:rsid w:val="1F3C6241"/>
    <w:rsid w:val="1F3D05A1"/>
    <w:rsid w:val="1F3D7FFD"/>
    <w:rsid w:val="1F443E81"/>
    <w:rsid w:val="1F467B4B"/>
    <w:rsid w:val="1F56106C"/>
    <w:rsid w:val="1F5B22A6"/>
    <w:rsid w:val="1F6874E6"/>
    <w:rsid w:val="1F6A5B80"/>
    <w:rsid w:val="1F6B68E4"/>
    <w:rsid w:val="1F700DA4"/>
    <w:rsid w:val="1F706DFA"/>
    <w:rsid w:val="1F7230C6"/>
    <w:rsid w:val="1F74611F"/>
    <w:rsid w:val="1F806EAC"/>
    <w:rsid w:val="1F890B18"/>
    <w:rsid w:val="1FB6220C"/>
    <w:rsid w:val="1FB76753"/>
    <w:rsid w:val="1FC165E1"/>
    <w:rsid w:val="1FC343F2"/>
    <w:rsid w:val="1FD47FE6"/>
    <w:rsid w:val="1FD67618"/>
    <w:rsid w:val="1FFC4044"/>
    <w:rsid w:val="20056D4F"/>
    <w:rsid w:val="20112FE8"/>
    <w:rsid w:val="20150F5C"/>
    <w:rsid w:val="202D15D3"/>
    <w:rsid w:val="20596E56"/>
    <w:rsid w:val="20701759"/>
    <w:rsid w:val="20857532"/>
    <w:rsid w:val="20A922F2"/>
    <w:rsid w:val="20C0358D"/>
    <w:rsid w:val="20C16B49"/>
    <w:rsid w:val="20C9548B"/>
    <w:rsid w:val="20F83276"/>
    <w:rsid w:val="20F952FF"/>
    <w:rsid w:val="2101295A"/>
    <w:rsid w:val="21097669"/>
    <w:rsid w:val="21113CC8"/>
    <w:rsid w:val="2136649C"/>
    <w:rsid w:val="213E4608"/>
    <w:rsid w:val="21533D07"/>
    <w:rsid w:val="215522F0"/>
    <w:rsid w:val="216B2BCB"/>
    <w:rsid w:val="217B5F5F"/>
    <w:rsid w:val="218066E2"/>
    <w:rsid w:val="218B5C38"/>
    <w:rsid w:val="219F380C"/>
    <w:rsid w:val="21AD13DF"/>
    <w:rsid w:val="21B32E77"/>
    <w:rsid w:val="21BE3ED6"/>
    <w:rsid w:val="21CA2DDF"/>
    <w:rsid w:val="21DE00AE"/>
    <w:rsid w:val="21F43CBC"/>
    <w:rsid w:val="21FA3668"/>
    <w:rsid w:val="21FE3CBD"/>
    <w:rsid w:val="21FF35E4"/>
    <w:rsid w:val="2208263F"/>
    <w:rsid w:val="220D345C"/>
    <w:rsid w:val="220D35DC"/>
    <w:rsid w:val="221F0301"/>
    <w:rsid w:val="22203B52"/>
    <w:rsid w:val="22267477"/>
    <w:rsid w:val="222A6016"/>
    <w:rsid w:val="222D6227"/>
    <w:rsid w:val="22594C8B"/>
    <w:rsid w:val="22687450"/>
    <w:rsid w:val="2297251E"/>
    <w:rsid w:val="22AB0C34"/>
    <w:rsid w:val="22C90306"/>
    <w:rsid w:val="22D56723"/>
    <w:rsid w:val="22DF73CD"/>
    <w:rsid w:val="22E912E2"/>
    <w:rsid w:val="2305491C"/>
    <w:rsid w:val="231F0459"/>
    <w:rsid w:val="232E6640"/>
    <w:rsid w:val="2336763C"/>
    <w:rsid w:val="233936CB"/>
    <w:rsid w:val="235713CB"/>
    <w:rsid w:val="23625C78"/>
    <w:rsid w:val="23707329"/>
    <w:rsid w:val="23724054"/>
    <w:rsid w:val="23782927"/>
    <w:rsid w:val="237D012F"/>
    <w:rsid w:val="238257C2"/>
    <w:rsid w:val="238723A5"/>
    <w:rsid w:val="238E0C01"/>
    <w:rsid w:val="238F7A53"/>
    <w:rsid w:val="239368B6"/>
    <w:rsid w:val="23A96572"/>
    <w:rsid w:val="23AA303F"/>
    <w:rsid w:val="23D77052"/>
    <w:rsid w:val="23F208F9"/>
    <w:rsid w:val="23F2607F"/>
    <w:rsid w:val="23FA0E86"/>
    <w:rsid w:val="23FE5DC2"/>
    <w:rsid w:val="24080038"/>
    <w:rsid w:val="240C1FD6"/>
    <w:rsid w:val="241D752B"/>
    <w:rsid w:val="242C186C"/>
    <w:rsid w:val="24310190"/>
    <w:rsid w:val="2436459B"/>
    <w:rsid w:val="24366648"/>
    <w:rsid w:val="24410E0E"/>
    <w:rsid w:val="244220E8"/>
    <w:rsid w:val="244E262B"/>
    <w:rsid w:val="245102A4"/>
    <w:rsid w:val="245A42D9"/>
    <w:rsid w:val="245C6597"/>
    <w:rsid w:val="245E357A"/>
    <w:rsid w:val="2461602F"/>
    <w:rsid w:val="2465724E"/>
    <w:rsid w:val="246721BE"/>
    <w:rsid w:val="24677C0C"/>
    <w:rsid w:val="247549E3"/>
    <w:rsid w:val="247E0481"/>
    <w:rsid w:val="24A66767"/>
    <w:rsid w:val="24AC231B"/>
    <w:rsid w:val="24B3407B"/>
    <w:rsid w:val="24C31E1A"/>
    <w:rsid w:val="24C96EFF"/>
    <w:rsid w:val="24CB5133"/>
    <w:rsid w:val="24DA0416"/>
    <w:rsid w:val="24E45500"/>
    <w:rsid w:val="24EA3E07"/>
    <w:rsid w:val="252E64C8"/>
    <w:rsid w:val="25427204"/>
    <w:rsid w:val="254F0465"/>
    <w:rsid w:val="254F6AC5"/>
    <w:rsid w:val="256D244F"/>
    <w:rsid w:val="25705E62"/>
    <w:rsid w:val="257A083F"/>
    <w:rsid w:val="25953081"/>
    <w:rsid w:val="25B34165"/>
    <w:rsid w:val="25C23ED2"/>
    <w:rsid w:val="25C4351F"/>
    <w:rsid w:val="25D20AA8"/>
    <w:rsid w:val="25D725DE"/>
    <w:rsid w:val="25DB3DA0"/>
    <w:rsid w:val="25DC64EF"/>
    <w:rsid w:val="25E109B5"/>
    <w:rsid w:val="26123814"/>
    <w:rsid w:val="2632048A"/>
    <w:rsid w:val="26553427"/>
    <w:rsid w:val="26621E34"/>
    <w:rsid w:val="26925835"/>
    <w:rsid w:val="269D1CC7"/>
    <w:rsid w:val="26A47421"/>
    <w:rsid w:val="26CB2045"/>
    <w:rsid w:val="26D200F9"/>
    <w:rsid w:val="26D37B7F"/>
    <w:rsid w:val="26DE500A"/>
    <w:rsid w:val="270273FF"/>
    <w:rsid w:val="270A1B54"/>
    <w:rsid w:val="271E79B1"/>
    <w:rsid w:val="27201439"/>
    <w:rsid w:val="272861EF"/>
    <w:rsid w:val="273400D9"/>
    <w:rsid w:val="273949E7"/>
    <w:rsid w:val="273B6D9F"/>
    <w:rsid w:val="27444BC4"/>
    <w:rsid w:val="27502F85"/>
    <w:rsid w:val="275574FF"/>
    <w:rsid w:val="27585F24"/>
    <w:rsid w:val="276C30DE"/>
    <w:rsid w:val="27747003"/>
    <w:rsid w:val="278D77CF"/>
    <w:rsid w:val="279938C3"/>
    <w:rsid w:val="27A5573A"/>
    <w:rsid w:val="27C25A3A"/>
    <w:rsid w:val="27EE6DB4"/>
    <w:rsid w:val="27FB1410"/>
    <w:rsid w:val="2809200F"/>
    <w:rsid w:val="280D26A6"/>
    <w:rsid w:val="281126D2"/>
    <w:rsid w:val="2817681A"/>
    <w:rsid w:val="28185DCC"/>
    <w:rsid w:val="282978B5"/>
    <w:rsid w:val="283363A4"/>
    <w:rsid w:val="283B76D6"/>
    <w:rsid w:val="285C09A8"/>
    <w:rsid w:val="28736109"/>
    <w:rsid w:val="287D1986"/>
    <w:rsid w:val="28A457A6"/>
    <w:rsid w:val="28A80392"/>
    <w:rsid w:val="28AF1375"/>
    <w:rsid w:val="28B42461"/>
    <w:rsid w:val="28DA1425"/>
    <w:rsid w:val="28FE25AA"/>
    <w:rsid w:val="290A2AFE"/>
    <w:rsid w:val="290D1C9E"/>
    <w:rsid w:val="292152F7"/>
    <w:rsid w:val="2922337B"/>
    <w:rsid w:val="292B2EE2"/>
    <w:rsid w:val="29470CEC"/>
    <w:rsid w:val="294F2D81"/>
    <w:rsid w:val="294F5473"/>
    <w:rsid w:val="296A663D"/>
    <w:rsid w:val="296D76BD"/>
    <w:rsid w:val="296E727A"/>
    <w:rsid w:val="296E7C2E"/>
    <w:rsid w:val="29774038"/>
    <w:rsid w:val="298D6BAC"/>
    <w:rsid w:val="298F1BEE"/>
    <w:rsid w:val="29B838E5"/>
    <w:rsid w:val="29B91531"/>
    <w:rsid w:val="29C90EB5"/>
    <w:rsid w:val="29D909D8"/>
    <w:rsid w:val="29D97659"/>
    <w:rsid w:val="29DD2AEB"/>
    <w:rsid w:val="29E454C8"/>
    <w:rsid w:val="29FC4F1C"/>
    <w:rsid w:val="2A0F0460"/>
    <w:rsid w:val="2A111BBA"/>
    <w:rsid w:val="2A133E00"/>
    <w:rsid w:val="2A3F2F20"/>
    <w:rsid w:val="2A5E508D"/>
    <w:rsid w:val="2A636CAE"/>
    <w:rsid w:val="2A6734D3"/>
    <w:rsid w:val="2A812F23"/>
    <w:rsid w:val="2A8C37E9"/>
    <w:rsid w:val="2A9F5B8E"/>
    <w:rsid w:val="2AB42682"/>
    <w:rsid w:val="2ABE6FBB"/>
    <w:rsid w:val="2AC36B08"/>
    <w:rsid w:val="2ACF705C"/>
    <w:rsid w:val="2AE0287C"/>
    <w:rsid w:val="2B0C0045"/>
    <w:rsid w:val="2B104F11"/>
    <w:rsid w:val="2B402E6C"/>
    <w:rsid w:val="2B404781"/>
    <w:rsid w:val="2B424923"/>
    <w:rsid w:val="2B4726B1"/>
    <w:rsid w:val="2B4C3E6B"/>
    <w:rsid w:val="2B515BD6"/>
    <w:rsid w:val="2B5314F2"/>
    <w:rsid w:val="2B570EDD"/>
    <w:rsid w:val="2B5C060F"/>
    <w:rsid w:val="2B6938CD"/>
    <w:rsid w:val="2B6F1C9E"/>
    <w:rsid w:val="2B735126"/>
    <w:rsid w:val="2B752360"/>
    <w:rsid w:val="2B7C23D5"/>
    <w:rsid w:val="2B960156"/>
    <w:rsid w:val="2BB26166"/>
    <w:rsid w:val="2BB92EE3"/>
    <w:rsid w:val="2BC20F4D"/>
    <w:rsid w:val="2BD97F8A"/>
    <w:rsid w:val="2BE9273C"/>
    <w:rsid w:val="2BF015E8"/>
    <w:rsid w:val="2BF37A45"/>
    <w:rsid w:val="2BFD1126"/>
    <w:rsid w:val="2C0434BC"/>
    <w:rsid w:val="2C0E2C34"/>
    <w:rsid w:val="2C13422A"/>
    <w:rsid w:val="2C1A7A51"/>
    <w:rsid w:val="2C4402A1"/>
    <w:rsid w:val="2C4A2FDB"/>
    <w:rsid w:val="2C682BFA"/>
    <w:rsid w:val="2C685C24"/>
    <w:rsid w:val="2C6C28CE"/>
    <w:rsid w:val="2C7030A2"/>
    <w:rsid w:val="2CBF16DD"/>
    <w:rsid w:val="2CD2269F"/>
    <w:rsid w:val="2CD34A34"/>
    <w:rsid w:val="2CE336B9"/>
    <w:rsid w:val="2D030F68"/>
    <w:rsid w:val="2D1D4946"/>
    <w:rsid w:val="2D1E27E3"/>
    <w:rsid w:val="2D2E20D6"/>
    <w:rsid w:val="2D3266FE"/>
    <w:rsid w:val="2D343E9B"/>
    <w:rsid w:val="2D3447B9"/>
    <w:rsid w:val="2D5522AE"/>
    <w:rsid w:val="2D7A7435"/>
    <w:rsid w:val="2DBB75D9"/>
    <w:rsid w:val="2DBE061E"/>
    <w:rsid w:val="2DCB0B04"/>
    <w:rsid w:val="2DE513DE"/>
    <w:rsid w:val="2E025309"/>
    <w:rsid w:val="2E2F054D"/>
    <w:rsid w:val="2E4E69F5"/>
    <w:rsid w:val="2E565521"/>
    <w:rsid w:val="2E676663"/>
    <w:rsid w:val="2E7F7CB6"/>
    <w:rsid w:val="2E843F86"/>
    <w:rsid w:val="2E865C75"/>
    <w:rsid w:val="2E8D431F"/>
    <w:rsid w:val="2E934A5A"/>
    <w:rsid w:val="2EB35045"/>
    <w:rsid w:val="2EB676B0"/>
    <w:rsid w:val="2EC030A4"/>
    <w:rsid w:val="2EC917DE"/>
    <w:rsid w:val="2ED02BF4"/>
    <w:rsid w:val="2F0132F5"/>
    <w:rsid w:val="2F074EAF"/>
    <w:rsid w:val="2F0E5351"/>
    <w:rsid w:val="2F194693"/>
    <w:rsid w:val="2F1D2C30"/>
    <w:rsid w:val="2F230B83"/>
    <w:rsid w:val="2F265BEB"/>
    <w:rsid w:val="2F2D6EAE"/>
    <w:rsid w:val="2F2F4303"/>
    <w:rsid w:val="2F4B4FEE"/>
    <w:rsid w:val="2F4C3923"/>
    <w:rsid w:val="2F55303D"/>
    <w:rsid w:val="2F5D40DE"/>
    <w:rsid w:val="2F6055E3"/>
    <w:rsid w:val="2F6401AA"/>
    <w:rsid w:val="2F666780"/>
    <w:rsid w:val="2F7130DE"/>
    <w:rsid w:val="2F7F7F3F"/>
    <w:rsid w:val="2F8F2B0D"/>
    <w:rsid w:val="2FBA4D2E"/>
    <w:rsid w:val="2FC2449A"/>
    <w:rsid w:val="2FD75280"/>
    <w:rsid w:val="2FD95914"/>
    <w:rsid w:val="2FD97978"/>
    <w:rsid w:val="2FF917D9"/>
    <w:rsid w:val="30130595"/>
    <w:rsid w:val="3022323D"/>
    <w:rsid w:val="302E5932"/>
    <w:rsid w:val="30367245"/>
    <w:rsid w:val="305A51DC"/>
    <w:rsid w:val="306065F9"/>
    <w:rsid w:val="3082191B"/>
    <w:rsid w:val="30A92647"/>
    <w:rsid w:val="30B361EA"/>
    <w:rsid w:val="30BA1A2A"/>
    <w:rsid w:val="30C96AFD"/>
    <w:rsid w:val="30CD0E0C"/>
    <w:rsid w:val="30CD57CB"/>
    <w:rsid w:val="30D11071"/>
    <w:rsid w:val="30DD1A90"/>
    <w:rsid w:val="30E240FC"/>
    <w:rsid w:val="31202996"/>
    <w:rsid w:val="31247462"/>
    <w:rsid w:val="31394341"/>
    <w:rsid w:val="314F3970"/>
    <w:rsid w:val="315F1AB8"/>
    <w:rsid w:val="316160FC"/>
    <w:rsid w:val="316F28AF"/>
    <w:rsid w:val="3172234D"/>
    <w:rsid w:val="317F3051"/>
    <w:rsid w:val="318244CA"/>
    <w:rsid w:val="318D135B"/>
    <w:rsid w:val="31970507"/>
    <w:rsid w:val="31A14DFA"/>
    <w:rsid w:val="31A322B5"/>
    <w:rsid w:val="31B95AC0"/>
    <w:rsid w:val="31CB3D43"/>
    <w:rsid w:val="31CE3606"/>
    <w:rsid w:val="31DA4D7E"/>
    <w:rsid w:val="31E466FE"/>
    <w:rsid w:val="31F2179D"/>
    <w:rsid w:val="31FC793D"/>
    <w:rsid w:val="32140461"/>
    <w:rsid w:val="325E6612"/>
    <w:rsid w:val="326650FE"/>
    <w:rsid w:val="3295457E"/>
    <w:rsid w:val="32AA3038"/>
    <w:rsid w:val="32AD3253"/>
    <w:rsid w:val="32CF23FC"/>
    <w:rsid w:val="32D4390D"/>
    <w:rsid w:val="32D47E78"/>
    <w:rsid w:val="32DF6F01"/>
    <w:rsid w:val="32E522A1"/>
    <w:rsid w:val="32E63A5C"/>
    <w:rsid w:val="32F10DD7"/>
    <w:rsid w:val="330A11B6"/>
    <w:rsid w:val="331312C9"/>
    <w:rsid w:val="331B16ED"/>
    <w:rsid w:val="332F445B"/>
    <w:rsid w:val="333B3BD9"/>
    <w:rsid w:val="333E15EE"/>
    <w:rsid w:val="3340126D"/>
    <w:rsid w:val="334926DB"/>
    <w:rsid w:val="335F5B42"/>
    <w:rsid w:val="336424C4"/>
    <w:rsid w:val="33673976"/>
    <w:rsid w:val="33866B6B"/>
    <w:rsid w:val="3393729B"/>
    <w:rsid w:val="33A302CB"/>
    <w:rsid w:val="33B23D97"/>
    <w:rsid w:val="33D943D4"/>
    <w:rsid w:val="33ED05A9"/>
    <w:rsid w:val="33F02546"/>
    <w:rsid w:val="33F40D6A"/>
    <w:rsid w:val="33F9011F"/>
    <w:rsid w:val="340039DD"/>
    <w:rsid w:val="34037672"/>
    <w:rsid w:val="340A21BE"/>
    <w:rsid w:val="34143466"/>
    <w:rsid w:val="343663B0"/>
    <w:rsid w:val="343A3448"/>
    <w:rsid w:val="3442733F"/>
    <w:rsid w:val="34562398"/>
    <w:rsid w:val="34566A47"/>
    <w:rsid w:val="346014F1"/>
    <w:rsid w:val="34882778"/>
    <w:rsid w:val="348A7FB7"/>
    <w:rsid w:val="3490000C"/>
    <w:rsid w:val="3491503B"/>
    <w:rsid w:val="349C09E3"/>
    <w:rsid w:val="349D2C44"/>
    <w:rsid w:val="34A359C9"/>
    <w:rsid w:val="34A6738C"/>
    <w:rsid w:val="34CE5986"/>
    <w:rsid w:val="34D3160A"/>
    <w:rsid w:val="34DB19BE"/>
    <w:rsid w:val="34E23CE0"/>
    <w:rsid w:val="34E55D5A"/>
    <w:rsid w:val="34E66897"/>
    <w:rsid w:val="34EF50DF"/>
    <w:rsid w:val="3502436B"/>
    <w:rsid w:val="350844CC"/>
    <w:rsid w:val="350C1EC0"/>
    <w:rsid w:val="350D5DC7"/>
    <w:rsid w:val="350E421B"/>
    <w:rsid w:val="35254B2F"/>
    <w:rsid w:val="35295C01"/>
    <w:rsid w:val="352B20AC"/>
    <w:rsid w:val="35363080"/>
    <w:rsid w:val="355C6E3A"/>
    <w:rsid w:val="356079C2"/>
    <w:rsid w:val="356338A7"/>
    <w:rsid w:val="35652B73"/>
    <w:rsid w:val="35690E67"/>
    <w:rsid w:val="357065AB"/>
    <w:rsid w:val="357B5C03"/>
    <w:rsid w:val="358506FE"/>
    <w:rsid w:val="359416BA"/>
    <w:rsid w:val="359435EA"/>
    <w:rsid w:val="359B01AE"/>
    <w:rsid w:val="35A72CB0"/>
    <w:rsid w:val="35C7464B"/>
    <w:rsid w:val="35CB1F85"/>
    <w:rsid w:val="35D938B5"/>
    <w:rsid w:val="35DC24C8"/>
    <w:rsid w:val="35E031DA"/>
    <w:rsid w:val="35E15A4E"/>
    <w:rsid w:val="35EE1E4E"/>
    <w:rsid w:val="35F11816"/>
    <w:rsid w:val="35FE73A5"/>
    <w:rsid w:val="36324950"/>
    <w:rsid w:val="36402027"/>
    <w:rsid w:val="369562F3"/>
    <w:rsid w:val="36995D2E"/>
    <w:rsid w:val="36A45A2C"/>
    <w:rsid w:val="36E332B5"/>
    <w:rsid w:val="36E84BBF"/>
    <w:rsid w:val="36F934E6"/>
    <w:rsid w:val="37037D57"/>
    <w:rsid w:val="371331FD"/>
    <w:rsid w:val="37250DEE"/>
    <w:rsid w:val="373444C7"/>
    <w:rsid w:val="376E7343"/>
    <w:rsid w:val="37846D46"/>
    <w:rsid w:val="378E372D"/>
    <w:rsid w:val="37912DB3"/>
    <w:rsid w:val="37971A02"/>
    <w:rsid w:val="379B5580"/>
    <w:rsid w:val="37A00202"/>
    <w:rsid w:val="37BF02EA"/>
    <w:rsid w:val="37D859D9"/>
    <w:rsid w:val="37F161E6"/>
    <w:rsid w:val="37FE2EA8"/>
    <w:rsid w:val="38060409"/>
    <w:rsid w:val="380903A1"/>
    <w:rsid w:val="380E67D2"/>
    <w:rsid w:val="381C7F50"/>
    <w:rsid w:val="38234849"/>
    <w:rsid w:val="38386FB4"/>
    <w:rsid w:val="38601122"/>
    <w:rsid w:val="38637566"/>
    <w:rsid w:val="38643208"/>
    <w:rsid w:val="38796759"/>
    <w:rsid w:val="38872DB5"/>
    <w:rsid w:val="38B90BA2"/>
    <w:rsid w:val="38BB314E"/>
    <w:rsid w:val="38C25264"/>
    <w:rsid w:val="38CE2E4A"/>
    <w:rsid w:val="38E402BC"/>
    <w:rsid w:val="38E86F66"/>
    <w:rsid w:val="38F93360"/>
    <w:rsid w:val="38FE2CB1"/>
    <w:rsid w:val="390A7178"/>
    <w:rsid w:val="3925145A"/>
    <w:rsid w:val="392B2A95"/>
    <w:rsid w:val="39422AEA"/>
    <w:rsid w:val="394A240F"/>
    <w:rsid w:val="397217C8"/>
    <w:rsid w:val="397228F1"/>
    <w:rsid w:val="397273BD"/>
    <w:rsid w:val="398158D4"/>
    <w:rsid w:val="3992339D"/>
    <w:rsid w:val="39A1410B"/>
    <w:rsid w:val="39A57867"/>
    <w:rsid w:val="39AB4C98"/>
    <w:rsid w:val="39B32367"/>
    <w:rsid w:val="39B620DE"/>
    <w:rsid w:val="39BE1B82"/>
    <w:rsid w:val="39CD24DF"/>
    <w:rsid w:val="39D215E2"/>
    <w:rsid w:val="39DB3C36"/>
    <w:rsid w:val="39E120F8"/>
    <w:rsid w:val="39E150E0"/>
    <w:rsid w:val="3A056D10"/>
    <w:rsid w:val="3A0636B5"/>
    <w:rsid w:val="3A084DC6"/>
    <w:rsid w:val="3A0C5FD9"/>
    <w:rsid w:val="3A1E35C1"/>
    <w:rsid w:val="3A2C6DD7"/>
    <w:rsid w:val="3A2E7FC1"/>
    <w:rsid w:val="3A3253DA"/>
    <w:rsid w:val="3A353262"/>
    <w:rsid w:val="3A3A3DA8"/>
    <w:rsid w:val="3A822180"/>
    <w:rsid w:val="3A8B1B6F"/>
    <w:rsid w:val="3A9075C9"/>
    <w:rsid w:val="3A9A261E"/>
    <w:rsid w:val="3A9D78C6"/>
    <w:rsid w:val="3AA82ACD"/>
    <w:rsid w:val="3AAF2BC5"/>
    <w:rsid w:val="3AAF7337"/>
    <w:rsid w:val="3AC10958"/>
    <w:rsid w:val="3AFD3F15"/>
    <w:rsid w:val="3AFD521A"/>
    <w:rsid w:val="3B0357CB"/>
    <w:rsid w:val="3B071D0B"/>
    <w:rsid w:val="3B13342C"/>
    <w:rsid w:val="3B186FB8"/>
    <w:rsid w:val="3B293484"/>
    <w:rsid w:val="3B355739"/>
    <w:rsid w:val="3B3D2C1D"/>
    <w:rsid w:val="3B4A506B"/>
    <w:rsid w:val="3B853A44"/>
    <w:rsid w:val="3BAA6522"/>
    <w:rsid w:val="3BAD6AB1"/>
    <w:rsid w:val="3BBE6F8D"/>
    <w:rsid w:val="3BC804D4"/>
    <w:rsid w:val="3BD44BE6"/>
    <w:rsid w:val="3BDB50F1"/>
    <w:rsid w:val="3BDF39D9"/>
    <w:rsid w:val="3BFE5B80"/>
    <w:rsid w:val="3C066E7F"/>
    <w:rsid w:val="3C09513F"/>
    <w:rsid w:val="3C1A5D78"/>
    <w:rsid w:val="3C4A20B8"/>
    <w:rsid w:val="3C4B1D73"/>
    <w:rsid w:val="3C613B42"/>
    <w:rsid w:val="3C75192F"/>
    <w:rsid w:val="3C7544A7"/>
    <w:rsid w:val="3C780BFE"/>
    <w:rsid w:val="3C7C69A6"/>
    <w:rsid w:val="3C9A19F6"/>
    <w:rsid w:val="3CA37C09"/>
    <w:rsid w:val="3CB033C3"/>
    <w:rsid w:val="3CE13018"/>
    <w:rsid w:val="3CF03B29"/>
    <w:rsid w:val="3D0B495E"/>
    <w:rsid w:val="3D0D08E1"/>
    <w:rsid w:val="3D112D5F"/>
    <w:rsid w:val="3D125D66"/>
    <w:rsid w:val="3D2D4F02"/>
    <w:rsid w:val="3D456771"/>
    <w:rsid w:val="3D5767B8"/>
    <w:rsid w:val="3D773E5C"/>
    <w:rsid w:val="3D9705AD"/>
    <w:rsid w:val="3DA03EE3"/>
    <w:rsid w:val="3DA0520B"/>
    <w:rsid w:val="3DA33EE9"/>
    <w:rsid w:val="3DBC1D13"/>
    <w:rsid w:val="3DC3278D"/>
    <w:rsid w:val="3DC56A18"/>
    <w:rsid w:val="3DCA4243"/>
    <w:rsid w:val="3DD56C21"/>
    <w:rsid w:val="3DDD6576"/>
    <w:rsid w:val="3DE020EF"/>
    <w:rsid w:val="3DE9309A"/>
    <w:rsid w:val="3DFC5062"/>
    <w:rsid w:val="3E0D743E"/>
    <w:rsid w:val="3E2E7BE0"/>
    <w:rsid w:val="3E373821"/>
    <w:rsid w:val="3E3A3235"/>
    <w:rsid w:val="3E4C757B"/>
    <w:rsid w:val="3E4E5E18"/>
    <w:rsid w:val="3E4F0DA8"/>
    <w:rsid w:val="3E504247"/>
    <w:rsid w:val="3E612261"/>
    <w:rsid w:val="3E9C2115"/>
    <w:rsid w:val="3EA571B2"/>
    <w:rsid w:val="3EA91D91"/>
    <w:rsid w:val="3EAA0B70"/>
    <w:rsid w:val="3EB3429F"/>
    <w:rsid w:val="3EB66826"/>
    <w:rsid w:val="3EBF4E48"/>
    <w:rsid w:val="3EE766E7"/>
    <w:rsid w:val="3EF222F8"/>
    <w:rsid w:val="3EF233D0"/>
    <w:rsid w:val="3F047734"/>
    <w:rsid w:val="3F1C7EC9"/>
    <w:rsid w:val="3F216694"/>
    <w:rsid w:val="3F3423F7"/>
    <w:rsid w:val="3F4250E6"/>
    <w:rsid w:val="3F425195"/>
    <w:rsid w:val="3F450BBD"/>
    <w:rsid w:val="3F47541D"/>
    <w:rsid w:val="3F4A5AE1"/>
    <w:rsid w:val="3F4F2F2E"/>
    <w:rsid w:val="3F53354F"/>
    <w:rsid w:val="3F552473"/>
    <w:rsid w:val="3F591E5E"/>
    <w:rsid w:val="3F772909"/>
    <w:rsid w:val="3F7A5BAA"/>
    <w:rsid w:val="3F7B4DCB"/>
    <w:rsid w:val="3F840562"/>
    <w:rsid w:val="3F842ECD"/>
    <w:rsid w:val="3F85735E"/>
    <w:rsid w:val="3F8F762D"/>
    <w:rsid w:val="3F9A5609"/>
    <w:rsid w:val="3FA5132E"/>
    <w:rsid w:val="3FA54183"/>
    <w:rsid w:val="3FA61553"/>
    <w:rsid w:val="3FA82FE2"/>
    <w:rsid w:val="3FA90E2F"/>
    <w:rsid w:val="3FAF28E5"/>
    <w:rsid w:val="3FB806F2"/>
    <w:rsid w:val="3FBD37A7"/>
    <w:rsid w:val="3FC53A75"/>
    <w:rsid w:val="3FCC4B5F"/>
    <w:rsid w:val="3FE55380"/>
    <w:rsid w:val="3FE62068"/>
    <w:rsid w:val="3FF34505"/>
    <w:rsid w:val="3FFE5DF2"/>
    <w:rsid w:val="400E26A2"/>
    <w:rsid w:val="4028412D"/>
    <w:rsid w:val="40302BBE"/>
    <w:rsid w:val="403221B3"/>
    <w:rsid w:val="40330B40"/>
    <w:rsid w:val="40512ADF"/>
    <w:rsid w:val="406159F3"/>
    <w:rsid w:val="406A7188"/>
    <w:rsid w:val="40705CC1"/>
    <w:rsid w:val="4075000D"/>
    <w:rsid w:val="407C5D66"/>
    <w:rsid w:val="40847629"/>
    <w:rsid w:val="40884AEC"/>
    <w:rsid w:val="40897C8B"/>
    <w:rsid w:val="409E468B"/>
    <w:rsid w:val="40AB26AE"/>
    <w:rsid w:val="40D403F7"/>
    <w:rsid w:val="40D763AA"/>
    <w:rsid w:val="40E775A6"/>
    <w:rsid w:val="40F60363"/>
    <w:rsid w:val="40FB37D9"/>
    <w:rsid w:val="40FB4811"/>
    <w:rsid w:val="41061A40"/>
    <w:rsid w:val="410B536B"/>
    <w:rsid w:val="410D3C9D"/>
    <w:rsid w:val="411F3266"/>
    <w:rsid w:val="412053A0"/>
    <w:rsid w:val="4129795F"/>
    <w:rsid w:val="413450B2"/>
    <w:rsid w:val="413B0BE2"/>
    <w:rsid w:val="415F5788"/>
    <w:rsid w:val="417B7C7F"/>
    <w:rsid w:val="417C7280"/>
    <w:rsid w:val="418201B6"/>
    <w:rsid w:val="41864276"/>
    <w:rsid w:val="41945FEF"/>
    <w:rsid w:val="41C04491"/>
    <w:rsid w:val="41C1108D"/>
    <w:rsid w:val="41CF74F6"/>
    <w:rsid w:val="41D27F22"/>
    <w:rsid w:val="41D37B31"/>
    <w:rsid w:val="41EE24B8"/>
    <w:rsid w:val="41F5670F"/>
    <w:rsid w:val="41F82E3A"/>
    <w:rsid w:val="4205201C"/>
    <w:rsid w:val="420C6D4B"/>
    <w:rsid w:val="421C2490"/>
    <w:rsid w:val="422D1F32"/>
    <w:rsid w:val="4239668A"/>
    <w:rsid w:val="42612908"/>
    <w:rsid w:val="4286052D"/>
    <w:rsid w:val="42862102"/>
    <w:rsid w:val="42864689"/>
    <w:rsid w:val="429F4F32"/>
    <w:rsid w:val="42A969CC"/>
    <w:rsid w:val="42B67C83"/>
    <w:rsid w:val="42DA0B39"/>
    <w:rsid w:val="42DF5AFD"/>
    <w:rsid w:val="42E6622B"/>
    <w:rsid w:val="42EF074F"/>
    <w:rsid w:val="42F205FC"/>
    <w:rsid w:val="42F76C04"/>
    <w:rsid w:val="42F85623"/>
    <w:rsid w:val="430B7515"/>
    <w:rsid w:val="430E5036"/>
    <w:rsid w:val="43185ACD"/>
    <w:rsid w:val="432C2236"/>
    <w:rsid w:val="43494EB7"/>
    <w:rsid w:val="434E0079"/>
    <w:rsid w:val="435B02DC"/>
    <w:rsid w:val="43714522"/>
    <w:rsid w:val="43717B2A"/>
    <w:rsid w:val="43760C76"/>
    <w:rsid w:val="437A7FB9"/>
    <w:rsid w:val="437F6085"/>
    <w:rsid w:val="43801D4F"/>
    <w:rsid w:val="43846E4F"/>
    <w:rsid w:val="439D634F"/>
    <w:rsid w:val="43B10C2A"/>
    <w:rsid w:val="43B265E3"/>
    <w:rsid w:val="43B54E72"/>
    <w:rsid w:val="43B8701C"/>
    <w:rsid w:val="43DB69C0"/>
    <w:rsid w:val="43DE1293"/>
    <w:rsid w:val="43EE7199"/>
    <w:rsid w:val="440139E0"/>
    <w:rsid w:val="44061AF0"/>
    <w:rsid w:val="441346A0"/>
    <w:rsid w:val="441C70C6"/>
    <w:rsid w:val="44670B79"/>
    <w:rsid w:val="44710DCA"/>
    <w:rsid w:val="447220C0"/>
    <w:rsid w:val="44771606"/>
    <w:rsid w:val="4488274F"/>
    <w:rsid w:val="448C557B"/>
    <w:rsid w:val="449769B6"/>
    <w:rsid w:val="44BD547F"/>
    <w:rsid w:val="44C0402E"/>
    <w:rsid w:val="44C5180E"/>
    <w:rsid w:val="44D1768B"/>
    <w:rsid w:val="44D41085"/>
    <w:rsid w:val="44D46975"/>
    <w:rsid w:val="44E137DD"/>
    <w:rsid w:val="44F131A3"/>
    <w:rsid w:val="44F53612"/>
    <w:rsid w:val="45097F2A"/>
    <w:rsid w:val="4525645E"/>
    <w:rsid w:val="452666A0"/>
    <w:rsid w:val="452D6BA6"/>
    <w:rsid w:val="454569AA"/>
    <w:rsid w:val="45484F73"/>
    <w:rsid w:val="45485EA7"/>
    <w:rsid w:val="4552460E"/>
    <w:rsid w:val="455522FD"/>
    <w:rsid w:val="457E6498"/>
    <w:rsid w:val="459258E5"/>
    <w:rsid w:val="45B97388"/>
    <w:rsid w:val="45D06BEC"/>
    <w:rsid w:val="45EE4B3A"/>
    <w:rsid w:val="45F04406"/>
    <w:rsid w:val="45FA0F04"/>
    <w:rsid w:val="45FF4052"/>
    <w:rsid w:val="460A2C8E"/>
    <w:rsid w:val="46101FCC"/>
    <w:rsid w:val="462349A4"/>
    <w:rsid w:val="46262CA8"/>
    <w:rsid w:val="46364CA7"/>
    <w:rsid w:val="463C21E2"/>
    <w:rsid w:val="46402257"/>
    <w:rsid w:val="464076A7"/>
    <w:rsid w:val="464F35A4"/>
    <w:rsid w:val="46540ED3"/>
    <w:rsid w:val="465A5F58"/>
    <w:rsid w:val="46661E95"/>
    <w:rsid w:val="46673FC8"/>
    <w:rsid w:val="466844B0"/>
    <w:rsid w:val="466E2DDC"/>
    <w:rsid w:val="46766581"/>
    <w:rsid w:val="4684631D"/>
    <w:rsid w:val="46882C63"/>
    <w:rsid w:val="46BE6927"/>
    <w:rsid w:val="46E01FF1"/>
    <w:rsid w:val="46FE2D78"/>
    <w:rsid w:val="470E0CF7"/>
    <w:rsid w:val="4712040F"/>
    <w:rsid w:val="471640D3"/>
    <w:rsid w:val="47176836"/>
    <w:rsid w:val="47486A40"/>
    <w:rsid w:val="475F5E07"/>
    <w:rsid w:val="476E64E4"/>
    <w:rsid w:val="477C6AB3"/>
    <w:rsid w:val="477C7A4E"/>
    <w:rsid w:val="479D0F71"/>
    <w:rsid w:val="479D3F3A"/>
    <w:rsid w:val="47A968A8"/>
    <w:rsid w:val="47D456F2"/>
    <w:rsid w:val="47E44908"/>
    <w:rsid w:val="47E66376"/>
    <w:rsid w:val="47EC0F21"/>
    <w:rsid w:val="482C315F"/>
    <w:rsid w:val="482D2552"/>
    <w:rsid w:val="482D4838"/>
    <w:rsid w:val="482E6692"/>
    <w:rsid w:val="485460E5"/>
    <w:rsid w:val="485B5D18"/>
    <w:rsid w:val="486B0203"/>
    <w:rsid w:val="48817F62"/>
    <w:rsid w:val="488E79DD"/>
    <w:rsid w:val="48A2089C"/>
    <w:rsid w:val="48A2508B"/>
    <w:rsid w:val="48AD5F3F"/>
    <w:rsid w:val="48AF2AEE"/>
    <w:rsid w:val="48B62028"/>
    <w:rsid w:val="48BC34C1"/>
    <w:rsid w:val="48CB52EE"/>
    <w:rsid w:val="48DE7532"/>
    <w:rsid w:val="48F934E9"/>
    <w:rsid w:val="491135D8"/>
    <w:rsid w:val="492F4B50"/>
    <w:rsid w:val="493A71F9"/>
    <w:rsid w:val="493E6656"/>
    <w:rsid w:val="49542FF0"/>
    <w:rsid w:val="49567E5D"/>
    <w:rsid w:val="495E3743"/>
    <w:rsid w:val="496B2C2B"/>
    <w:rsid w:val="49717FD4"/>
    <w:rsid w:val="49816FF6"/>
    <w:rsid w:val="4984324F"/>
    <w:rsid w:val="49A621BD"/>
    <w:rsid w:val="49A77193"/>
    <w:rsid w:val="49D66F62"/>
    <w:rsid w:val="49DE08B3"/>
    <w:rsid w:val="49E77723"/>
    <w:rsid w:val="49FA05AC"/>
    <w:rsid w:val="49FB10AC"/>
    <w:rsid w:val="4A1F6EEF"/>
    <w:rsid w:val="4A211CD9"/>
    <w:rsid w:val="4A242A90"/>
    <w:rsid w:val="4A316F38"/>
    <w:rsid w:val="4A367663"/>
    <w:rsid w:val="4A3B7715"/>
    <w:rsid w:val="4A3E3E9D"/>
    <w:rsid w:val="4A463AC2"/>
    <w:rsid w:val="4A513E5D"/>
    <w:rsid w:val="4A5B4573"/>
    <w:rsid w:val="4A76400E"/>
    <w:rsid w:val="4A887A93"/>
    <w:rsid w:val="4A913D9E"/>
    <w:rsid w:val="4A9C3792"/>
    <w:rsid w:val="4AA66C64"/>
    <w:rsid w:val="4AAA257D"/>
    <w:rsid w:val="4AAD2448"/>
    <w:rsid w:val="4AAE1FB2"/>
    <w:rsid w:val="4AB76249"/>
    <w:rsid w:val="4AB775D3"/>
    <w:rsid w:val="4AD23E52"/>
    <w:rsid w:val="4AE41175"/>
    <w:rsid w:val="4AE5091C"/>
    <w:rsid w:val="4AE747C1"/>
    <w:rsid w:val="4AEA6836"/>
    <w:rsid w:val="4AEB54C6"/>
    <w:rsid w:val="4AFA51E4"/>
    <w:rsid w:val="4B12581B"/>
    <w:rsid w:val="4B42066E"/>
    <w:rsid w:val="4B463D13"/>
    <w:rsid w:val="4B5A7271"/>
    <w:rsid w:val="4B63442D"/>
    <w:rsid w:val="4B6738EC"/>
    <w:rsid w:val="4B7B1099"/>
    <w:rsid w:val="4BB56C1D"/>
    <w:rsid w:val="4BBA72C1"/>
    <w:rsid w:val="4BC6484B"/>
    <w:rsid w:val="4BD11376"/>
    <w:rsid w:val="4BD1314B"/>
    <w:rsid w:val="4BD6183A"/>
    <w:rsid w:val="4BD80006"/>
    <w:rsid w:val="4BDA4CFE"/>
    <w:rsid w:val="4BEB07CE"/>
    <w:rsid w:val="4BFC04C0"/>
    <w:rsid w:val="4C030985"/>
    <w:rsid w:val="4C0F2222"/>
    <w:rsid w:val="4C151D22"/>
    <w:rsid w:val="4C420D0F"/>
    <w:rsid w:val="4C4475EA"/>
    <w:rsid w:val="4C5B0870"/>
    <w:rsid w:val="4C663536"/>
    <w:rsid w:val="4C6B1F25"/>
    <w:rsid w:val="4C762550"/>
    <w:rsid w:val="4C815E38"/>
    <w:rsid w:val="4CA723C4"/>
    <w:rsid w:val="4CA77115"/>
    <w:rsid w:val="4CB961D5"/>
    <w:rsid w:val="4CCD73BF"/>
    <w:rsid w:val="4CEC2891"/>
    <w:rsid w:val="4CEE4D7B"/>
    <w:rsid w:val="4CF77AC4"/>
    <w:rsid w:val="4CFB560B"/>
    <w:rsid w:val="4D0766D2"/>
    <w:rsid w:val="4D1344A7"/>
    <w:rsid w:val="4D1B4D7A"/>
    <w:rsid w:val="4D1F37F9"/>
    <w:rsid w:val="4D3E46DF"/>
    <w:rsid w:val="4D6122DF"/>
    <w:rsid w:val="4D6474E5"/>
    <w:rsid w:val="4D6761CB"/>
    <w:rsid w:val="4D833861"/>
    <w:rsid w:val="4D925563"/>
    <w:rsid w:val="4DA73F6E"/>
    <w:rsid w:val="4DE30CE7"/>
    <w:rsid w:val="4DF33A40"/>
    <w:rsid w:val="4E0618B1"/>
    <w:rsid w:val="4E07185C"/>
    <w:rsid w:val="4E0E4A47"/>
    <w:rsid w:val="4E104A3C"/>
    <w:rsid w:val="4E1C08CD"/>
    <w:rsid w:val="4E3A2F35"/>
    <w:rsid w:val="4E3F16D2"/>
    <w:rsid w:val="4E3F5C7D"/>
    <w:rsid w:val="4E423E14"/>
    <w:rsid w:val="4E4445FC"/>
    <w:rsid w:val="4E465ABC"/>
    <w:rsid w:val="4E4B1494"/>
    <w:rsid w:val="4E4C15BC"/>
    <w:rsid w:val="4E505B6D"/>
    <w:rsid w:val="4E696F55"/>
    <w:rsid w:val="4E755477"/>
    <w:rsid w:val="4E7F349C"/>
    <w:rsid w:val="4E962564"/>
    <w:rsid w:val="4E965D98"/>
    <w:rsid w:val="4EA124C4"/>
    <w:rsid w:val="4EB754A7"/>
    <w:rsid w:val="4EC10576"/>
    <w:rsid w:val="4ECC2FA1"/>
    <w:rsid w:val="4F2E206A"/>
    <w:rsid w:val="4F2E3E0A"/>
    <w:rsid w:val="4F3855EC"/>
    <w:rsid w:val="4F44078A"/>
    <w:rsid w:val="4F675952"/>
    <w:rsid w:val="4F6B0384"/>
    <w:rsid w:val="4F746CA4"/>
    <w:rsid w:val="4F7876BA"/>
    <w:rsid w:val="4FA96E7F"/>
    <w:rsid w:val="4FB27714"/>
    <w:rsid w:val="4FCA3333"/>
    <w:rsid w:val="4FE2597A"/>
    <w:rsid w:val="4FF51D06"/>
    <w:rsid w:val="50233388"/>
    <w:rsid w:val="502B0CB8"/>
    <w:rsid w:val="503010DF"/>
    <w:rsid w:val="50376182"/>
    <w:rsid w:val="50452D61"/>
    <w:rsid w:val="50474D49"/>
    <w:rsid w:val="505229A6"/>
    <w:rsid w:val="506350EC"/>
    <w:rsid w:val="506C3187"/>
    <w:rsid w:val="507873E2"/>
    <w:rsid w:val="50800E76"/>
    <w:rsid w:val="508A00C9"/>
    <w:rsid w:val="509E2ED3"/>
    <w:rsid w:val="50A515CD"/>
    <w:rsid w:val="50D47AB9"/>
    <w:rsid w:val="50DC4E4F"/>
    <w:rsid w:val="50FC1680"/>
    <w:rsid w:val="50FE7736"/>
    <w:rsid w:val="5100166B"/>
    <w:rsid w:val="51020C08"/>
    <w:rsid w:val="511C776D"/>
    <w:rsid w:val="512903B7"/>
    <w:rsid w:val="5139671D"/>
    <w:rsid w:val="514A2EB7"/>
    <w:rsid w:val="515C0E1F"/>
    <w:rsid w:val="51637B78"/>
    <w:rsid w:val="517C1758"/>
    <w:rsid w:val="519313B0"/>
    <w:rsid w:val="51AC5D25"/>
    <w:rsid w:val="51B17439"/>
    <w:rsid w:val="51B8415E"/>
    <w:rsid w:val="51CF7B15"/>
    <w:rsid w:val="51D35A9F"/>
    <w:rsid w:val="51D43BC5"/>
    <w:rsid w:val="51D901FB"/>
    <w:rsid w:val="51D92538"/>
    <w:rsid w:val="51ED40EA"/>
    <w:rsid w:val="51FB355C"/>
    <w:rsid w:val="520F08F3"/>
    <w:rsid w:val="52187E1D"/>
    <w:rsid w:val="52283130"/>
    <w:rsid w:val="52286525"/>
    <w:rsid w:val="523E4DBF"/>
    <w:rsid w:val="52502BB6"/>
    <w:rsid w:val="525C2DF1"/>
    <w:rsid w:val="526406EE"/>
    <w:rsid w:val="526715FD"/>
    <w:rsid w:val="526D54EA"/>
    <w:rsid w:val="526E7374"/>
    <w:rsid w:val="5274592C"/>
    <w:rsid w:val="527B5E3E"/>
    <w:rsid w:val="52956C1E"/>
    <w:rsid w:val="529E1DA2"/>
    <w:rsid w:val="52B45022"/>
    <w:rsid w:val="52B869B3"/>
    <w:rsid w:val="52C33D66"/>
    <w:rsid w:val="52CC59A7"/>
    <w:rsid w:val="52CF6267"/>
    <w:rsid w:val="52E853A9"/>
    <w:rsid w:val="52FF753C"/>
    <w:rsid w:val="53187777"/>
    <w:rsid w:val="5347472A"/>
    <w:rsid w:val="534D4D8E"/>
    <w:rsid w:val="5350476C"/>
    <w:rsid w:val="535316B3"/>
    <w:rsid w:val="535A298E"/>
    <w:rsid w:val="535B28DD"/>
    <w:rsid w:val="537578E1"/>
    <w:rsid w:val="537E1416"/>
    <w:rsid w:val="539901CA"/>
    <w:rsid w:val="53A25C19"/>
    <w:rsid w:val="53AC7264"/>
    <w:rsid w:val="53B0035C"/>
    <w:rsid w:val="53B600CA"/>
    <w:rsid w:val="53C74885"/>
    <w:rsid w:val="53C764AB"/>
    <w:rsid w:val="53D062F2"/>
    <w:rsid w:val="53D87244"/>
    <w:rsid w:val="53DC386B"/>
    <w:rsid w:val="53E677FB"/>
    <w:rsid w:val="53F60B88"/>
    <w:rsid w:val="53F732EB"/>
    <w:rsid w:val="54153EF4"/>
    <w:rsid w:val="54204740"/>
    <w:rsid w:val="542366F8"/>
    <w:rsid w:val="54525419"/>
    <w:rsid w:val="546021DB"/>
    <w:rsid w:val="546B1310"/>
    <w:rsid w:val="54C27461"/>
    <w:rsid w:val="54C46383"/>
    <w:rsid w:val="54C4683E"/>
    <w:rsid w:val="54C641E4"/>
    <w:rsid w:val="54D004A3"/>
    <w:rsid w:val="54D0274C"/>
    <w:rsid w:val="55274ECF"/>
    <w:rsid w:val="554223E9"/>
    <w:rsid w:val="55465BF2"/>
    <w:rsid w:val="555010F1"/>
    <w:rsid w:val="555437E4"/>
    <w:rsid w:val="55573940"/>
    <w:rsid w:val="555D26C4"/>
    <w:rsid w:val="5579132A"/>
    <w:rsid w:val="557A1ECD"/>
    <w:rsid w:val="55941FF5"/>
    <w:rsid w:val="55A7159C"/>
    <w:rsid w:val="55BA6EDB"/>
    <w:rsid w:val="55BF01A7"/>
    <w:rsid w:val="55C26165"/>
    <w:rsid w:val="55D6102A"/>
    <w:rsid w:val="55E21ED7"/>
    <w:rsid w:val="55F822E4"/>
    <w:rsid w:val="55FA157E"/>
    <w:rsid w:val="56046262"/>
    <w:rsid w:val="56150435"/>
    <w:rsid w:val="56171AA1"/>
    <w:rsid w:val="56230C17"/>
    <w:rsid w:val="562F2763"/>
    <w:rsid w:val="56314340"/>
    <w:rsid w:val="56367954"/>
    <w:rsid w:val="56370001"/>
    <w:rsid w:val="563C61D2"/>
    <w:rsid w:val="56636C16"/>
    <w:rsid w:val="568E42FA"/>
    <w:rsid w:val="56AF4D2E"/>
    <w:rsid w:val="56BA14BF"/>
    <w:rsid w:val="56BE756C"/>
    <w:rsid w:val="56D216ED"/>
    <w:rsid w:val="56D80D36"/>
    <w:rsid w:val="56F05266"/>
    <w:rsid w:val="57114442"/>
    <w:rsid w:val="57147746"/>
    <w:rsid w:val="571B40D9"/>
    <w:rsid w:val="572D66E6"/>
    <w:rsid w:val="57320C16"/>
    <w:rsid w:val="57426824"/>
    <w:rsid w:val="57493765"/>
    <w:rsid w:val="574C7147"/>
    <w:rsid w:val="57572D82"/>
    <w:rsid w:val="57630146"/>
    <w:rsid w:val="578E1398"/>
    <w:rsid w:val="579149CA"/>
    <w:rsid w:val="579A1E92"/>
    <w:rsid w:val="57A96EF1"/>
    <w:rsid w:val="57AA23CF"/>
    <w:rsid w:val="57B40121"/>
    <w:rsid w:val="57CA7FC1"/>
    <w:rsid w:val="57D27686"/>
    <w:rsid w:val="57DD0805"/>
    <w:rsid w:val="57DF77D7"/>
    <w:rsid w:val="580E2C2B"/>
    <w:rsid w:val="58533496"/>
    <w:rsid w:val="585E0D67"/>
    <w:rsid w:val="58610319"/>
    <w:rsid w:val="58767551"/>
    <w:rsid w:val="587E3F23"/>
    <w:rsid w:val="589165A1"/>
    <w:rsid w:val="589214AF"/>
    <w:rsid w:val="589250A5"/>
    <w:rsid w:val="58945F1B"/>
    <w:rsid w:val="589625B4"/>
    <w:rsid w:val="589D6944"/>
    <w:rsid w:val="58B90493"/>
    <w:rsid w:val="58C15095"/>
    <w:rsid w:val="58CA61B5"/>
    <w:rsid w:val="58E37763"/>
    <w:rsid w:val="58E52550"/>
    <w:rsid w:val="58E93536"/>
    <w:rsid w:val="58F0396A"/>
    <w:rsid w:val="59025F16"/>
    <w:rsid w:val="59146756"/>
    <w:rsid w:val="5915395F"/>
    <w:rsid w:val="591F080C"/>
    <w:rsid w:val="59371BFE"/>
    <w:rsid w:val="59372517"/>
    <w:rsid w:val="594317EB"/>
    <w:rsid w:val="594A12EF"/>
    <w:rsid w:val="594E77E9"/>
    <w:rsid w:val="594F2B09"/>
    <w:rsid w:val="595B1092"/>
    <w:rsid w:val="595C63A2"/>
    <w:rsid w:val="597752E8"/>
    <w:rsid w:val="597D6869"/>
    <w:rsid w:val="598720EB"/>
    <w:rsid w:val="59992DE5"/>
    <w:rsid w:val="599E04AA"/>
    <w:rsid w:val="59B255A2"/>
    <w:rsid w:val="59B669E2"/>
    <w:rsid w:val="59B84905"/>
    <w:rsid w:val="59BE3684"/>
    <w:rsid w:val="59C64875"/>
    <w:rsid w:val="59C72A09"/>
    <w:rsid w:val="59C97EB4"/>
    <w:rsid w:val="59D0647B"/>
    <w:rsid w:val="59EE791A"/>
    <w:rsid w:val="5A044755"/>
    <w:rsid w:val="5A047E08"/>
    <w:rsid w:val="5A0F03A7"/>
    <w:rsid w:val="5A1B501D"/>
    <w:rsid w:val="5A26447F"/>
    <w:rsid w:val="5A307F33"/>
    <w:rsid w:val="5A443DDD"/>
    <w:rsid w:val="5A47702B"/>
    <w:rsid w:val="5A477A21"/>
    <w:rsid w:val="5A543134"/>
    <w:rsid w:val="5A6417AA"/>
    <w:rsid w:val="5A692D99"/>
    <w:rsid w:val="5A6A05EB"/>
    <w:rsid w:val="5A6E43D0"/>
    <w:rsid w:val="5A6F76B1"/>
    <w:rsid w:val="5A8147EC"/>
    <w:rsid w:val="5AB07F4A"/>
    <w:rsid w:val="5AB37B5F"/>
    <w:rsid w:val="5ABC472F"/>
    <w:rsid w:val="5AD37EE9"/>
    <w:rsid w:val="5AE1186F"/>
    <w:rsid w:val="5AE478A9"/>
    <w:rsid w:val="5AE52476"/>
    <w:rsid w:val="5AFD7347"/>
    <w:rsid w:val="5B042AF6"/>
    <w:rsid w:val="5B0C3694"/>
    <w:rsid w:val="5B0E3C8D"/>
    <w:rsid w:val="5B1974EA"/>
    <w:rsid w:val="5B1B1ECE"/>
    <w:rsid w:val="5B25268D"/>
    <w:rsid w:val="5B2D008C"/>
    <w:rsid w:val="5B305D11"/>
    <w:rsid w:val="5B3550D5"/>
    <w:rsid w:val="5B587FBF"/>
    <w:rsid w:val="5B635852"/>
    <w:rsid w:val="5B793B37"/>
    <w:rsid w:val="5B8609E3"/>
    <w:rsid w:val="5B862AEB"/>
    <w:rsid w:val="5B874372"/>
    <w:rsid w:val="5BA32462"/>
    <w:rsid w:val="5BB00203"/>
    <w:rsid w:val="5BBD3748"/>
    <w:rsid w:val="5BC90CCF"/>
    <w:rsid w:val="5BDA74B9"/>
    <w:rsid w:val="5C003C21"/>
    <w:rsid w:val="5C031CBD"/>
    <w:rsid w:val="5C0B2B5E"/>
    <w:rsid w:val="5C14118E"/>
    <w:rsid w:val="5C1B0113"/>
    <w:rsid w:val="5C232C7D"/>
    <w:rsid w:val="5C25766B"/>
    <w:rsid w:val="5C2D5D5C"/>
    <w:rsid w:val="5C417E1F"/>
    <w:rsid w:val="5C43732C"/>
    <w:rsid w:val="5C492C82"/>
    <w:rsid w:val="5C515F3F"/>
    <w:rsid w:val="5C5E52C0"/>
    <w:rsid w:val="5C651C39"/>
    <w:rsid w:val="5C6E1BDA"/>
    <w:rsid w:val="5C7923B2"/>
    <w:rsid w:val="5C7B2211"/>
    <w:rsid w:val="5C930DB9"/>
    <w:rsid w:val="5C987399"/>
    <w:rsid w:val="5CA42512"/>
    <w:rsid w:val="5CB66A53"/>
    <w:rsid w:val="5CD0590F"/>
    <w:rsid w:val="5CD53FEE"/>
    <w:rsid w:val="5CD90C48"/>
    <w:rsid w:val="5D0E6CF9"/>
    <w:rsid w:val="5D0F6D36"/>
    <w:rsid w:val="5D202C70"/>
    <w:rsid w:val="5D4C77E2"/>
    <w:rsid w:val="5D5F2220"/>
    <w:rsid w:val="5D5F42DE"/>
    <w:rsid w:val="5D641B19"/>
    <w:rsid w:val="5D663AFB"/>
    <w:rsid w:val="5D831AAA"/>
    <w:rsid w:val="5D8A38F0"/>
    <w:rsid w:val="5D9540DD"/>
    <w:rsid w:val="5DD230BB"/>
    <w:rsid w:val="5DDB0E86"/>
    <w:rsid w:val="5DE61C4E"/>
    <w:rsid w:val="5DFA2357"/>
    <w:rsid w:val="5E415B8F"/>
    <w:rsid w:val="5E47001E"/>
    <w:rsid w:val="5E4E1853"/>
    <w:rsid w:val="5E680086"/>
    <w:rsid w:val="5E750BEF"/>
    <w:rsid w:val="5E762572"/>
    <w:rsid w:val="5E8910F1"/>
    <w:rsid w:val="5E90651C"/>
    <w:rsid w:val="5EA065BD"/>
    <w:rsid w:val="5EA52D59"/>
    <w:rsid w:val="5EB252AE"/>
    <w:rsid w:val="5EBF58B7"/>
    <w:rsid w:val="5EC61C02"/>
    <w:rsid w:val="5EE90B6F"/>
    <w:rsid w:val="5EEF5264"/>
    <w:rsid w:val="5EF40B32"/>
    <w:rsid w:val="5F0369AC"/>
    <w:rsid w:val="5F116C7F"/>
    <w:rsid w:val="5F180945"/>
    <w:rsid w:val="5F1B22F8"/>
    <w:rsid w:val="5F3416E0"/>
    <w:rsid w:val="5F3C7346"/>
    <w:rsid w:val="5F4547A6"/>
    <w:rsid w:val="5F510414"/>
    <w:rsid w:val="5F6D4EF5"/>
    <w:rsid w:val="5F7A33AF"/>
    <w:rsid w:val="5F7A6A3C"/>
    <w:rsid w:val="5F831A87"/>
    <w:rsid w:val="5F865834"/>
    <w:rsid w:val="5F894AB8"/>
    <w:rsid w:val="5F8D247B"/>
    <w:rsid w:val="5F8F55E2"/>
    <w:rsid w:val="5F9A221A"/>
    <w:rsid w:val="5F9E7A15"/>
    <w:rsid w:val="5FA573A2"/>
    <w:rsid w:val="5FCA26A6"/>
    <w:rsid w:val="5FE25190"/>
    <w:rsid w:val="60004050"/>
    <w:rsid w:val="6003687A"/>
    <w:rsid w:val="60044C4E"/>
    <w:rsid w:val="60116111"/>
    <w:rsid w:val="6012628A"/>
    <w:rsid w:val="601D2892"/>
    <w:rsid w:val="603B5F4E"/>
    <w:rsid w:val="604077DE"/>
    <w:rsid w:val="60462D45"/>
    <w:rsid w:val="60487659"/>
    <w:rsid w:val="60493758"/>
    <w:rsid w:val="605E18B1"/>
    <w:rsid w:val="605E3BB6"/>
    <w:rsid w:val="606C4898"/>
    <w:rsid w:val="607F100B"/>
    <w:rsid w:val="609355AC"/>
    <w:rsid w:val="609629B4"/>
    <w:rsid w:val="60993D15"/>
    <w:rsid w:val="609F65A9"/>
    <w:rsid w:val="60A56DE7"/>
    <w:rsid w:val="60AE7CD2"/>
    <w:rsid w:val="60CB21A4"/>
    <w:rsid w:val="60E73148"/>
    <w:rsid w:val="60E73921"/>
    <w:rsid w:val="60EF12F5"/>
    <w:rsid w:val="60F5116C"/>
    <w:rsid w:val="60FE057C"/>
    <w:rsid w:val="610F55B7"/>
    <w:rsid w:val="611101A0"/>
    <w:rsid w:val="61131C97"/>
    <w:rsid w:val="61365C8D"/>
    <w:rsid w:val="613A60D0"/>
    <w:rsid w:val="6147161F"/>
    <w:rsid w:val="614C52A6"/>
    <w:rsid w:val="6153779D"/>
    <w:rsid w:val="61572956"/>
    <w:rsid w:val="615D6A76"/>
    <w:rsid w:val="61751B7C"/>
    <w:rsid w:val="6179526E"/>
    <w:rsid w:val="6186668A"/>
    <w:rsid w:val="619E5C44"/>
    <w:rsid w:val="61A204CF"/>
    <w:rsid w:val="61A35DEE"/>
    <w:rsid w:val="61AA64EC"/>
    <w:rsid w:val="61B93E9C"/>
    <w:rsid w:val="61CA529A"/>
    <w:rsid w:val="61CA673E"/>
    <w:rsid w:val="61D036F8"/>
    <w:rsid w:val="61E25DE1"/>
    <w:rsid w:val="61E37639"/>
    <w:rsid w:val="61E81665"/>
    <w:rsid w:val="61FF4A15"/>
    <w:rsid w:val="6203479D"/>
    <w:rsid w:val="621179E6"/>
    <w:rsid w:val="6228208B"/>
    <w:rsid w:val="622B5ACE"/>
    <w:rsid w:val="62335BF3"/>
    <w:rsid w:val="624E1D36"/>
    <w:rsid w:val="626A0AFC"/>
    <w:rsid w:val="626B2C09"/>
    <w:rsid w:val="62936DED"/>
    <w:rsid w:val="62A53754"/>
    <w:rsid w:val="62B75C19"/>
    <w:rsid w:val="62BE6AD6"/>
    <w:rsid w:val="62C84B16"/>
    <w:rsid w:val="63141A74"/>
    <w:rsid w:val="63145830"/>
    <w:rsid w:val="63191B87"/>
    <w:rsid w:val="631A3BEC"/>
    <w:rsid w:val="631F129F"/>
    <w:rsid w:val="6330391E"/>
    <w:rsid w:val="633D725E"/>
    <w:rsid w:val="633E69D3"/>
    <w:rsid w:val="634647E8"/>
    <w:rsid w:val="634B303D"/>
    <w:rsid w:val="634B53FE"/>
    <w:rsid w:val="63744BDA"/>
    <w:rsid w:val="63776D82"/>
    <w:rsid w:val="637F1CC9"/>
    <w:rsid w:val="637F66C0"/>
    <w:rsid w:val="63816B03"/>
    <w:rsid w:val="638811FC"/>
    <w:rsid w:val="63C77758"/>
    <w:rsid w:val="63CA5420"/>
    <w:rsid w:val="63D23E09"/>
    <w:rsid w:val="63DC6258"/>
    <w:rsid w:val="63DE7C54"/>
    <w:rsid w:val="63E74D3A"/>
    <w:rsid w:val="63F81A8A"/>
    <w:rsid w:val="63FA19D3"/>
    <w:rsid w:val="640F623A"/>
    <w:rsid w:val="64130ED2"/>
    <w:rsid w:val="6419436D"/>
    <w:rsid w:val="64222750"/>
    <w:rsid w:val="6427596A"/>
    <w:rsid w:val="642D7FAE"/>
    <w:rsid w:val="643972B5"/>
    <w:rsid w:val="644278BE"/>
    <w:rsid w:val="64445EA1"/>
    <w:rsid w:val="645137A4"/>
    <w:rsid w:val="645604FC"/>
    <w:rsid w:val="64565EB5"/>
    <w:rsid w:val="64631F5D"/>
    <w:rsid w:val="647B76B7"/>
    <w:rsid w:val="648D6891"/>
    <w:rsid w:val="649C385B"/>
    <w:rsid w:val="649C7221"/>
    <w:rsid w:val="64A14D8F"/>
    <w:rsid w:val="64A27312"/>
    <w:rsid w:val="64AE7B12"/>
    <w:rsid w:val="64DD6F7B"/>
    <w:rsid w:val="64FD2F54"/>
    <w:rsid w:val="64FD6C64"/>
    <w:rsid w:val="65005322"/>
    <w:rsid w:val="65082461"/>
    <w:rsid w:val="65234498"/>
    <w:rsid w:val="653132CA"/>
    <w:rsid w:val="653572E3"/>
    <w:rsid w:val="654304A5"/>
    <w:rsid w:val="65447121"/>
    <w:rsid w:val="655B7708"/>
    <w:rsid w:val="656052D3"/>
    <w:rsid w:val="656548A4"/>
    <w:rsid w:val="656767D3"/>
    <w:rsid w:val="6568094D"/>
    <w:rsid w:val="658725BB"/>
    <w:rsid w:val="658A0A98"/>
    <w:rsid w:val="658E6CA4"/>
    <w:rsid w:val="659F0A85"/>
    <w:rsid w:val="65A01B7B"/>
    <w:rsid w:val="65AA50CE"/>
    <w:rsid w:val="65BB645D"/>
    <w:rsid w:val="65C63ACF"/>
    <w:rsid w:val="65D2796E"/>
    <w:rsid w:val="65DA0D53"/>
    <w:rsid w:val="65F12E1A"/>
    <w:rsid w:val="66097669"/>
    <w:rsid w:val="6612578A"/>
    <w:rsid w:val="66336AAB"/>
    <w:rsid w:val="66691F0E"/>
    <w:rsid w:val="666B273E"/>
    <w:rsid w:val="66746407"/>
    <w:rsid w:val="66822014"/>
    <w:rsid w:val="668D3248"/>
    <w:rsid w:val="669D4C8E"/>
    <w:rsid w:val="66A07E92"/>
    <w:rsid w:val="66A92CCB"/>
    <w:rsid w:val="66BF0E97"/>
    <w:rsid w:val="66D03E64"/>
    <w:rsid w:val="67040CE3"/>
    <w:rsid w:val="67052B7A"/>
    <w:rsid w:val="67090F24"/>
    <w:rsid w:val="670F4FB7"/>
    <w:rsid w:val="672F7EFC"/>
    <w:rsid w:val="67311FC6"/>
    <w:rsid w:val="67334D43"/>
    <w:rsid w:val="673831D4"/>
    <w:rsid w:val="674548F2"/>
    <w:rsid w:val="67580AC9"/>
    <w:rsid w:val="67732B9F"/>
    <w:rsid w:val="677921CF"/>
    <w:rsid w:val="677D3130"/>
    <w:rsid w:val="678B25D2"/>
    <w:rsid w:val="67933B42"/>
    <w:rsid w:val="679E74F8"/>
    <w:rsid w:val="67A41D2D"/>
    <w:rsid w:val="67B1500D"/>
    <w:rsid w:val="67C17B63"/>
    <w:rsid w:val="67D17B86"/>
    <w:rsid w:val="67E25ADE"/>
    <w:rsid w:val="67FB7C08"/>
    <w:rsid w:val="681C2BE4"/>
    <w:rsid w:val="68403108"/>
    <w:rsid w:val="6841499F"/>
    <w:rsid w:val="68682DA2"/>
    <w:rsid w:val="68944E36"/>
    <w:rsid w:val="68A04508"/>
    <w:rsid w:val="68B45FFE"/>
    <w:rsid w:val="68B467B5"/>
    <w:rsid w:val="68D75980"/>
    <w:rsid w:val="69322E79"/>
    <w:rsid w:val="693D07DD"/>
    <w:rsid w:val="69423644"/>
    <w:rsid w:val="69612EA4"/>
    <w:rsid w:val="696C4411"/>
    <w:rsid w:val="697903B1"/>
    <w:rsid w:val="6984263A"/>
    <w:rsid w:val="69896FEC"/>
    <w:rsid w:val="698F679F"/>
    <w:rsid w:val="699942B0"/>
    <w:rsid w:val="69B71F8C"/>
    <w:rsid w:val="69E12524"/>
    <w:rsid w:val="69ED0C82"/>
    <w:rsid w:val="6A02004B"/>
    <w:rsid w:val="6A15304F"/>
    <w:rsid w:val="6A1D0BAC"/>
    <w:rsid w:val="6A1E535E"/>
    <w:rsid w:val="6A2518EB"/>
    <w:rsid w:val="6A251D6C"/>
    <w:rsid w:val="6A301E73"/>
    <w:rsid w:val="6A3D44BC"/>
    <w:rsid w:val="6A3E469B"/>
    <w:rsid w:val="6A5251FA"/>
    <w:rsid w:val="6A566C78"/>
    <w:rsid w:val="6A5E01DB"/>
    <w:rsid w:val="6A5F17F1"/>
    <w:rsid w:val="6A64462B"/>
    <w:rsid w:val="6A6612E8"/>
    <w:rsid w:val="6A6A2D76"/>
    <w:rsid w:val="6A741E6B"/>
    <w:rsid w:val="6A8E0CB6"/>
    <w:rsid w:val="6AAD65DA"/>
    <w:rsid w:val="6AB05F58"/>
    <w:rsid w:val="6AB27455"/>
    <w:rsid w:val="6ABC6E71"/>
    <w:rsid w:val="6ABD6DE5"/>
    <w:rsid w:val="6ABE6967"/>
    <w:rsid w:val="6ACE1B5B"/>
    <w:rsid w:val="6AE63548"/>
    <w:rsid w:val="6AE67B18"/>
    <w:rsid w:val="6AEE67DF"/>
    <w:rsid w:val="6B08247F"/>
    <w:rsid w:val="6B1F4868"/>
    <w:rsid w:val="6B3F6A04"/>
    <w:rsid w:val="6B564873"/>
    <w:rsid w:val="6B607F4C"/>
    <w:rsid w:val="6B61242F"/>
    <w:rsid w:val="6B6172B7"/>
    <w:rsid w:val="6B803BF8"/>
    <w:rsid w:val="6B887B0B"/>
    <w:rsid w:val="6B9521AC"/>
    <w:rsid w:val="6B9D149F"/>
    <w:rsid w:val="6BA005C4"/>
    <w:rsid w:val="6BAA5666"/>
    <w:rsid w:val="6BAC75D4"/>
    <w:rsid w:val="6BB54E7B"/>
    <w:rsid w:val="6BBB08FE"/>
    <w:rsid w:val="6BC93D43"/>
    <w:rsid w:val="6BCB5BAA"/>
    <w:rsid w:val="6BCE53E1"/>
    <w:rsid w:val="6BDD2890"/>
    <w:rsid w:val="6BE178D6"/>
    <w:rsid w:val="6BE93DA4"/>
    <w:rsid w:val="6BED1711"/>
    <w:rsid w:val="6BF426C1"/>
    <w:rsid w:val="6BF47625"/>
    <w:rsid w:val="6BFE2622"/>
    <w:rsid w:val="6C1530C9"/>
    <w:rsid w:val="6C1C4137"/>
    <w:rsid w:val="6C3821B0"/>
    <w:rsid w:val="6C401DB3"/>
    <w:rsid w:val="6C423AF6"/>
    <w:rsid w:val="6C474DB6"/>
    <w:rsid w:val="6C69261A"/>
    <w:rsid w:val="6C6F7DC6"/>
    <w:rsid w:val="6C7753C8"/>
    <w:rsid w:val="6CA05CD4"/>
    <w:rsid w:val="6CB02616"/>
    <w:rsid w:val="6CB52941"/>
    <w:rsid w:val="6CB66E3E"/>
    <w:rsid w:val="6CB71268"/>
    <w:rsid w:val="6CD464FC"/>
    <w:rsid w:val="6CEB545D"/>
    <w:rsid w:val="6D005F72"/>
    <w:rsid w:val="6D1445A9"/>
    <w:rsid w:val="6D193550"/>
    <w:rsid w:val="6D25211C"/>
    <w:rsid w:val="6D297DB1"/>
    <w:rsid w:val="6D361620"/>
    <w:rsid w:val="6D3A3249"/>
    <w:rsid w:val="6D517195"/>
    <w:rsid w:val="6D5556B2"/>
    <w:rsid w:val="6D5926D9"/>
    <w:rsid w:val="6D5F2987"/>
    <w:rsid w:val="6D6A6DCE"/>
    <w:rsid w:val="6D710654"/>
    <w:rsid w:val="6D8850B6"/>
    <w:rsid w:val="6D8C06E8"/>
    <w:rsid w:val="6D9500D3"/>
    <w:rsid w:val="6DAC7EF3"/>
    <w:rsid w:val="6DCD1B8E"/>
    <w:rsid w:val="6DD870E0"/>
    <w:rsid w:val="6DED1530"/>
    <w:rsid w:val="6DF44A2B"/>
    <w:rsid w:val="6E1008E3"/>
    <w:rsid w:val="6E101471"/>
    <w:rsid w:val="6E1C2FD8"/>
    <w:rsid w:val="6E264488"/>
    <w:rsid w:val="6E2F3B27"/>
    <w:rsid w:val="6E386530"/>
    <w:rsid w:val="6E46167B"/>
    <w:rsid w:val="6E50347F"/>
    <w:rsid w:val="6E527C93"/>
    <w:rsid w:val="6E5660EB"/>
    <w:rsid w:val="6E757411"/>
    <w:rsid w:val="6E7A5464"/>
    <w:rsid w:val="6E8F6BF8"/>
    <w:rsid w:val="6EA45452"/>
    <w:rsid w:val="6EB722CE"/>
    <w:rsid w:val="6EBA74E6"/>
    <w:rsid w:val="6EBD2262"/>
    <w:rsid w:val="6EC86B29"/>
    <w:rsid w:val="6ED27B66"/>
    <w:rsid w:val="6EFC5057"/>
    <w:rsid w:val="6F0E52F6"/>
    <w:rsid w:val="6F137E78"/>
    <w:rsid w:val="6F1E4E3A"/>
    <w:rsid w:val="6F313B88"/>
    <w:rsid w:val="6F421F33"/>
    <w:rsid w:val="6F771D08"/>
    <w:rsid w:val="6F980656"/>
    <w:rsid w:val="6FD34BE3"/>
    <w:rsid w:val="6FDE21BE"/>
    <w:rsid w:val="6FDE231C"/>
    <w:rsid w:val="6FE13205"/>
    <w:rsid w:val="6FEB4F41"/>
    <w:rsid w:val="6FEB735C"/>
    <w:rsid w:val="6FF41F35"/>
    <w:rsid w:val="6FF84BF7"/>
    <w:rsid w:val="70086CE3"/>
    <w:rsid w:val="700E7030"/>
    <w:rsid w:val="70133860"/>
    <w:rsid w:val="701C4FC4"/>
    <w:rsid w:val="70357BFC"/>
    <w:rsid w:val="70393BB3"/>
    <w:rsid w:val="70416FE8"/>
    <w:rsid w:val="70514CF5"/>
    <w:rsid w:val="706873A0"/>
    <w:rsid w:val="706F0F67"/>
    <w:rsid w:val="70AB4696"/>
    <w:rsid w:val="70AD1002"/>
    <w:rsid w:val="70B73345"/>
    <w:rsid w:val="70D10366"/>
    <w:rsid w:val="710B3FBB"/>
    <w:rsid w:val="710C7BF8"/>
    <w:rsid w:val="711A1966"/>
    <w:rsid w:val="71235359"/>
    <w:rsid w:val="714B4BED"/>
    <w:rsid w:val="718B0604"/>
    <w:rsid w:val="71DC6AFF"/>
    <w:rsid w:val="71E216E7"/>
    <w:rsid w:val="71F316C7"/>
    <w:rsid w:val="71F9691A"/>
    <w:rsid w:val="72057ACD"/>
    <w:rsid w:val="7207113B"/>
    <w:rsid w:val="720842AE"/>
    <w:rsid w:val="7220129B"/>
    <w:rsid w:val="7221191A"/>
    <w:rsid w:val="722E2088"/>
    <w:rsid w:val="72345558"/>
    <w:rsid w:val="723C0407"/>
    <w:rsid w:val="723E18E7"/>
    <w:rsid w:val="723F7693"/>
    <w:rsid w:val="72404633"/>
    <w:rsid w:val="724940D4"/>
    <w:rsid w:val="725241C4"/>
    <w:rsid w:val="726417EB"/>
    <w:rsid w:val="728A7F5B"/>
    <w:rsid w:val="72B27B5F"/>
    <w:rsid w:val="72BB7FD5"/>
    <w:rsid w:val="72C763D9"/>
    <w:rsid w:val="72C80D6D"/>
    <w:rsid w:val="72CC4C23"/>
    <w:rsid w:val="72D021FF"/>
    <w:rsid w:val="72D04CE3"/>
    <w:rsid w:val="72D111F6"/>
    <w:rsid w:val="72D57833"/>
    <w:rsid w:val="72D815EA"/>
    <w:rsid w:val="72EA3D11"/>
    <w:rsid w:val="72F20A85"/>
    <w:rsid w:val="73064B27"/>
    <w:rsid w:val="7351438E"/>
    <w:rsid w:val="735465E8"/>
    <w:rsid w:val="735C36EF"/>
    <w:rsid w:val="735D756E"/>
    <w:rsid w:val="736D6F05"/>
    <w:rsid w:val="737C4097"/>
    <w:rsid w:val="73807E4E"/>
    <w:rsid w:val="73844D41"/>
    <w:rsid w:val="738A5477"/>
    <w:rsid w:val="7395073B"/>
    <w:rsid w:val="73986338"/>
    <w:rsid w:val="739C78BA"/>
    <w:rsid w:val="739E4A6F"/>
    <w:rsid w:val="73A726EE"/>
    <w:rsid w:val="73BD09C2"/>
    <w:rsid w:val="73C83B79"/>
    <w:rsid w:val="73C9694A"/>
    <w:rsid w:val="73D47345"/>
    <w:rsid w:val="73D54733"/>
    <w:rsid w:val="73E9701C"/>
    <w:rsid w:val="73F45BE1"/>
    <w:rsid w:val="73F97EE6"/>
    <w:rsid w:val="740F5D5C"/>
    <w:rsid w:val="7416389E"/>
    <w:rsid w:val="741773B7"/>
    <w:rsid w:val="741C16F1"/>
    <w:rsid w:val="74563D93"/>
    <w:rsid w:val="74580726"/>
    <w:rsid w:val="747B36DE"/>
    <w:rsid w:val="74811BD1"/>
    <w:rsid w:val="74847FAA"/>
    <w:rsid w:val="74934C27"/>
    <w:rsid w:val="74961AD8"/>
    <w:rsid w:val="749B0ED9"/>
    <w:rsid w:val="749D334E"/>
    <w:rsid w:val="74A175B5"/>
    <w:rsid w:val="74A61AE7"/>
    <w:rsid w:val="74C46C2C"/>
    <w:rsid w:val="74D5560D"/>
    <w:rsid w:val="74E732DF"/>
    <w:rsid w:val="74F84E3F"/>
    <w:rsid w:val="750000AA"/>
    <w:rsid w:val="750C201B"/>
    <w:rsid w:val="7512265A"/>
    <w:rsid w:val="7516079C"/>
    <w:rsid w:val="751D3049"/>
    <w:rsid w:val="75253D19"/>
    <w:rsid w:val="753212BF"/>
    <w:rsid w:val="754C4827"/>
    <w:rsid w:val="7550731A"/>
    <w:rsid w:val="755952CB"/>
    <w:rsid w:val="755F44BE"/>
    <w:rsid w:val="75706FDE"/>
    <w:rsid w:val="75734669"/>
    <w:rsid w:val="757752EA"/>
    <w:rsid w:val="75860771"/>
    <w:rsid w:val="7588068F"/>
    <w:rsid w:val="758C4B0D"/>
    <w:rsid w:val="759A22AD"/>
    <w:rsid w:val="75A6773C"/>
    <w:rsid w:val="75AC0184"/>
    <w:rsid w:val="75B21D9B"/>
    <w:rsid w:val="75DA0763"/>
    <w:rsid w:val="75E05015"/>
    <w:rsid w:val="75E35058"/>
    <w:rsid w:val="75E51D58"/>
    <w:rsid w:val="75E65D49"/>
    <w:rsid w:val="75EA3F77"/>
    <w:rsid w:val="75EE7678"/>
    <w:rsid w:val="75F01972"/>
    <w:rsid w:val="75FA7D29"/>
    <w:rsid w:val="760B74C1"/>
    <w:rsid w:val="761265F6"/>
    <w:rsid w:val="761628B3"/>
    <w:rsid w:val="76284EEB"/>
    <w:rsid w:val="764F16C9"/>
    <w:rsid w:val="765A5F88"/>
    <w:rsid w:val="765F794A"/>
    <w:rsid w:val="76767285"/>
    <w:rsid w:val="76775586"/>
    <w:rsid w:val="767F682D"/>
    <w:rsid w:val="76B126D8"/>
    <w:rsid w:val="76B40657"/>
    <w:rsid w:val="76DB42D9"/>
    <w:rsid w:val="76DC0AD9"/>
    <w:rsid w:val="76DC46A2"/>
    <w:rsid w:val="76E435F7"/>
    <w:rsid w:val="76EA1012"/>
    <w:rsid w:val="76F57E95"/>
    <w:rsid w:val="771F3F7B"/>
    <w:rsid w:val="771F648D"/>
    <w:rsid w:val="773D2460"/>
    <w:rsid w:val="77413D60"/>
    <w:rsid w:val="775151C4"/>
    <w:rsid w:val="776615D5"/>
    <w:rsid w:val="776C6D06"/>
    <w:rsid w:val="776F7524"/>
    <w:rsid w:val="77790594"/>
    <w:rsid w:val="77795136"/>
    <w:rsid w:val="77B5763A"/>
    <w:rsid w:val="77B6319F"/>
    <w:rsid w:val="77B97F07"/>
    <w:rsid w:val="77CC48B2"/>
    <w:rsid w:val="77E70943"/>
    <w:rsid w:val="77F22ADF"/>
    <w:rsid w:val="77F27A16"/>
    <w:rsid w:val="780F6AE8"/>
    <w:rsid w:val="78107247"/>
    <w:rsid w:val="782F6AB9"/>
    <w:rsid w:val="783C2C1C"/>
    <w:rsid w:val="785F5D1B"/>
    <w:rsid w:val="786375F7"/>
    <w:rsid w:val="7865176A"/>
    <w:rsid w:val="7870118C"/>
    <w:rsid w:val="787A7EB1"/>
    <w:rsid w:val="78837730"/>
    <w:rsid w:val="78A773B2"/>
    <w:rsid w:val="78B11E0E"/>
    <w:rsid w:val="78C20EFD"/>
    <w:rsid w:val="78C51295"/>
    <w:rsid w:val="78E9569F"/>
    <w:rsid w:val="790802B0"/>
    <w:rsid w:val="791D4500"/>
    <w:rsid w:val="79240E11"/>
    <w:rsid w:val="792C3177"/>
    <w:rsid w:val="792E0512"/>
    <w:rsid w:val="793A1DDD"/>
    <w:rsid w:val="79432CC7"/>
    <w:rsid w:val="794506F2"/>
    <w:rsid w:val="79580C56"/>
    <w:rsid w:val="795F4E99"/>
    <w:rsid w:val="79700713"/>
    <w:rsid w:val="797A7309"/>
    <w:rsid w:val="79944A0F"/>
    <w:rsid w:val="799509F8"/>
    <w:rsid w:val="7995649B"/>
    <w:rsid w:val="79987CD3"/>
    <w:rsid w:val="79A26A0D"/>
    <w:rsid w:val="79A64954"/>
    <w:rsid w:val="79CB6ED9"/>
    <w:rsid w:val="79CE2F4B"/>
    <w:rsid w:val="79D467C4"/>
    <w:rsid w:val="79DD71AE"/>
    <w:rsid w:val="79F6735F"/>
    <w:rsid w:val="79FD1D52"/>
    <w:rsid w:val="79FD4C65"/>
    <w:rsid w:val="7A0F0BE3"/>
    <w:rsid w:val="7A1A25B5"/>
    <w:rsid w:val="7A215AC7"/>
    <w:rsid w:val="7A232860"/>
    <w:rsid w:val="7A460792"/>
    <w:rsid w:val="7A556315"/>
    <w:rsid w:val="7A672427"/>
    <w:rsid w:val="7A6F5D16"/>
    <w:rsid w:val="7A73777D"/>
    <w:rsid w:val="7A9307CE"/>
    <w:rsid w:val="7A9404C5"/>
    <w:rsid w:val="7A98668C"/>
    <w:rsid w:val="7AA5772A"/>
    <w:rsid w:val="7AB211F2"/>
    <w:rsid w:val="7AB27CA9"/>
    <w:rsid w:val="7AC56E70"/>
    <w:rsid w:val="7AC636C5"/>
    <w:rsid w:val="7AE528BD"/>
    <w:rsid w:val="7AF0263F"/>
    <w:rsid w:val="7AF560F3"/>
    <w:rsid w:val="7AF90C64"/>
    <w:rsid w:val="7B1674BF"/>
    <w:rsid w:val="7B1B00E3"/>
    <w:rsid w:val="7B2A5D02"/>
    <w:rsid w:val="7B321F83"/>
    <w:rsid w:val="7B4022CD"/>
    <w:rsid w:val="7B441121"/>
    <w:rsid w:val="7B5C2D88"/>
    <w:rsid w:val="7B5F1867"/>
    <w:rsid w:val="7B9A2C60"/>
    <w:rsid w:val="7BAA2366"/>
    <w:rsid w:val="7BC2430B"/>
    <w:rsid w:val="7BCE7D38"/>
    <w:rsid w:val="7BEB592E"/>
    <w:rsid w:val="7BF36E7B"/>
    <w:rsid w:val="7BF67706"/>
    <w:rsid w:val="7C036DFE"/>
    <w:rsid w:val="7C1319BB"/>
    <w:rsid w:val="7C476E01"/>
    <w:rsid w:val="7C4B62FD"/>
    <w:rsid w:val="7C6603C0"/>
    <w:rsid w:val="7C713E87"/>
    <w:rsid w:val="7C740EA7"/>
    <w:rsid w:val="7C7B50FD"/>
    <w:rsid w:val="7C9436A3"/>
    <w:rsid w:val="7C946793"/>
    <w:rsid w:val="7CA336A2"/>
    <w:rsid w:val="7CD427DD"/>
    <w:rsid w:val="7CDD6BD0"/>
    <w:rsid w:val="7CDE5E9C"/>
    <w:rsid w:val="7D053ED5"/>
    <w:rsid w:val="7D1A149B"/>
    <w:rsid w:val="7D4679F1"/>
    <w:rsid w:val="7D604072"/>
    <w:rsid w:val="7D6438CC"/>
    <w:rsid w:val="7D655C18"/>
    <w:rsid w:val="7D711490"/>
    <w:rsid w:val="7D722D9D"/>
    <w:rsid w:val="7D761278"/>
    <w:rsid w:val="7D8A14CD"/>
    <w:rsid w:val="7D986BF4"/>
    <w:rsid w:val="7DB05497"/>
    <w:rsid w:val="7DC6028B"/>
    <w:rsid w:val="7DDA3A8A"/>
    <w:rsid w:val="7DF77851"/>
    <w:rsid w:val="7E2F146F"/>
    <w:rsid w:val="7E745D91"/>
    <w:rsid w:val="7E7A2C74"/>
    <w:rsid w:val="7E954214"/>
    <w:rsid w:val="7E976C25"/>
    <w:rsid w:val="7EA24706"/>
    <w:rsid w:val="7EAC20BF"/>
    <w:rsid w:val="7EB5132D"/>
    <w:rsid w:val="7EB91A4A"/>
    <w:rsid w:val="7EB91F3B"/>
    <w:rsid w:val="7ECD35DF"/>
    <w:rsid w:val="7ED03055"/>
    <w:rsid w:val="7EE747B5"/>
    <w:rsid w:val="7EF0023B"/>
    <w:rsid w:val="7F144EAA"/>
    <w:rsid w:val="7F1A66A4"/>
    <w:rsid w:val="7F483612"/>
    <w:rsid w:val="7F5E6140"/>
    <w:rsid w:val="7F6807E3"/>
    <w:rsid w:val="7F7678E1"/>
    <w:rsid w:val="7F7F4BC2"/>
    <w:rsid w:val="7F7F757F"/>
    <w:rsid w:val="7F807C7E"/>
    <w:rsid w:val="7F912CF4"/>
    <w:rsid w:val="7FA25046"/>
    <w:rsid w:val="7FA560BC"/>
    <w:rsid w:val="7FC21171"/>
    <w:rsid w:val="7FD17749"/>
    <w:rsid w:val="7FD4079F"/>
    <w:rsid w:val="7FD8603C"/>
    <w:rsid w:val="7FD867C0"/>
    <w:rsid w:val="7FED0E24"/>
    <w:rsid w:val="7FED5A95"/>
    <w:rsid w:val="7FF03D98"/>
    <w:rsid w:val="7FF304DA"/>
    <w:rsid w:val="7FF71563"/>
    <w:rsid w:val="7FF8165B"/>
    <w:rsid w:val="7FF953F3"/>
    <w:rsid w:val="7FFF2E89"/>
    <w:rsid w:val="7FFF78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qFormat="1" w:uiPriority="0"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45"/>
    <w:autoRedefine/>
    <w:qFormat/>
    <w:uiPriority w:val="0"/>
    <w:pPr>
      <w:spacing w:before="180" w:after="180" w:line="600" w:lineRule="exact"/>
      <w:jc w:val="left"/>
      <w:outlineLvl w:val="0"/>
    </w:pPr>
    <w:rPr>
      <w:b/>
      <w:bCs/>
      <w:kern w:val="44"/>
      <w:sz w:val="36"/>
      <w:szCs w:val="44"/>
    </w:rPr>
  </w:style>
  <w:style w:type="paragraph" w:styleId="3">
    <w:name w:val="heading 2"/>
    <w:basedOn w:val="1"/>
    <w:next w:val="1"/>
    <w:link w:val="146"/>
    <w:autoRedefine/>
    <w:qFormat/>
    <w:uiPriority w:val="0"/>
    <w:pPr>
      <w:keepNext/>
      <w:keepLines/>
      <w:spacing w:before="120" w:after="120" w:line="560" w:lineRule="exact"/>
      <w:outlineLvl w:val="1"/>
    </w:pPr>
    <w:rPr>
      <w:b/>
      <w:kern w:val="0"/>
      <w:sz w:val="32"/>
      <w:szCs w:val="20"/>
    </w:rPr>
  </w:style>
  <w:style w:type="paragraph" w:styleId="4">
    <w:name w:val="heading 3"/>
    <w:basedOn w:val="1"/>
    <w:next w:val="1"/>
    <w:link w:val="147"/>
    <w:autoRedefine/>
    <w:qFormat/>
    <w:uiPriority w:val="0"/>
    <w:pPr>
      <w:keepNext/>
      <w:keepLines/>
      <w:spacing w:before="120" w:after="120" w:line="520" w:lineRule="exact"/>
      <w:outlineLvl w:val="2"/>
    </w:pPr>
    <w:rPr>
      <w:b/>
      <w:bCs/>
      <w:kern w:val="0"/>
      <w:sz w:val="30"/>
      <w:szCs w:val="32"/>
    </w:rPr>
  </w:style>
  <w:style w:type="paragraph" w:styleId="5">
    <w:name w:val="heading 4"/>
    <w:basedOn w:val="1"/>
    <w:next w:val="1"/>
    <w:link w:val="148"/>
    <w:autoRedefine/>
    <w:qFormat/>
    <w:uiPriority w:val="0"/>
    <w:pPr>
      <w:keepNext/>
      <w:keepLines/>
      <w:spacing w:before="60" w:after="60" w:line="520" w:lineRule="exact"/>
      <w:ind w:firstLine="720" w:firstLineChars="200"/>
      <w:outlineLvl w:val="3"/>
    </w:pPr>
    <w:rPr>
      <w:rFonts w:ascii="Arial" w:hAnsi="Arial"/>
      <w:b/>
      <w:bCs/>
      <w:kern w:val="0"/>
      <w:sz w:val="24"/>
      <w:szCs w:val="28"/>
    </w:rPr>
  </w:style>
  <w:style w:type="paragraph" w:styleId="6">
    <w:name w:val="heading 5"/>
    <w:basedOn w:val="1"/>
    <w:next w:val="1"/>
    <w:link w:val="149"/>
    <w:autoRedefine/>
    <w:qFormat/>
    <w:uiPriority w:val="0"/>
    <w:pPr>
      <w:keepNext/>
      <w:keepLines/>
      <w:widowControl/>
      <w:spacing w:before="200" w:line="276" w:lineRule="auto"/>
      <w:jc w:val="left"/>
      <w:outlineLvl w:val="4"/>
    </w:pPr>
    <w:rPr>
      <w:rFonts w:ascii="Cambria" w:hAnsi="Cambria"/>
      <w:color w:val="243F60"/>
      <w:kern w:val="0"/>
      <w:sz w:val="22"/>
      <w:szCs w:val="20"/>
      <w:lang w:eastAsia="en-US" w:bidi="en-US"/>
    </w:rPr>
  </w:style>
  <w:style w:type="paragraph" w:styleId="7">
    <w:name w:val="heading 6"/>
    <w:basedOn w:val="1"/>
    <w:next w:val="1"/>
    <w:link w:val="150"/>
    <w:autoRedefine/>
    <w:qFormat/>
    <w:uiPriority w:val="0"/>
    <w:pPr>
      <w:keepNext/>
      <w:keepLines/>
      <w:widowControl/>
      <w:spacing w:before="200" w:line="276" w:lineRule="auto"/>
      <w:jc w:val="left"/>
      <w:outlineLvl w:val="5"/>
    </w:pPr>
    <w:rPr>
      <w:rFonts w:ascii="Cambria" w:hAnsi="Cambria"/>
      <w:i/>
      <w:iCs/>
      <w:color w:val="243F60"/>
      <w:kern w:val="0"/>
      <w:sz w:val="22"/>
      <w:szCs w:val="20"/>
      <w:lang w:eastAsia="en-US" w:bidi="en-US"/>
    </w:rPr>
  </w:style>
  <w:style w:type="paragraph" w:styleId="8">
    <w:name w:val="heading 7"/>
    <w:basedOn w:val="1"/>
    <w:next w:val="1"/>
    <w:link w:val="151"/>
    <w:autoRedefine/>
    <w:qFormat/>
    <w:uiPriority w:val="0"/>
    <w:pPr>
      <w:keepNext/>
      <w:keepLines/>
      <w:widowControl/>
      <w:spacing w:before="200" w:line="276" w:lineRule="auto"/>
      <w:jc w:val="left"/>
      <w:outlineLvl w:val="6"/>
    </w:pPr>
    <w:rPr>
      <w:rFonts w:ascii="Cambria" w:hAnsi="Cambria"/>
      <w:i/>
      <w:iCs/>
      <w:color w:val="404040"/>
      <w:kern w:val="0"/>
      <w:sz w:val="22"/>
      <w:szCs w:val="20"/>
      <w:lang w:eastAsia="en-US" w:bidi="en-US"/>
    </w:rPr>
  </w:style>
  <w:style w:type="paragraph" w:styleId="9">
    <w:name w:val="heading 8"/>
    <w:basedOn w:val="1"/>
    <w:next w:val="1"/>
    <w:link w:val="152"/>
    <w:autoRedefine/>
    <w:qFormat/>
    <w:uiPriority w:val="0"/>
    <w:pPr>
      <w:keepNext/>
      <w:keepLines/>
      <w:spacing w:before="240" w:after="64" w:line="320" w:lineRule="auto"/>
      <w:outlineLvl w:val="7"/>
    </w:pPr>
    <w:rPr>
      <w:rFonts w:ascii="Arial" w:hAnsi="Arial" w:eastAsia="黑体"/>
      <w:kern w:val="0"/>
      <w:sz w:val="24"/>
      <w:szCs w:val="24"/>
    </w:rPr>
  </w:style>
  <w:style w:type="paragraph" w:styleId="10">
    <w:name w:val="heading 9"/>
    <w:basedOn w:val="1"/>
    <w:next w:val="1"/>
    <w:link w:val="153"/>
    <w:autoRedefine/>
    <w:qFormat/>
    <w:uiPriority w:val="0"/>
    <w:pPr>
      <w:keepNext/>
      <w:keepLines/>
      <w:widowControl/>
      <w:spacing w:before="200" w:line="276" w:lineRule="auto"/>
      <w:jc w:val="left"/>
      <w:outlineLvl w:val="8"/>
    </w:pPr>
    <w:rPr>
      <w:rFonts w:ascii="Cambria" w:hAnsi="Cambria"/>
      <w:i/>
      <w:iCs/>
      <w:color w:val="404040"/>
      <w:kern w:val="0"/>
      <w:sz w:val="20"/>
      <w:szCs w:val="20"/>
      <w:lang w:eastAsia="en-US" w:bidi="en-US"/>
    </w:rPr>
  </w:style>
  <w:style w:type="character" w:default="1" w:styleId="124">
    <w:name w:val="Default Paragraph Font"/>
    <w:autoRedefine/>
    <w:unhideWhenUsed/>
    <w:qFormat/>
    <w:uiPriority w:val="1"/>
  </w:style>
  <w:style w:type="table" w:default="1" w:styleId="79">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szCs w:val="24"/>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ind w:left="432" w:hanging="432"/>
    </w:pPr>
    <w:rPr>
      <w:szCs w:val="20"/>
    </w:rPr>
  </w:style>
  <w:style w:type="paragraph" w:styleId="14">
    <w:name w:val="Note Heading"/>
    <w:basedOn w:val="1"/>
    <w:next w:val="1"/>
    <w:link w:val="154"/>
    <w:autoRedefine/>
    <w:qFormat/>
    <w:uiPriority w:val="0"/>
    <w:pPr>
      <w:spacing w:beforeLines="50" w:afterLines="50"/>
      <w:jc w:val="center"/>
    </w:pPr>
    <w:rPr>
      <w:rFonts w:eastAsia="黑体"/>
      <w:kern w:val="0"/>
      <w:sz w:val="24"/>
      <w:szCs w:val="24"/>
    </w:rPr>
  </w:style>
  <w:style w:type="paragraph" w:styleId="15">
    <w:name w:val="List Bullet 4"/>
    <w:basedOn w:val="1"/>
    <w:autoRedefine/>
    <w:qFormat/>
    <w:uiPriority w:val="0"/>
    <w:pPr>
      <w:tabs>
        <w:tab w:val="left" w:pos="360"/>
      </w:tabs>
      <w:ind w:left="360" w:hanging="360"/>
    </w:pPr>
    <w:rPr>
      <w:szCs w:val="20"/>
    </w:rPr>
  </w:style>
  <w:style w:type="paragraph" w:styleId="16">
    <w:name w:val="E-mail Signature"/>
    <w:basedOn w:val="1"/>
    <w:link w:val="155"/>
    <w:autoRedefine/>
    <w:qFormat/>
    <w:uiPriority w:val="0"/>
    <w:rPr>
      <w:kern w:val="0"/>
      <w:sz w:val="20"/>
      <w:szCs w:val="24"/>
    </w:rPr>
  </w:style>
  <w:style w:type="paragraph" w:styleId="17">
    <w:name w:val="List Number"/>
    <w:basedOn w:val="1"/>
    <w:autoRedefine/>
    <w:qFormat/>
    <w:uiPriority w:val="0"/>
    <w:pPr>
      <w:ind w:left="432" w:hanging="432"/>
    </w:pPr>
    <w:rPr>
      <w:szCs w:val="20"/>
    </w:rPr>
  </w:style>
  <w:style w:type="paragraph" w:styleId="18">
    <w:name w:val="Normal Indent"/>
    <w:basedOn w:val="1"/>
    <w:next w:val="1"/>
    <w:link w:val="156"/>
    <w:autoRedefine/>
    <w:qFormat/>
    <w:uiPriority w:val="99"/>
    <w:pPr>
      <w:ind w:firstLine="420" w:firstLineChars="200"/>
    </w:pPr>
    <w:rPr>
      <w:kern w:val="0"/>
      <w:sz w:val="20"/>
      <w:szCs w:val="24"/>
    </w:rPr>
  </w:style>
  <w:style w:type="paragraph" w:styleId="19">
    <w:name w:val="caption"/>
    <w:basedOn w:val="1"/>
    <w:next w:val="1"/>
    <w:link w:val="157"/>
    <w:autoRedefine/>
    <w:qFormat/>
    <w:uiPriority w:val="0"/>
    <w:pPr>
      <w:spacing w:beforeLines="30" w:afterLines="30"/>
      <w:jc w:val="center"/>
    </w:pPr>
    <w:rPr>
      <w:rFonts w:eastAsia="黑体"/>
      <w:kern w:val="0"/>
      <w:sz w:val="24"/>
      <w:szCs w:val="20"/>
    </w:rPr>
  </w:style>
  <w:style w:type="paragraph" w:styleId="20">
    <w:name w:val="List Bullet"/>
    <w:basedOn w:val="1"/>
    <w:autoRedefine/>
    <w:qFormat/>
    <w:uiPriority w:val="0"/>
    <w:pPr>
      <w:tabs>
        <w:tab w:val="left" w:pos="900"/>
      </w:tabs>
      <w:ind w:left="900" w:hanging="420"/>
    </w:pPr>
    <w:rPr>
      <w:szCs w:val="20"/>
    </w:rPr>
  </w:style>
  <w:style w:type="paragraph" w:styleId="21">
    <w:name w:val="envelope address"/>
    <w:basedOn w:val="1"/>
    <w:autoRedefine/>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2">
    <w:name w:val="Document Map"/>
    <w:basedOn w:val="1"/>
    <w:link w:val="158"/>
    <w:autoRedefine/>
    <w:unhideWhenUsed/>
    <w:qFormat/>
    <w:uiPriority w:val="0"/>
    <w:rPr>
      <w:rFonts w:ascii="宋体"/>
      <w:kern w:val="0"/>
      <w:sz w:val="18"/>
      <w:szCs w:val="18"/>
    </w:rPr>
  </w:style>
  <w:style w:type="paragraph" w:styleId="23">
    <w:name w:val="toa heading"/>
    <w:basedOn w:val="1"/>
    <w:next w:val="1"/>
    <w:autoRedefine/>
    <w:qFormat/>
    <w:uiPriority w:val="0"/>
    <w:pPr>
      <w:adjustRightInd w:val="0"/>
      <w:spacing w:before="240" w:after="720" w:line="360" w:lineRule="auto"/>
      <w:jc w:val="center"/>
      <w:textAlignment w:val="baseline"/>
    </w:pPr>
    <w:rPr>
      <w:rFonts w:ascii="Arial" w:hAnsi="Arial"/>
      <w:b/>
      <w:caps/>
      <w:kern w:val="0"/>
      <w:sz w:val="44"/>
      <w:szCs w:val="20"/>
    </w:rPr>
  </w:style>
  <w:style w:type="paragraph" w:styleId="24">
    <w:name w:val="annotation text"/>
    <w:basedOn w:val="1"/>
    <w:link w:val="159"/>
    <w:autoRedefine/>
    <w:qFormat/>
    <w:uiPriority w:val="0"/>
    <w:pPr>
      <w:widowControl/>
      <w:jc w:val="left"/>
    </w:pPr>
  </w:style>
  <w:style w:type="paragraph" w:styleId="25">
    <w:name w:val="Salutation"/>
    <w:basedOn w:val="1"/>
    <w:next w:val="1"/>
    <w:link w:val="160"/>
    <w:autoRedefine/>
    <w:qFormat/>
    <w:uiPriority w:val="0"/>
    <w:rPr>
      <w:kern w:val="0"/>
      <w:sz w:val="20"/>
      <w:szCs w:val="24"/>
    </w:rPr>
  </w:style>
  <w:style w:type="paragraph" w:styleId="26">
    <w:name w:val="Body Text 3"/>
    <w:basedOn w:val="1"/>
    <w:link w:val="161"/>
    <w:autoRedefine/>
    <w:qFormat/>
    <w:uiPriority w:val="0"/>
    <w:pPr>
      <w:spacing w:after="120"/>
    </w:pPr>
    <w:rPr>
      <w:kern w:val="0"/>
      <w:sz w:val="16"/>
      <w:szCs w:val="16"/>
    </w:rPr>
  </w:style>
  <w:style w:type="paragraph" w:styleId="27">
    <w:name w:val="Closing"/>
    <w:basedOn w:val="1"/>
    <w:link w:val="162"/>
    <w:autoRedefine/>
    <w:qFormat/>
    <w:uiPriority w:val="0"/>
    <w:pPr>
      <w:ind w:left="100" w:leftChars="2100"/>
    </w:pPr>
    <w:rPr>
      <w:kern w:val="0"/>
      <w:sz w:val="20"/>
      <w:szCs w:val="24"/>
    </w:rPr>
  </w:style>
  <w:style w:type="paragraph" w:styleId="28">
    <w:name w:val="List Bullet 3"/>
    <w:basedOn w:val="1"/>
    <w:autoRedefine/>
    <w:qFormat/>
    <w:uiPriority w:val="0"/>
    <w:pPr>
      <w:tabs>
        <w:tab w:val="left" w:pos="900"/>
      </w:tabs>
      <w:ind w:left="900" w:hanging="420"/>
    </w:pPr>
    <w:rPr>
      <w:szCs w:val="20"/>
    </w:rPr>
  </w:style>
  <w:style w:type="paragraph" w:styleId="29">
    <w:name w:val="Body Text"/>
    <w:basedOn w:val="1"/>
    <w:next w:val="30"/>
    <w:link w:val="142"/>
    <w:autoRedefine/>
    <w:qFormat/>
    <w:uiPriority w:val="0"/>
    <w:pPr>
      <w:widowControl/>
      <w:spacing w:after="200"/>
      <w:jc w:val="center"/>
    </w:pPr>
    <w:rPr>
      <w:kern w:val="0"/>
      <w:sz w:val="20"/>
      <w:szCs w:val="20"/>
      <w:lang w:eastAsia="en-US" w:bidi="en-US"/>
    </w:rPr>
  </w:style>
  <w:style w:type="paragraph" w:customStyle="1" w:styleId="30">
    <w:name w:val="Body Text 21"/>
    <w:basedOn w:val="1"/>
    <w:autoRedefine/>
    <w:semiHidden/>
    <w:qFormat/>
    <w:uiPriority w:val="0"/>
    <w:pPr>
      <w:adjustRightInd w:val="0"/>
      <w:spacing w:line="360" w:lineRule="atLeast"/>
      <w:ind w:firstLine="425"/>
      <w:textAlignment w:val="baseline"/>
    </w:pPr>
    <w:rPr>
      <w:rFonts w:ascii="宋体"/>
      <w:kern w:val="0"/>
      <w:sz w:val="24"/>
      <w:szCs w:val="20"/>
    </w:rPr>
  </w:style>
  <w:style w:type="paragraph" w:styleId="31">
    <w:name w:val="Body Text Indent"/>
    <w:basedOn w:val="1"/>
    <w:next w:val="1"/>
    <w:link w:val="163"/>
    <w:autoRedefine/>
    <w:qFormat/>
    <w:uiPriority w:val="0"/>
    <w:pPr>
      <w:widowControl/>
      <w:autoSpaceDE w:val="0"/>
      <w:autoSpaceDN w:val="0"/>
      <w:adjustRightInd w:val="0"/>
      <w:spacing w:after="200" w:line="276" w:lineRule="auto"/>
      <w:ind w:firstLine="576"/>
      <w:jc w:val="left"/>
      <w:textAlignment w:val="baseline"/>
    </w:pPr>
  </w:style>
  <w:style w:type="paragraph" w:styleId="32">
    <w:name w:val="List Number 3"/>
    <w:basedOn w:val="1"/>
    <w:autoRedefine/>
    <w:qFormat/>
    <w:uiPriority w:val="0"/>
    <w:pPr>
      <w:tabs>
        <w:tab w:val="left" w:pos="900"/>
      </w:tabs>
      <w:ind w:left="900" w:hanging="420"/>
    </w:pPr>
    <w:rPr>
      <w:szCs w:val="20"/>
    </w:rPr>
  </w:style>
  <w:style w:type="paragraph" w:styleId="33">
    <w:name w:val="List 2"/>
    <w:basedOn w:val="1"/>
    <w:autoRedefine/>
    <w:qFormat/>
    <w:uiPriority w:val="0"/>
    <w:pPr>
      <w:ind w:left="840" w:hanging="420"/>
    </w:pPr>
    <w:rPr>
      <w:rFonts w:eastAsia="仿宋_GB2312"/>
      <w:sz w:val="28"/>
      <w:szCs w:val="20"/>
    </w:rPr>
  </w:style>
  <w:style w:type="paragraph" w:styleId="34">
    <w:name w:val="List Continue"/>
    <w:basedOn w:val="1"/>
    <w:autoRedefine/>
    <w:qFormat/>
    <w:uiPriority w:val="0"/>
    <w:pPr>
      <w:spacing w:after="120"/>
      <w:ind w:left="420" w:leftChars="200"/>
    </w:pPr>
    <w:rPr>
      <w:szCs w:val="24"/>
    </w:rPr>
  </w:style>
  <w:style w:type="paragraph" w:styleId="35">
    <w:name w:val="Block Text"/>
    <w:basedOn w:val="1"/>
    <w:autoRedefine/>
    <w:qFormat/>
    <w:uiPriority w:val="0"/>
    <w:pPr>
      <w:overflowPunct w:val="0"/>
      <w:adjustRightInd w:val="0"/>
      <w:snapToGrid w:val="0"/>
      <w:spacing w:line="500" w:lineRule="exact"/>
      <w:ind w:left="480" w:leftChars="200" w:right="-17" w:rightChars="-7"/>
      <w:jc w:val="left"/>
      <w:textAlignment w:val="baseline"/>
    </w:pPr>
    <w:rPr>
      <w:rFonts w:ascii="宋体" w:hAnsi="宋体"/>
      <w:kern w:val="0"/>
      <w:sz w:val="24"/>
      <w:szCs w:val="20"/>
    </w:rPr>
  </w:style>
  <w:style w:type="paragraph" w:styleId="36">
    <w:name w:val="List Bullet 2"/>
    <w:basedOn w:val="1"/>
    <w:autoRedefine/>
    <w:qFormat/>
    <w:uiPriority w:val="0"/>
    <w:pPr>
      <w:tabs>
        <w:tab w:val="left" w:pos="900"/>
      </w:tabs>
      <w:ind w:left="900" w:hanging="420"/>
    </w:pPr>
    <w:rPr>
      <w:szCs w:val="20"/>
    </w:rPr>
  </w:style>
  <w:style w:type="paragraph" w:styleId="37">
    <w:name w:val="HTML Address"/>
    <w:basedOn w:val="1"/>
    <w:link w:val="164"/>
    <w:autoRedefine/>
    <w:qFormat/>
    <w:uiPriority w:val="0"/>
    <w:rPr>
      <w:i/>
      <w:iCs/>
      <w:kern w:val="0"/>
      <w:sz w:val="20"/>
      <w:szCs w:val="24"/>
    </w:rPr>
  </w:style>
  <w:style w:type="paragraph" w:styleId="38">
    <w:name w:val="toc 5"/>
    <w:basedOn w:val="1"/>
    <w:next w:val="1"/>
    <w:autoRedefine/>
    <w:qFormat/>
    <w:uiPriority w:val="0"/>
    <w:pPr>
      <w:ind w:left="1680" w:leftChars="800"/>
    </w:pPr>
  </w:style>
  <w:style w:type="paragraph" w:styleId="39">
    <w:name w:val="toc 3"/>
    <w:basedOn w:val="1"/>
    <w:next w:val="1"/>
    <w:autoRedefine/>
    <w:qFormat/>
    <w:uiPriority w:val="0"/>
    <w:pPr>
      <w:ind w:left="840" w:leftChars="400"/>
    </w:pPr>
  </w:style>
  <w:style w:type="paragraph" w:styleId="40">
    <w:name w:val="Plain Text"/>
    <w:basedOn w:val="1"/>
    <w:next w:val="41"/>
    <w:link w:val="165"/>
    <w:autoRedefine/>
    <w:qFormat/>
    <w:uiPriority w:val="0"/>
    <w:pPr>
      <w:widowControl/>
      <w:spacing w:after="200"/>
      <w:jc w:val="left"/>
    </w:pPr>
    <w:rPr>
      <w:rFonts w:hint="eastAsia" w:ascii="宋体" w:hAnsi="Courier New"/>
      <w:sz w:val="28"/>
      <w:szCs w:val="21"/>
    </w:rPr>
  </w:style>
  <w:style w:type="paragraph" w:styleId="41">
    <w:name w:val="List Number 5"/>
    <w:basedOn w:val="1"/>
    <w:autoRedefine/>
    <w:qFormat/>
    <w:uiPriority w:val="0"/>
    <w:pPr>
      <w:tabs>
        <w:tab w:val="left" w:pos="900"/>
      </w:tabs>
      <w:ind w:left="900" w:hanging="420"/>
    </w:pPr>
    <w:rPr>
      <w:szCs w:val="20"/>
    </w:rPr>
  </w:style>
  <w:style w:type="paragraph" w:styleId="42">
    <w:name w:val="List Bullet 5"/>
    <w:basedOn w:val="1"/>
    <w:autoRedefine/>
    <w:qFormat/>
    <w:uiPriority w:val="0"/>
    <w:pPr>
      <w:tabs>
        <w:tab w:val="left" w:pos="360"/>
      </w:tabs>
      <w:ind w:left="360" w:hanging="360"/>
    </w:pPr>
    <w:rPr>
      <w:szCs w:val="20"/>
    </w:rPr>
  </w:style>
  <w:style w:type="paragraph" w:styleId="43">
    <w:name w:val="List Number 4"/>
    <w:basedOn w:val="1"/>
    <w:autoRedefine/>
    <w:qFormat/>
    <w:uiPriority w:val="0"/>
    <w:rPr>
      <w:szCs w:val="20"/>
    </w:rPr>
  </w:style>
  <w:style w:type="paragraph" w:styleId="44">
    <w:name w:val="toc 8"/>
    <w:basedOn w:val="1"/>
    <w:next w:val="1"/>
    <w:autoRedefine/>
    <w:qFormat/>
    <w:uiPriority w:val="0"/>
    <w:pPr>
      <w:ind w:left="2940" w:leftChars="1400"/>
    </w:pPr>
  </w:style>
  <w:style w:type="paragraph" w:styleId="45">
    <w:name w:val="Date"/>
    <w:basedOn w:val="1"/>
    <w:next w:val="1"/>
    <w:link w:val="166"/>
    <w:autoRedefine/>
    <w:qFormat/>
    <w:uiPriority w:val="0"/>
    <w:pPr>
      <w:widowControl/>
      <w:spacing w:after="200"/>
      <w:ind w:left="100" w:leftChars="2500"/>
      <w:jc w:val="left"/>
    </w:pPr>
    <w:rPr>
      <w:kern w:val="0"/>
      <w:sz w:val="20"/>
      <w:szCs w:val="20"/>
      <w:lang w:eastAsia="en-US" w:bidi="en-US"/>
    </w:rPr>
  </w:style>
  <w:style w:type="paragraph" w:styleId="46">
    <w:name w:val="Body Text Indent 2"/>
    <w:basedOn w:val="1"/>
    <w:next w:val="1"/>
    <w:link w:val="167"/>
    <w:autoRedefine/>
    <w:qFormat/>
    <w:uiPriority w:val="0"/>
    <w:pPr>
      <w:spacing w:after="120" w:line="480" w:lineRule="auto"/>
      <w:ind w:left="420" w:leftChars="200"/>
    </w:pPr>
    <w:rPr>
      <w:kern w:val="0"/>
      <w:sz w:val="20"/>
      <w:szCs w:val="24"/>
    </w:rPr>
  </w:style>
  <w:style w:type="paragraph" w:styleId="47">
    <w:name w:val="List Continue 5"/>
    <w:basedOn w:val="1"/>
    <w:autoRedefine/>
    <w:unhideWhenUsed/>
    <w:qFormat/>
    <w:uiPriority w:val="0"/>
    <w:pPr>
      <w:spacing w:after="120" w:line="320" w:lineRule="exact"/>
      <w:ind w:left="2100" w:leftChars="1000"/>
      <w:contextualSpacing/>
    </w:pPr>
    <w:rPr>
      <w:rFonts w:ascii="Calibri" w:hAnsi="Calibri"/>
    </w:rPr>
  </w:style>
  <w:style w:type="paragraph" w:styleId="48">
    <w:name w:val="Balloon Text"/>
    <w:basedOn w:val="1"/>
    <w:link w:val="168"/>
    <w:autoRedefine/>
    <w:qFormat/>
    <w:uiPriority w:val="0"/>
    <w:rPr>
      <w:kern w:val="0"/>
      <w:sz w:val="18"/>
      <w:szCs w:val="18"/>
    </w:rPr>
  </w:style>
  <w:style w:type="paragraph" w:styleId="49">
    <w:name w:val="footer"/>
    <w:basedOn w:val="1"/>
    <w:link w:val="169"/>
    <w:autoRedefine/>
    <w:unhideWhenUsed/>
    <w:qFormat/>
    <w:uiPriority w:val="99"/>
    <w:pPr>
      <w:tabs>
        <w:tab w:val="center" w:pos="4153"/>
        <w:tab w:val="right" w:pos="8306"/>
      </w:tabs>
      <w:snapToGrid w:val="0"/>
      <w:jc w:val="left"/>
    </w:pPr>
    <w:rPr>
      <w:kern w:val="0"/>
      <w:sz w:val="18"/>
      <w:szCs w:val="18"/>
    </w:rPr>
  </w:style>
  <w:style w:type="paragraph" w:styleId="50">
    <w:name w:val="envelope return"/>
    <w:basedOn w:val="1"/>
    <w:autoRedefine/>
    <w:qFormat/>
    <w:uiPriority w:val="0"/>
    <w:pPr>
      <w:snapToGrid w:val="0"/>
    </w:pPr>
    <w:rPr>
      <w:rFonts w:ascii="Arial" w:hAnsi="Arial" w:cs="Arial"/>
      <w:szCs w:val="24"/>
    </w:rPr>
  </w:style>
  <w:style w:type="paragraph" w:styleId="51">
    <w:name w:val="header"/>
    <w:basedOn w:val="1"/>
    <w:link w:val="170"/>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52">
    <w:name w:val="Signature"/>
    <w:basedOn w:val="1"/>
    <w:link w:val="171"/>
    <w:autoRedefine/>
    <w:qFormat/>
    <w:uiPriority w:val="0"/>
    <w:pPr>
      <w:ind w:left="100" w:leftChars="2100"/>
    </w:pPr>
    <w:rPr>
      <w:kern w:val="0"/>
      <w:sz w:val="20"/>
      <w:szCs w:val="24"/>
    </w:rPr>
  </w:style>
  <w:style w:type="paragraph" w:styleId="53">
    <w:name w:val="toc 1"/>
    <w:basedOn w:val="1"/>
    <w:next w:val="1"/>
    <w:link w:val="172"/>
    <w:autoRedefine/>
    <w:qFormat/>
    <w:uiPriority w:val="39"/>
    <w:rPr>
      <w:rFonts w:ascii="楷体_GB2312" w:hAnsi="楷体_GB2312" w:eastAsia="楷体_GB2312"/>
      <w:bCs/>
      <w:caps/>
      <w:kern w:val="0"/>
      <w:sz w:val="24"/>
      <w:szCs w:val="24"/>
    </w:rPr>
  </w:style>
  <w:style w:type="paragraph" w:styleId="54">
    <w:name w:val="List Continue 4"/>
    <w:basedOn w:val="1"/>
    <w:next w:val="1"/>
    <w:autoRedefine/>
    <w:qFormat/>
    <w:uiPriority w:val="0"/>
    <w:pPr>
      <w:spacing w:after="120"/>
      <w:ind w:left="1680" w:leftChars="800"/>
    </w:pPr>
    <w:rPr>
      <w:szCs w:val="24"/>
    </w:rPr>
  </w:style>
  <w:style w:type="paragraph" w:styleId="55">
    <w:name w:val="toc 4"/>
    <w:basedOn w:val="1"/>
    <w:next w:val="1"/>
    <w:autoRedefine/>
    <w:qFormat/>
    <w:uiPriority w:val="0"/>
    <w:pPr>
      <w:ind w:left="1260" w:leftChars="600"/>
    </w:pPr>
  </w:style>
  <w:style w:type="paragraph" w:styleId="56">
    <w:name w:val="index heading"/>
    <w:basedOn w:val="1"/>
    <w:next w:val="57"/>
    <w:autoRedefine/>
    <w:qFormat/>
    <w:uiPriority w:val="0"/>
    <w:pPr>
      <w:spacing w:line="360" w:lineRule="auto"/>
      <w:ind w:firstLine="200" w:firstLineChars="200"/>
    </w:pPr>
    <w:rPr>
      <w:sz w:val="24"/>
      <w:szCs w:val="20"/>
    </w:rPr>
  </w:style>
  <w:style w:type="paragraph" w:styleId="57">
    <w:name w:val="index 1"/>
    <w:basedOn w:val="1"/>
    <w:next w:val="1"/>
    <w:autoRedefine/>
    <w:qFormat/>
    <w:uiPriority w:val="0"/>
    <w:pPr>
      <w:spacing w:line="276" w:lineRule="auto"/>
      <w:jc w:val="center"/>
    </w:pPr>
    <w:rPr>
      <w:rFonts w:eastAsia="仿宋_GB2312"/>
      <w:color w:val="000000"/>
      <w:kern w:val="0"/>
      <w:szCs w:val="21"/>
    </w:rPr>
  </w:style>
  <w:style w:type="paragraph" w:styleId="58">
    <w:name w:val="Subtitle"/>
    <w:basedOn w:val="1"/>
    <w:next w:val="1"/>
    <w:link w:val="173"/>
    <w:autoRedefine/>
    <w:qFormat/>
    <w:uiPriority w:val="11"/>
    <w:pPr>
      <w:widowControl/>
      <w:spacing w:after="200" w:line="276" w:lineRule="auto"/>
      <w:ind w:firstLine="200" w:firstLineChars="200"/>
      <w:jc w:val="left"/>
    </w:pPr>
    <w:rPr>
      <w:rFonts w:ascii="Cambria" w:hAnsi="Cambria"/>
      <w:i/>
      <w:iCs/>
      <w:color w:val="4F81BD"/>
      <w:spacing w:val="15"/>
      <w:kern w:val="0"/>
      <w:sz w:val="24"/>
      <w:szCs w:val="24"/>
      <w:lang w:eastAsia="en-US" w:bidi="en-US"/>
    </w:rPr>
  </w:style>
  <w:style w:type="paragraph" w:styleId="59">
    <w:name w:val="List"/>
    <w:basedOn w:val="1"/>
    <w:next w:val="1"/>
    <w:autoRedefine/>
    <w:qFormat/>
    <w:uiPriority w:val="0"/>
    <w:pPr>
      <w:widowControl/>
      <w:spacing w:after="120"/>
      <w:ind w:firstLine="567"/>
      <w:jc w:val="left"/>
      <w:outlineLvl w:val="2"/>
    </w:pPr>
    <w:rPr>
      <w:rFonts w:eastAsia="黑体"/>
      <w:b/>
      <w:color w:val="000000"/>
      <w:kern w:val="0"/>
      <w:sz w:val="28"/>
      <w:szCs w:val="20"/>
      <w:lang w:eastAsia="en-US" w:bidi="en-US"/>
    </w:rPr>
  </w:style>
  <w:style w:type="paragraph" w:styleId="60">
    <w:name w:val="footnote text"/>
    <w:basedOn w:val="1"/>
    <w:link w:val="174"/>
    <w:autoRedefine/>
    <w:qFormat/>
    <w:uiPriority w:val="0"/>
    <w:pPr>
      <w:snapToGrid w:val="0"/>
      <w:spacing w:line="360" w:lineRule="auto"/>
      <w:ind w:firstLine="200" w:firstLineChars="200"/>
      <w:jc w:val="left"/>
    </w:pPr>
    <w:rPr>
      <w:rFonts w:ascii="Arial" w:hAnsi="Arial"/>
      <w:kern w:val="0"/>
      <w:sz w:val="18"/>
      <w:szCs w:val="18"/>
    </w:rPr>
  </w:style>
  <w:style w:type="paragraph" w:styleId="61">
    <w:name w:val="toc 6"/>
    <w:basedOn w:val="1"/>
    <w:next w:val="1"/>
    <w:autoRedefine/>
    <w:qFormat/>
    <w:uiPriority w:val="0"/>
    <w:pPr>
      <w:ind w:left="2100" w:leftChars="1000"/>
    </w:pPr>
  </w:style>
  <w:style w:type="paragraph" w:styleId="62">
    <w:name w:val="List 5"/>
    <w:basedOn w:val="1"/>
    <w:autoRedefine/>
    <w:qFormat/>
    <w:uiPriority w:val="0"/>
    <w:pPr>
      <w:ind w:left="100" w:leftChars="800" w:hanging="200" w:hangingChars="200"/>
    </w:pPr>
    <w:rPr>
      <w:szCs w:val="24"/>
    </w:rPr>
  </w:style>
  <w:style w:type="paragraph" w:styleId="63">
    <w:name w:val="Body Text Indent 3"/>
    <w:basedOn w:val="1"/>
    <w:link w:val="175"/>
    <w:autoRedefine/>
    <w:qFormat/>
    <w:uiPriority w:val="0"/>
    <w:pPr>
      <w:widowControl/>
      <w:spacing w:after="120"/>
      <w:ind w:left="420" w:leftChars="200"/>
      <w:jc w:val="left"/>
    </w:pPr>
    <w:rPr>
      <w:kern w:val="0"/>
      <w:sz w:val="16"/>
      <w:szCs w:val="16"/>
      <w:lang w:eastAsia="en-US" w:bidi="en-US"/>
    </w:rPr>
  </w:style>
  <w:style w:type="paragraph" w:styleId="64">
    <w:name w:val="index 7"/>
    <w:basedOn w:val="1"/>
    <w:next w:val="1"/>
    <w:autoRedefine/>
    <w:unhideWhenUsed/>
    <w:qFormat/>
    <w:uiPriority w:val="0"/>
    <w:pPr>
      <w:spacing w:line="320" w:lineRule="exact"/>
      <w:ind w:left="1200" w:leftChars="1200"/>
    </w:pPr>
    <w:rPr>
      <w:rFonts w:ascii="Calibri" w:hAnsi="Calibri"/>
    </w:rPr>
  </w:style>
  <w:style w:type="paragraph" w:styleId="65">
    <w:name w:val="table of figures"/>
    <w:basedOn w:val="1"/>
    <w:next w:val="1"/>
    <w:autoRedefine/>
    <w:qFormat/>
    <w:uiPriority w:val="0"/>
    <w:pPr>
      <w:spacing w:line="360" w:lineRule="auto"/>
      <w:ind w:left="200" w:leftChars="200" w:hanging="200" w:hangingChars="200"/>
    </w:pPr>
    <w:rPr>
      <w:rFonts w:ascii="Arial" w:hAnsi="Arial"/>
      <w:sz w:val="24"/>
      <w:szCs w:val="24"/>
    </w:rPr>
  </w:style>
  <w:style w:type="paragraph" w:styleId="66">
    <w:name w:val="toc 2"/>
    <w:basedOn w:val="1"/>
    <w:next w:val="1"/>
    <w:autoRedefine/>
    <w:qFormat/>
    <w:uiPriority w:val="39"/>
    <w:pPr>
      <w:ind w:left="420" w:leftChars="200"/>
    </w:pPr>
  </w:style>
  <w:style w:type="paragraph" w:styleId="67">
    <w:name w:val="toc 9"/>
    <w:basedOn w:val="1"/>
    <w:next w:val="1"/>
    <w:autoRedefine/>
    <w:qFormat/>
    <w:uiPriority w:val="0"/>
    <w:pPr>
      <w:ind w:left="3360" w:leftChars="1600"/>
    </w:pPr>
  </w:style>
  <w:style w:type="paragraph" w:styleId="68">
    <w:name w:val="Body Text 2"/>
    <w:basedOn w:val="1"/>
    <w:link w:val="176"/>
    <w:autoRedefine/>
    <w:qFormat/>
    <w:uiPriority w:val="0"/>
    <w:pPr>
      <w:widowControl/>
      <w:spacing w:after="200"/>
      <w:jc w:val="left"/>
    </w:pPr>
    <w:rPr>
      <w:kern w:val="0"/>
      <w:sz w:val="22"/>
      <w:szCs w:val="20"/>
      <w:lang w:eastAsia="en-US" w:bidi="en-US"/>
    </w:rPr>
  </w:style>
  <w:style w:type="paragraph" w:styleId="69">
    <w:name w:val="List 4"/>
    <w:basedOn w:val="1"/>
    <w:autoRedefine/>
    <w:qFormat/>
    <w:uiPriority w:val="0"/>
    <w:pPr>
      <w:ind w:left="100" w:leftChars="600" w:hanging="200" w:hangingChars="200"/>
    </w:pPr>
    <w:rPr>
      <w:szCs w:val="24"/>
    </w:rPr>
  </w:style>
  <w:style w:type="paragraph" w:styleId="70">
    <w:name w:val="List Continue 2"/>
    <w:basedOn w:val="1"/>
    <w:autoRedefine/>
    <w:qFormat/>
    <w:uiPriority w:val="0"/>
    <w:pPr>
      <w:spacing w:after="120"/>
      <w:ind w:left="840" w:leftChars="400"/>
    </w:pPr>
    <w:rPr>
      <w:szCs w:val="24"/>
    </w:rPr>
  </w:style>
  <w:style w:type="paragraph" w:styleId="71">
    <w:name w:val="Message Header"/>
    <w:basedOn w:val="1"/>
    <w:link w:val="17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zCs w:val="24"/>
    </w:rPr>
  </w:style>
  <w:style w:type="paragraph" w:styleId="72">
    <w:name w:val="HTML Preformatted"/>
    <w:basedOn w:val="1"/>
    <w:link w:val="17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0"/>
      <w:szCs w:val="21"/>
    </w:rPr>
  </w:style>
  <w:style w:type="paragraph" w:styleId="73">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74">
    <w:name w:val="List Continue 3"/>
    <w:basedOn w:val="1"/>
    <w:autoRedefine/>
    <w:qFormat/>
    <w:uiPriority w:val="0"/>
    <w:pPr>
      <w:spacing w:after="120"/>
      <w:ind w:left="1260" w:leftChars="600"/>
    </w:pPr>
    <w:rPr>
      <w:szCs w:val="24"/>
    </w:rPr>
  </w:style>
  <w:style w:type="paragraph" w:styleId="75">
    <w:name w:val="Title"/>
    <w:basedOn w:val="1"/>
    <w:next w:val="1"/>
    <w:link w:val="179"/>
    <w:autoRedefine/>
    <w:qFormat/>
    <w:uiPriority w:val="0"/>
    <w:pPr>
      <w:spacing w:before="240" w:after="60" w:line="360" w:lineRule="auto"/>
      <w:ind w:firstLine="200" w:firstLineChars="200"/>
      <w:jc w:val="center"/>
      <w:outlineLvl w:val="0"/>
    </w:pPr>
    <w:rPr>
      <w:rFonts w:ascii="Cambria" w:hAnsi="Cambria"/>
      <w:b/>
      <w:bCs/>
      <w:kern w:val="0"/>
      <w:sz w:val="32"/>
      <w:szCs w:val="32"/>
    </w:rPr>
  </w:style>
  <w:style w:type="paragraph" w:styleId="76">
    <w:name w:val="annotation subject"/>
    <w:basedOn w:val="24"/>
    <w:next w:val="24"/>
    <w:link w:val="180"/>
    <w:autoRedefine/>
    <w:qFormat/>
    <w:uiPriority w:val="0"/>
    <w:pPr>
      <w:spacing w:after="200"/>
    </w:pPr>
    <w:rPr>
      <w:b/>
      <w:bCs/>
      <w:kern w:val="0"/>
      <w:sz w:val="20"/>
      <w:szCs w:val="20"/>
      <w:lang w:eastAsia="en-US" w:bidi="en-US"/>
    </w:rPr>
  </w:style>
  <w:style w:type="paragraph" w:styleId="77">
    <w:name w:val="Body Text First Indent"/>
    <w:basedOn w:val="29"/>
    <w:next w:val="78"/>
    <w:link w:val="143"/>
    <w:autoRedefine/>
    <w:qFormat/>
    <w:uiPriority w:val="0"/>
    <w:pPr>
      <w:widowControl w:val="0"/>
      <w:spacing w:after="120"/>
      <w:ind w:firstLine="420" w:firstLineChars="100"/>
      <w:jc w:val="both"/>
    </w:pPr>
    <w:rPr>
      <w:szCs w:val="24"/>
    </w:rPr>
  </w:style>
  <w:style w:type="paragraph" w:styleId="78">
    <w:name w:val="Body Text First Indent 2"/>
    <w:basedOn w:val="31"/>
    <w:next w:val="54"/>
    <w:link w:val="144"/>
    <w:autoRedefine/>
    <w:qFormat/>
    <w:uiPriority w:val="0"/>
    <w:pPr>
      <w:spacing w:after="120"/>
      <w:ind w:left="420" w:leftChars="200" w:firstLine="420" w:firstLineChars="200"/>
    </w:pPr>
    <w:rPr>
      <w:kern w:val="0"/>
      <w:sz w:val="28"/>
      <w:szCs w:val="24"/>
      <w:lang w:eastAsia="en-US" w:bidi="en-US"/>
    </w:rPr>
  </w:style>
  <w:style w:type="table" w:styleId="80">
    <w:name w:val="Table Grid"/>
    <w:basedOn w:val="79"/>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1">
    <w:name w:val="Table Theme"/>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2">
    <w:name w:val="Table Colorful 1"/>
    <w:basedOn w:val="79"/>
    <w:autoRedefine/>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3">
    <w:name w:val="Table Colorful 2"/>
    <w:basedOn w:val="79"/>
    <w:autoRedefine/>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4">
    <w:name w:val="Table Colorful 3"/>
    <w:basedOn w:val="79"/>
    <w:autoRedefine/>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5">
    <w:name w:val="Table Elegant"/>
    <w:basedOn w:val="79"/>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6">
    <w:name w:val="Table Classic 1"/>
    <w:basedOn w:val="79"/>
    <w:autoRedefine/>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7">
    <w:name w:val="Table Classic 2"/>
    <w:basedOn w:val="79"/>
    <w:autoRedefine/>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88">
    <w:name w:val="Table Classic 3"/>
    <w:basedOn w:val="79"/>
    <w:autoRedefine/>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89">
    <w:name w:val="Table Classic 4"/>
    <w:basedOn w:val="79"/>
    <w:autoRedefine/>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0">
    <w:name w:val="Table Simple 1"/>
    <w:basedOn w:val="79"/>
    <w:autoRedefine/>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1">
    <w:name w:val="Table Simple 2"/>
    <w:basedOn w:val="79"/>
    <w:autoRedefine/>
    <w:qFormat/>
    <w:uiPriority w:val="0"/>
    <w:pPr>
      <w:widowControl w:val="0"/>
      <w:jc w:val="both"/>
    </w:pPr>
    <w:tblPr>
      <w:tblCellMar>
        <w:top w:w="0" w:type="dxa"/>
        <w:left w:w="108" w:type="dxa"/>
        <w:bottom w:w="0" w:type="dxa"/>
        <w:right w:w="108" w:type="dxa"/>
      </w:tblCellMa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2">
    <w:name w:val="Table Simple 3"/>
    <w:basedOn w:val="79"/>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3">
    <w:name w:val="Table Subtle 1"/>
    <w:basedOn w:val="79"/>
    <w:autoRedefine/>
    <w:qFormat/>
    <w:uiPriority w:val="0"/>
    <w:pPr>
      <w:widowControl w:val="0"/>
      <w:jc w:val="both"/>
    </w:pPr>
    <w:tblPr>
      <w:tblCellMar>
        <w:top w:w="0" w:type="dxa"/>
        <w:left w:w="108" w:type="dxa"/>
        <w:bottom w:w="0" w:type="dxa"/>
        <w:right w:w="108" w:type="dxa"/>
      </w:tblCellMar>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4">
    <w:name w:val="Table Subtle 2"/>
    <w:basedOn w:val="79"/>
    <w:autoRedefine/>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3D effects 1"/>
    <w:basedOn w:val="79"/>
    <w:autoRedefine/>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6">
    <w:name w:val="Table 3D effects 2"/>
    <w:basedOn w:val="79"/>
    <w:autoRedefine/>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3D effects 3"/>
    <w:basedOn w:val="79"/>
    <w:autoRedefine/>
    <w:qFormat/>
    <w:uiPriority w:val="0"/>
    <w:pPr>
      <w:widowControl w:val="0"/>
      <w:jc w:val="both"/>
    </w:p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List 1"/>
    <w:basedOn w:val="79"/>
    <w:autoRedefine/>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List 2"/>
    <w:basedOn w:val="79"/>
    <w:autoRedefine/>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List 3"/>
    <w:basedOn w:val="79"/>
    <w:autoRedefine/>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1">
    <w:name w:val="Table List 4"/>
    <w:basedOn w:val="79"/>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02">
    <w:name w:val="Table List 5"/>
    <w:basedOn w:val="7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3">
    <w:name w:val="Table List 6"/>
    <w:basedOn w:val="7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4">
    <w:name w:val="Table List 7"/>
    <w:basedOn w:val="79"/>
    <w:autoRedefine/>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05">
    <w:name w:val="Table List 8"/>
    <w:basedOn w:val="7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06">
    <w:name w:val="Table Contemporary"/>
    <w:basedOn w:val="79"/>
    <w:autoRedefine/>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F3F3F3"/>
    </w:tcPr>
    <w:tblStylePr w:type="firstRow">
      <w:rPr>
        <w:rFonts w:cs="Times New Roman"/>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bl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blPr/>
      <w:tcPr>
        <w:tcBorders>
          <w:top w:val="nil"/>
          <w:left w:val="nil"/>
          <w:bottom w:val="nil"/>
          <w:right w:val="nil"/>
          <w:insideH w:val="nil"/>
          <w:insideV w:val="nil"/>
          <w:tl2br w:val="nil"/>
          <w:tr2bl w:val="nil"/>
        </w:tcBorders>
        <w:shd w:val="pct20" w:color="000000" w:fill="FFFFFF"/>
      </w:tcPr>
    </w:tblStylePr>
  </w:style>
  <w:style w:type="table" w:styleId="107">
    <w:name w:val="Table Columns 1"/>
    <w:basedOn w:val="79"/>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Columns 2"/>
    <w:basedOn w:val="79"/>
    <w:autoRedefine/>
    <w:qFormat/>
    <w:uiPriority w:val="0"/>
    <w:pPr>
      <w:widowControl w:val="0"/>
      <w:jc w:val="both"/>
    </w:pPr>
    <w:rPr>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Columns 3"/>
    <w:basedOn w:val="79"/>
    <w:autoRedefine/>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0">
    <w:name w:val="Table Columns 4"/>
    <w:basedOn w:val="79"/>
    <w:autoRedefine/>
    <w:qFormat/>
    <w:uiPriority w:val="0"/>
    <w:pPr>
      <w:widowControl w:val="0"/>
      <w:jc w:val="both"/>
    </w:p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1">
    <w:name w:val="Table Columns 5"/>
    <w:basedOn w:val="79"/>
    <w:autoRedefine/>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2">
    <w:name w:val="Table Grid 1"/>
    <w:basedOn w:val="7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Grid 2"/>
    <w:basedOn w:val="79"/>
    <w:autoRedefine/>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4">
    <w:name w:val="Table Grid 3"/>
    <w:basedOn w:val="79"/>
    <w:autoRedefine/>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Grid 4"/>
    <w:basedOn w:val="79"/>
    <w:autoRedefine/>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6">
    <w:name w:val="Table Grid 5"/>
    <w:basedOn w:val="79"/>
    <w:autoRedefine/>
    <w:qFormat/>
    <w:uiPriority w:val="0"/>
    <w:pPr>
      <w:widowControl w:val="0"/>
      <w:spacing w:line="360" w:lineRule="auto"/>
      <w:ind w:firstLine="200" w:firstLineChars="20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7">
    <w:name w:val="Table Grid 6"/>
    <w:basedOn w:val="79"/>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8">
    <w:name w:val="Table Grid 7"/>
    <w:basedOn w:val="79"/>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8"/>
    <w:basedOn w:val="79"/>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0">
    <w:name w:val="Table Web 1"/>
    <w:basedOn w:val="79"/>
    <w:autoRedefine/>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1">
    <w:name w:val="Table Web 2"/>
    <w:basedOn w:val="79"/>
    <w:autoRedefine/>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2">
    <w:name w:val="Table Web 3"/>
    <w:basedOn w:val="79"/>
    <w:autoRedefine/>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3">
    <w:name w:val="Table Professional"/>
    <w:basedOn w:val="7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5">
    <w:name w:val="Strong"/>
    <w:autoRedefine/>
    <w:qFormat/>
    <w:uiPriority w:val="0"/>
    <w:rPr>
      <w:b/>
      <w:bCs/>
    </w:rPr>
  </w:style>
  <w:style w:type="character" w:styleId="126">
    <w:name w:val="page number"/>
    <w:autoRedefine/>
    <w:qFormat/>
    <w:uiPriority w:val="0"/>
  </w:style>
  <w:style w:type="character" w:styleId="127">
    <w:name w:val="FollowedHyperlink"/>
    <w:autoRedefine/>
    <w:qFormat/>
    <w:uiPriority w:val="0"/>
    <w:rPr>
      <w:color w:val="800080"/>
      <w:u w:val="single"/>
    </w:rPr>
  </w:style>
  <w:style w:type="character" w:styleId="128">
    <w:name w:val="Emphasis"/>
    <w:autoRedefine/>
    <w:qFormat/>
    <w:uiPriority w:val="0"/>
    <w:rPr>
      <w:i/>
      <w:iCs/>
    </w:rPr>
  </w:style>
  <w:style w:type="character" w:styleId="129">
    <w:name w:val="line number"/>
    <w:autoRedefine/>
    <w:qFormat/>
    <w:uiPriority w:val="0"/>
    <w:rPr>
      <w:rFonts w:ascii="宋体" w:hAnsi="宋体" w:eastAsia="宋体" w:cs="Courier New"/>
      <w:kern w:val="2"/>
      <w:sz w:val="32"/>
      <w:szCs w:val="32"/>
      <w:lang w:val="en-US" w:eastAsia="zh-CN" w:bidi="ar-SA"/>
    </w:rPr>
  </w:style>
  <w:style w:type="character" w:styleId="130">
    <w:name w:val="HTML Definition"/>
    <w:autoRedefine/>
    <w:qFormat/>
    <w:uiPriority w:val="0"/>
    <w:rPr>
      <w:rFonts w:ascii="宋体" w:hAnsi="宋体" w:eastAsia="宋体" w:cs="Courier New"/>
      <w:i/>
      <w:iCs/>
      <w:kern w:val="2"/>
      <w:sz w:val="32"/>
      <w:szCs w:val="32"/>
      <w:lang w:val="en-US" w:eastAsia="zh-CN" w:bidi="ar-SA"/>
    </w:rPr>
  </w:style>
  <w:style w:type="character" w:styleId="131">
    <w:name w:val="HTML Typewriter"/>
    <w:autoRedefine/>
    <w:qFormat/>
    <w:uiPriority w:val="0"/>
    <w:rPr>
      <w:rFonts w:ascii="Courier New" w:hAnsi="Courier New" w:eastAsia="宋体" w:cs="Courier New"/>
      <w:kern w:val="2"/>
      <w:sz w:val="20"/>
      <w:szCs w:val="20"/>
      <w:lang w:val="en-US" w:eastAsia="zh-CN" w:bidi="ar-SA"/>
    </w:rPr>
  </w:style>
  <w:style w:type="character" w:styleId="132">
    <w:name w:val="HTML Acronym"/>
    <w:autoRedefine/>
    <w:qFormat/>
    <w:uiPriority w:val="0"/>
    <w:rPr>
      <w:rFonts w:ascii="宋体" w:hAnsi="宋体" w:eastAsia="宋体" w:cs="Courier New"/>
      <w:kern w:val="2"/>
      <w:sz w:val="32"/>
      <w:szCs w:val="32"/>
      <w:lang w:val="en-US" w:eastAsia="zh-CN" w:bidi="ar-SA"/>
    </w:rPr>
  </w:style>
  <w:style w:type="character" w:styleId="133">
    <w:name w:val="HTML Variable"/>
    <w:autoRedefine/>
    <w:qFormat/>
    <w:uiPriority w:val="0"/>
    <w:rPr>
      <w:rFonts w:ascii="宋体" w:hAnsi="宋体" w:eastAsia="宋体" w:cs="Courier New"/>
      <w:i/>
      <w:iCs/>
      <w:kern w:val="2"/>
      <w:sz w:val="32"/>
      <w:szCs w:val="32"/>
      <w:lang w:val="en-US" w:eastAsia="zh-CN" w:bidi="ar-SA"/>
    </w:rPr>
  </w:style>
  <w:style w:type="character" w:styleId="134">
    <w:name w:val="Hyperlink"/>
    <w:autoRedefine/>
    <w:qFormat/>
    <w:uiPriority w:val="99"/>
    <w:rPr>
      <w:color w:val="0000FF"/>
      <w:u w:val="single"/>
    </w:rPr>
  </w:style>
  <w:style w:type="character" w:styleId="135">
    <w:name w:val="HTML Code"/>
    <w:autoRedefine/>
    <w:qFormat/>
    <w:uiPriority w:val="0"/>
    <w:rPr>
      <w:rFonts w:ascii="Courier New" w:hAnsi="Courier New" w:eastAsia="宋体" w:cs="Courier New"/>
      <w:kern w:val="2"/>
      <w:sz w:val="20"/>
      <w:szCs w:val="20"/>
      <w:lang w:val="en-US" w:eastAsia="zh-CN" w:bidi="ar-SA"/>
    </w:rPr>
  </w:style>
  <w:style w:type="character" w:styleId="136">
    <w:name w:val="annotation reference"/>
    <w:autoRedefine/>
    <w:qFormat/>
    <w:uiPriority w:val="0"/>
    <w:rPr>
      <w:sz w:val="21"/>
      <w:szCs w:val="21"/>
    </w:rPr>
  </w:style>
  <w:style w:type="character" w:styleId="137">
    <w:name w:val="HTML Cite"/>
    <w:autoRedefine/>
    <w:qFormat/>
    <w:uiPriority w:val="0"/>
    <w:rPr>
      <w:rFonts w:ascii="宋体" w:hAnsi="宋体" w:eastAsia="宋体" w:cs="Courier New"/>
      <w:i/>
      <w:iCs/>
      <w:kern w:val="2"/>
      <w:sz w:val="32"/>
      <w:szCs w:val="32"/>
      <w:lang w:val="en-US" w:eastAsia="zh-CN" w:bidi="ar-SA"/>
    </w:rPr>
  </w:style>
  <w:style w:type="character" w:styleId="138">
    <w:name w:val="footnote reference"/>
    <w:autoRedefine/>
    <w:qFormat/>
    <w:uiPriority w:val="0"/>
    <w:rPr>
      <w:vertAlign w:val="superscript"/>
    </w:rPr>
  </w:style>
  <w:style w:type="character" w:styleId="139">
    <w:name w:val="HTML Keyboard"/>
    <w:autoRedefine/>
    <w:qFormat/>
    <w:uiPriority w:val="0"/>
    <w:rPr>
      <w:rFonts w:ascii="Courier New" w:hAnsi="Courier New" w:eastAsia="宋体" w:cs="Courier New"/>
      <w:kern w:val="2"/>
      <w:sz w:val="20"/>
      <w:szCs w:val="20"/>
      <w:lang w:val="en-US" w:eastAsia="zh-CN" w:bidi="ar-SA"/>
    </w:rPr>
  </w:style>
  <w:style w:type="character" w:styleId="140">
    <w:name w:val="HTML Sample"/>
    <w:autoRedefine/>
    <w:qFormat/>
    <w:uiPriority w:val="0"/>
    <w:rPr>
      <w:rFonts w:ascii="Courier New" w:hAnsi="Courier New" w:eastAsia="宋体" w:cs="Courier New"/>
      <w:kern w:val="2"/>
      <w:sz w:val="32"/>
      <w:szCs w:val="32"/>
      <w:lang w:val="en-US" w:eastAsia="zh-CN" w:bidi="ar-SA"/>
    </w:rPr>
  </w:style>
  <w:style w:type="paragraph" w:customStyle="1" w:styleId="141">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22"/>
      <w:lang w:eastAsia="en-US" w:bidi="en-US"/>
    </w:rPr>
  </w:style>
  <w:style w:type="character" w:customStyle="1" w:styleId="142">
    <w:name w:val="正文文本 字符"/>
    <w:link w:val="29"/>
    <w:autoRedefine/>
    <w:qFormat/>
    <w:uiPriority w:val="0"/>
    <w:rPr>
      <w:rFonts w:ascii="Times New Roman" w:hAnsi="Times New Roman" w:eastAsia="宋体" w:cs="Times New Roman"/>
      <w:kern w:val="0"/>
      <w:lang w:eastAsia="en-US" w:bidi="en-US"/>
    </w:rPr>
  </w:style>
  <w:style w:type="character" w:customStyle="1" w:styleId="143">
    <w:name w:val="正文首行缩进 字符"/>
    <w:link w:val="77"/>
    <w:autoRedefine/>
    <w:qFormat/>
    <w:uiPriority w:val="0"/>
    <w:rPr>
      <w:rFonts w:ascii="Times New Roman" w:hAnsi="Times New Roman" w:eastAsia="宋体" w:cs="Times New Roman"/>
      <w:kern w:val="0"/>
      <w:szCs w:val="24"/>
      <w:lang w:eastAsia="en-US" w:bidi="en-US"/>
    </w:rPr>
  </w:style>
  <w:style w:type="character" w:customStyle="1" w:styleId="144">
    <w:name w:val="正文首行缩进 2 字符"/>
    <w:link w:val="78"/>
    <w:autoRedefine/>
    <w:qFormat/>
    <w:uiPriority w:val="0"/>
    <w:rPr>
      <w:rFonts w:ascii="Times New Roman" w:hAnsi="Times New Roman" w:eastAsia="宋体" w:cs="Times New Roman"/>
      <w:kern w:val="0"/>
      <w:sz w:val="28"/>
      <w:szCs w:val="24"/>
      <w:lang w:eastAsia="en-US" w:bidi="en-US"/>
    </w:rPr>
  </w:style>
  <w:style w:type="character" w:customStyle="1" w:styleId="145">
    <w:name w:val="标题 1 字符"/>
    <w:link w:val="2"/>
    <w:autoRedefine/>
    <w:qFormat/>
    <w:uiPriority w:val="0"/>
    <w:rPr>
      <w:b/>
      <w:bCs/>
      <w:kern w:val="44"/>
      <w:sz w:val="36"/>
      <w:szCs w:val="44"/>
    </w:rPr>
  </w:style>
  <w:style w:type="character" w:customStyle="1" w:styleId="146">
    <w:name w:val="标题 2 字符"/>
    <w:link w:val="3"/>
    <w:autoRedefine/>
    <w:qFormat/>
    <w:uiPriority w:val="0"/>
    <w:rPr>
      <w:rFonts w:ascii="Times New Roman" w:hAnsi="Times New Roman" w:eastAsia="宋体" w:cs="Times New Roman"/>
      <w:b/>
      <w:sz w:val="32"/>
      <w:szCs w:val="20"/>
    </w:rPr>
  </w:style>
  <w:style w:type="character" w:customStyle="1" w:styleId="147">
    <w:name w:val="标题 3 字符"/>
    <w:link w:val="4"/>
    <w:autoRedefine/>
    <w:qFormat/>
    <w:uiPriority w:val="0"/>
    <w:rPr>
      <w:rFonts w:ascii="Times New Roman" w:hAnsi="Times New Roman" w:eastAsia="宋体" w:cs="Times New Roman"/>
      <w:b/>
      <w:bCs/>
      <w:sz w:val="30"/>
      <w:szCs w:val="32"/>
    </w:rPr>
  </w:style>
  <w:style w:type="character" w:customStyle="1" w:styleId="148">
    <w:name w:val="标题 4 字符"/>
    <w:link w:val="5"/>
    <w:autoRedefine/>
    <w:qFormat/>
    <w:uiPriority w:val="0"/>
    <w:rPr>
      <w:rFonts w:ascii="Arial" w:hAnsi="Arial" w:eastAsia="宋体" w:cs="Times New Roman"/>
      <w:b/>
      <w:bCs/>
      <w:sz w:val="24"/>
      <w:szCs w:val="28"/>
    </w:rPr>
  </w:style>
  <w:style w:type="character" w:customStyle="1" w:styleId="149">
    <w:name w:val="标题 5 字符"/>
    <w:link w:val="6"/>
    <w:autoRedefine/>
    <w:qFormat/>
    <w:uiPriority w:val="0"/>
    <w:rPr>
      <w:rFonts w:ascii="Cambria" w:hAnsi="Cambria" w:eastAsia="宋体" w:cs="Times New Roman"/>
      <w:color w:val="243F60"/>
      <w:kern w:val="0"/>
      <w:sz w:val="22"/>
      <w:lang w:eastAsia="en-US" w:bidi="en-US"/>
    </w:rPr>
  </w:style>
  <w:style w:type="character" w:customStyle="1" w:styleId="150">
    <w:name w:val="标题 6 字符"/>
    <w:link w:val="7"/>
    <w:autoRedefine/>
    <w:qFormat/>
    <w:uiPriority w:val="0"/>
    <w:rPr>
      <w:rFonts w:ascii="Cambria" w:hAnsi="Cambria" w:eastAsia="宋体" w:cs="Times New Roman"/>
      <w:i/>
      <w:iCs/>
      <w:color w:val="243F60"/>
      <w:kern w:val="0"/>
      <w:sz w:val="22"/>
      <w:lang w:eastAsia="en-US" w:bidi="en-US"/>
    </w:rPr>
  </w:style>
  <w:style w:type="character" w:customStyle="1" w:styleId="151">
    <w:name w:val="标题 7 字符"/>
    <w:link w:val="8"/>
    <w:autoRedefine/>
    <w:qFormat/>
    <w:uiPriority w:val="0"/>
    <w:rPr>
      <w:rFonts w:ascii="Cambria" w:hAnsi="Cambria" w:eastAsia="宋体" w:cs="Times New Roman"/>
      <w:i/>
      <w:iCs/>
      <w:color w:val="404040"/>
      <w:kern w:val="0"/>
      <w:sz w:val="22"/>
      <w:lang w:eastAsia="en-US" w:bidi="en-US"/>
    </w:rPr>
  </w:style>
  <w:style w:type="character" w:customStyle="1" w:styleId="152">
    <w:name w:val="标题 8 字符"/>
    <w:link w:val="9"/>
    <w:autoRedefine/>
    <w:qFormat/>
    <w:uiPriority w:val="0"/>
    <w:rPr>
      <w:rFonts w:ascii="Arial" w:hAnsi="Arial" w:eastAsia="黑体" w:cs="Times New Roman"/>
      <w:sz w:val="24"/>
      <w:szCs w:val="24"/>
    </w:rPr>
  </w:style>
  <w:style w:type="character" w:customStyle="1" w:styleId="153">
    <w:name w:val="标题 9 字符"/>
    <w:link w:val="10"/>
    <w:autoRedefine/>
    <w:qFormat/>
    <w:uiPriority w:val="0"/>
    <w:rPr>
      <w:rFonts w:ascii="Cambria" w:hAnsi="Cambria" w:eastAsia="宋体" w:cs="Times New Roman"/>
      <w:i/>
      <w:iCs/>
      <w:color w:val="404040"/>
      <w:kern w:val="0"/>
      <w:sz w:val="20"/>
      <w:szCs w:val="20"/>
      <w:lang w:eastAsia="en-US" w:bidi="en-US"/>
    </w:rPr>
  </w:style>
  <w:style w:type="character" w:customStyle="1" w:styleId="154">
    <w:name w:val="注释标题 字符"/>
    <w:link w:val="14"/>
    <w:autoRedefine/>
    <w:qFormat/>
    <w:uiPriority w:val="0"/>
    <w:rPr>
      <w:rFonts w:ascii="Times New Roman" w:hAnsi="Times New Roman" w:eastAsia="黑体" w:cs="Times New Roman"/>
      <w:sz w:val="24"/>
      <w:szCs w:val="24"/>
    </w:rPr>
  </w:style>
  <w:style w:type="character" w:customStyle="1" w:styleId="155">
    <w:name w:val="电子邮件签名 字符"/>
    <w:link w:val="16"/>
    <w:autoRedefine/>
    <w:qFormat/>
    <w:uiPriority w:val="0"/>
    <w:rPr>
      <w:rFonts w:ascii="Times New Roman" w:hAnsi="Times New Roman" w:eastAsia="宋体" w:cs="Times New Roman"/>
      <w:szCs w:val="24"/>
    </w:rPr>
  </w:style>
  <w:style w:type="character" w:customStyle="1" w:styleId="156">
    <w:name w:val="正文缩进 字符"/>
    <w:link w:val="18"/>
    <w:autoRedefine/>
    <w:qFormat/>
    <w:uiPriority w:val="99"/>
    <w:rPr>
      <w:rFonts w:ascii="Times New Roman" w:hAnsi="Times New Roman" w:eastAsia="宋体" w:cs="Times New Roman"/>
      <w:szCs w:val="24"/>
    </w:rPr>
  </w:style>
  <w:style w:type="character" w:customStyle="1" w:styleId="157">
    <w:name w:val="题注 字符"/>
    <w:link w:val="19"/>
    <w:autoRedefine/>
    <w:qFormat/>
    <w:uiPriority w:val="0"/>
    <w:rPr>
      <w:rFonts w:eastAsia="黑体"/>
      <w:sz w:val="24"/>
    </w:rPr>
  </w:style>
  <w:style w:type="character" w:customStyle="1" w:styleId="158">
    <w:name w:val="文档结构图 字符"/>
    <w:link w:val="22"/>
    <w:autoRedefine/>
    <w:qFormat/>
    <w:uiPriority w:val="0"/>
    <w:rPr>
      <w:rFonts w:ascii="宋体" w:eastAsia="宋体"/>
      <w:sz w:val="18"/>
      <w:szCs w:val="18"/>
    </w:rPr>
  </w:style>
  <w:style w:type="character" w:customStyle="1" w:styleId="159">
    <w:name w:val="批注文字 字符"/>
    <w:link w:val="24"/>
    <w:autoRedefine/>
    <w:qFormat/>
    <w:uiPriority w:val="0"/>
  </w:style>
  <w:style w:type="character" w:customStyle="1" w:styleId="160">
    <w:name w:val="称呼 字符"/>
    <w:link w:val="25"/>
    <w:autoRedefine/>
    <w:qFormat/>
    <w:uiPriority w:val="0"/>
    <w:rPr>
      <w:rFonts w:ascii="Times New Roman" w:hAnsi="Times New Roman" w:eastAsia="宋体" w:cs="Times New Roman"/>
      <w:szCs w:val="24"/>
    </w:rPr>
  </w:style>
  <w:style w:type="character" w:customStyle="1" w:styleId="161">
    <w:name w:val="正文文本 3 字符"/>
    <w:link w:val="26"/>
    <w:autoRedefine/>
    <w:qFormat/>
    <w:uiPriority w:val="0"/>
    <w:rPr>
      <w:rFonts w:ascii="Times New Roman" w:hAnsi="Times New Roman" w:eastAsia="宋体" w:cs="Times New Roman"/>
      <w:sz w:val="16"/>
      <w:szCs w:val="16"/>
    </w:rPr>
  </w:style>
  <w:style w:type="character" w:customStyle="1" w:styleId="162">
    <w:name w:val="结束语 字符"/>
    <w:link w:val="27"/>
    <w:autoRedefine/>
    <w:qFormat/>
    <w:uiPriority w:val="0"/>
    <w:rPr>
      <w:rFonts w:ascii="Times New Roman" w:hAnsi="Times New Roman" w:eastAsia="宋体" w:cs="Times New Roman"/>
      <w:szCs w:val="24"/>
    </w:rPr>
  </w:style>
  <w:style w:type="character" w:customStyle="1" w:styleId="163">
    <w:name w:val="正文文本缩进 字符"/>
    <w:link w:val="31"/>
    <w:autoRedefine/>
    <w:qFormat/>
    <w:uiPriority w:val="0"/>
    <w:rPr>
      <w:kern w:val="2"/>
      <w:sz w:val="21"/>
      <w:szCs w:val="22"/>
    </w:rPr>
  </w:style>
  <w:style w:type="character" w:customStyle="1" w:styleId="164">
    <w:name w:val="HTML 地址 字符"/>
    <w:link w:val="37"/>
    <w:autoRedefine/>
    <w:qFormat/>
    <w:uiPriority w:val="0"/>
    <w:rPr>
      <w:rFonts w:ascii="Times New Roman" w:hAnsi="Times New Roman" w:eastAsia="宋体" w:cs="Times New Roman"/>
      <w:i/>
      <w:iCs/>
      <w:szCs w:val="24"/>
    </w:rPr>
  </w:style>
  <w:style w:type="character" w:customStyle="1" w:styleId="165">
    <w:name w:val="纯文本 字符"/>
    <w:link w:val="40"/>
    <w:autoRedefine/>
    <w:qFormat/>
    <w:uiPriority w:val="0"/>
    <w:rPr>
      <w:rFonts w:hint="eastAsia" w:ascii="宋体" w:hAnsi="Courier New" w:eastAsia="宋体" w:cs="宋体"/>
      <w:kern w:val="2"/>
      <w:sz w:val="28"/>
      <w:szCs w:val="21"/>
    </w:rPr>
  </w:style>
  <w:style w:type="character" w:customStyle="1" w:styleId="166">
    <w:name w:val="日期 字符"/>
    <w:link w:val="45"/>
    <w:autoRedefine/>
    <w:qFormat/>
    <w:uiPriority w:val="0"/>
    <w:rPr>
      <w:rFonts w:ascii="Times New Roman" w:hAnsi="Times New Roman" w:eastAsia="宋体" w:cs="Times New Roman"/>
      <w:kern w:val="0"/>
      <w:lang w:eastAsia="en-US" w:bidi="en-US"/>
    </w:rPr>
  </w:style>
  <w:style w:type="character" w:customStyle="1" w:styleId="167">
    <w:name w:val="正文文本缩进 2 字符"/>
    <w:link w:val="46"/>
    <w:autoRedefine/>
    <w:qFormat/>
    <w:uiPriority w:val="0"/>
    <w:rPr>
      <w:rFonts w:ascii="Times New Roman" w:hAnsi="Times New Roman" w:eastAsia="宋体" w:cs="Times New Roman"/>
      <w:szCs w:val="24"/>
    </w:rPr>
  </w:style>
  <w:style w:type="character" w:customStyle="1" w:styleId="168">
    <w:name w:val="批注框文本 字符"/>
    <w:link w:val="48"/>
    <w:autoRedefine/>
    <w:qFormat/>
    <w:uiPriority w:val="0"/>
    <w:rPr>
      <w:rFonts w:ascii="Times New Roman" w:hAnsi="Times New Roman" w:eastAsia="宋体" w:cs="Times New Roman"/>
      <w:sz w:val="18"/>
      <w:szCs w:val="18"/>
    </w:rPr>
  </w:style>
  <w:style w:type="character" w:customStyle="1" w:styleId="169">
    <w:name w:val="页脚 字符"/>
    <w:link w:val="49"/>
    <w:autoRedefine/>
    <w:qFormat/>
    <w:uiPriority w:val="99"/>
    <w:rPr>
      <w:sz w:val="18"/>
      <w:szCs w:val="18"/>
    </w:rPr>
  </w:style>
  <w:style w:type="character" w:customStyle="1" w:styleId="170">
    <w:name w:val="页眉 字符"/>
    <w:link w:val="51"/>
    <w:autoRedefine/>
    <w:qFormat/>
    <w:uiPriority w:val="0"/>
    <w:rPr>
      <w:rFonts w:ascii="Times New Roman" w:hAnsi="Times New Roman" w:eastAsia="宋体" w:cs="Times New Roman"/>
      <w:sz w:val="18"/>
      <w:szCs w:val="18"/>
    </w:rPr>
  </w:style>
  <w:style w:type="character" w:customStyle="1" w:styleId="171">
    <w:name w:val="签名 字符"/>
    <w:link w:val="52"/>
    <w:autoRedefine/>
    <w:qFormat/>
    <w:uiPriority w:val="0"/>
    <w:rPr>
      <w:rFonts w:ascii="Times New Roman" w:hAnsi="Times New Roman" w:eastAsia="宋体" w:cs="Times New Roman"/>
      <w:szCs w:val="24"/>
    </w:rPr>
  </w:style>
  <w:style w:type="character" w:customStyle="1" w:styleId="172">
    <w:name w:val="目录 1 字符"/>
    <w:link w:val="53"/>
    <w:autoRedefine/>
    <w:qFormat/>
    <w:uiPriority w:val="0"/>
    <w:rPr>
      <w:rFonts w:ascii="楷体_GB2312" w:hAnsi="楷体_GB2312" w:eastAsia="楷体_GB2312" w:cs="Times New Roman"/>
      <w:bCs/>
      <w:caps/>
      <w:sz w:val="24"/>
      <w:szCs w:val="24"/>
    </w:rPr>
  </w:style>
  <w:style w:type="character" w:customStyle="1" w:styleId="173">
    <w:name w:val="副标题 字符"/>
    <w:link w:val="58"/>
    <w:autoRedefine/>
    <w:qFormat/>
    <w:uiPriority w:val="11"/>
    <w:rPr>
      <w:rFonts w:ascii="Cambria" w:hAnsi="Cambria" w:eastAsia="宋体" w:cs="Times New Roman"/>
      <w:i/>
      <w:iCs/>
      <w:color w:val="4F81BD"/>
      <w:spacing w:val="15"/>
      <w:kern w:val="0"/>
      <w:sz w:val="24"/>
      <w:szCs w:val="24"/>
      <w:lang w:eastAsia="en-US" w:bidi="en-US"/>
    </w:rPr>
  </w:style>
  <w:style w:type="character" w:customStyle="1" w:styleId="174">
    <w:name w:val="脚注文本 字符"/>
    <w:link w:val="60"/>
    <w:autoRedefine/>
    <w:qFormat/>
    <w:uiPriority w:val="0"/>
    <w:rPr>
      <w:rFonts w:ascii="Arial" w:hAnsi="Arial" w:eastAsia="宋体" w:cs="Times New Roman"/>
      <w:sz w:val="18"/>
      <w:szCs w:val="18"/>
    </w:rPr>
  </w:style>
  <w:style w:type="character" w:customStyle="1" w:styleId="175">
    <w:name w:val="正文文本缩进 3 字符"/>
    <w:link w:val="63"/>
    <w:autoRedefine/>
    <w:qFormat/>
    <w:uiPriority w:val="0"/>
    <w:rPr>
      <w:rFonts w:ascii="Times New Roman" w:hAnsi="Times New Roman" w:eastAsia="宋体" w:cs="Times New Roman"/>
      <w:kern w:val="0"/>
      <w:sz w:val="16"/>
      <w:szCs w:val="16"/>
      <w:lang w:eastAsia="en-US" w:bidi="en-US"/>
    </w:rPr>
  </w:style>
  <w:style w:type="character" w:customStyle="1" w:styleId="176">
    <w:name w:val="正文文本 2 字符"/>
    <w:link w:val="68"/>
    <w:autoRedefine/>
    <w:qFormat/>
    <w:uiPriority w:val="0"/>
    <w:rPr>
      <w:rFonts w:ascii="Times New Roman" w:hAnsi="Times New Roman" w:eastAsia="宋体" w:cs="Times New Roman"/>
      <w:kern w:val="0"/>
      <w:sz w:val="22"/>
      <w:lang w:eastAsia="en-US" w:bidi="en-US"/>
    </w:rPr>
  </w:style>
  <w:style w:type="character" w:customStyle="1" w:styleId="177">
    <w:name w:val="信息标题 字符"/>
    <w:link w:val="71"/>
    <w:autoRedefine/>
    <w:qFormat/>
    <w:uiPriority w:val="0"/>
    <w:rPr>
      <w:rFonts w:ascii="Arial" w:hAnsi="Arial" w:eastAsia="宋体" w:cs="Arial"/>
      <w:sz w:val="24"/>
      <w:szCs w:val="24"/>
      <w:shd w:val="pct20" w:color="auto" w:fill="auto"/>
    </w:rPr>
  </w:style>
  <w:style w:type="character" w:customStyle="1" w:styleId="178">
    <w:name w:val="HTML 预设格式 字符"/>
    <w:link w:val="72"/>
    <w:autoRedefine/>
    <w:qFormat/>
    <w:uiPriority w:val="0"/>
    <w:rPr>
      <w:rFonts w:ascii="宋体" w:hAnsi="宋体" w:eastAsia="宋体" w:cs="Times New Roman"/>
      <w:color w:val="000000"/>
      <w:kern w:val="0"/>
      <w:szCs w:val="21"/>
    </w:rPr>
  </w:style>
  <w:style w:type="character" w:customStyle="1" w:styleId="179">
    <w:name w:val="标题 字符"/>
    <w:link w:val="75"/>
    <w:autoRedefine/>
    <w:qFormat/>
    <w:uiPriority w:val="0"/>
    <w:rPr>
      <w:rFonts w:ascii="Cambria" w:hAnsi="Cambria" w:eastAsia="宋体" w:cs="Times New Roman"/>
      <w:b/>
      <w:bCs/>
      <w:sz w:val="32"/>
      <w:szCs w:val="32"/>
    </w:rPr>
  </w:style>
  <w:style w:type="character" w:customStyle="1" w:styleId="180">
    <w:name w:val="批注主题 字符"/>
    <w:link w:val="76"/>
    <w:autoRedefine/>
    <w:qFormat/>
    <w:uiPriority w:val="0"/>
    <w:rPr>
      <w:rFonts w:eastAsia="宋体"/>
      <w:b/>
      <w:bCs/>
      <w:kern w:val="0"/>
      <w:lang w:eastAsia="en-US" w:bidi="en-US"/>
    </w:rPr>
  </w:style>
  <w:style w:type="paragraph" w:customStyle="1" w:styleId="181">
    <w:name w:val="正文格式"/>
    <w:basedOn w:val="77"/>
    <w:link w:val="182"/>
    <w:autoRedefine/>
    <w:qFormat/>
    <w:uiPriority w:val="0"/>
    <w:pPr>
      <w:spacing w:after="0" w:line="360" w:lineRule="auto"/>
      <w:ind w:firstLine="200" w:firstLineChars="200"/>
    </w:pPr>
    <w:rPr>
      <w:rFonts w:ascii="宋体"/>
      <w:sz w:val="24"/>
      <w:lang w:bidi="ar-SA"/>
    </w:rPr>
  </w:style>
  <w:style w:type="character" w:customStyle="1" w:styleId="182">
    <w:name w:val="正文格式 Char"/>
    <w:link w:val="181"/>
    <w:autoRedefine/>
    <w:qFormat/>
    <w:uiPriority w:val="0"/>
    <w:rPr>
      <w:rFonts w:ascii="宋体" w:hAnsi="Times New Roman" w:eastAsia="宋体" w:cs="Times New Roman"/>
      <w:sz w:val="24"/>
      <w:szCs w:val="24"/>
    </w:rPr>
  </w:style>
  <w:style w:type="paragraph" w:customStyle="1" w:styleId="183">
    <w:name w:val="表格内"/>
    <w:basedOn w:val="1"/>
    <w:autoRedefine/>
    <w:qFormat/>
    <w:uiPriority w:val="0"/>
    <w:pPr>
      <w:keepNext w:val="0"/>
      <w:keepLines w:val="0"/>
      <w:widowControl/>
      <w:suppressLineNumbers w:val="0"/>
      <w:adjustRightInd w:val="0"/>
      <w:snapToGrid w:val="0"/>
      <w:spacing w:before="0" w:beforeAutospacing="0" w:after="200" w:afterAutospacing="0" w:line="360" w:lineRule="exact"/>
      <w:ind w:left="0" w:right="0" w:firstLine="720" w:firstLineChars="200"/>
      <w:jc w:val="center"/>
    </w:pPr>
    <w:rPr>
      <w:rFonts w:hint="default" w:ascii="Calibri" w:hAnsi="Calibri" w:eastAsia="微软雅黑" w:cs="Calibri"/>
      <w:kern w:val="0"/>
      <w:sz w:val="22"/>
      <w:szCs w:val="21"/>
      <w:lang w:val="en-US" w:eastAsia="zh-CN" w:bidi="ar"/>
    </w:rPr>
  </w:style>
  <w:style w:type="character" w:customStyle="1" w:styleId="184">
    <w:name w:val="明显参考1"/>
    <w:autoRedefine/>
    <w:qFormat/>
    <w:uiPriority w:val="0"/>
    <w:rPr>
      <w:b/>
      <w:bCs/>
      <w:smallCaps/>
      <w:color w:val="C0504D"/>
      <w:spacing w:val="5"/>
      <w:u w:val="single"/>
    </w:rPr>
  </w:style>
  <w:style w:type="character" w:customStyle="1" w:styleId="185">
    <w:name w:val="Char Char18"/>
    <w:autoRedefine/>
    <w:qFormat/>
    <w:uiPriority w:val="0"/>
    <w:rPr>
      <w:rFonts w:ascii="Cambria" w:hAnsi="Cambria" w:eastAsia="宋体" w:cs="Times New Roman"/>
      <w:b/>
      <w:bCs/>
      <w:sz w:val="28"/>
      <w:szCs w:val="28"/>
    </w:rPr>
  </w:style>
  <w:style w:type="character" w:customStyle="1" w:styleId="186">
    <w:name w:val="文本框五号 Char Char"/>
    <w:autoRedefine/>
    <w:qFormat/>
    <w:uiPriority w:val="0"/>
    <w:rPr>
      <w:rFonts w:ascii="Times New Roman" w:hAnsi="Times New Roman" w:eastAsia="仿宋_GB2312"/>
      <w:kern w:val="2"/>
      <w:sz w:val="21"/>
      <w:szCs w:val="21"/>
    </w:rPr>
  </w:style>
  <w:style w:type="character" w:customStyle="1" w:styleId="187">
    <w:name w:val="报告正文小四 Char"/>
    <w:link w:val="188"/>
    <w:autoRedefine/>
    <w:qFormat/>
    <w:uiPriority w:val="0"/>
    <w:rPr>
      <w:sz w:val="24"/>
    </w:rPr>
  </w:style>
  <w:style w:type="paragraph" w:customStyle="1" w:styleId="188">
    <w:name w:val="报告正文小四"/>
    <w:basedOn w:val="1"/>
    <w:link w:val="187"/>
    <w:autoRedefine/>
    <w:qFormat/>
    <w:uiPriority w:val="0"/>
    <w:pPr>
      <w:keepNext w:val="0"/>
      <w:keepLines w:val="0"/>
      <w:widowControl w:val="0"/>
      <w:suppressLineNumbers w:val="0"/>
      <w:adjustRightInd w:val="0"/>
      <w:snapToGrid w:val="0"/>
      <w:spacing w:before="0" w:beforeAutospacing="0" w:after="0" w:afterAutospacing="0" w:line="360" w:lineRule="auto"/>
      <w:ind w:left="0" w:right="0" w:firstLine="420"/>
      <w:jc w:val="left"/>
    </w:pPr>
    <w:rPr>
      <w:kern w:val="0"/>
      <w:sz w:val="24"/>
      <w:szCs w:val="20"/>
    </w:rPr>
  </w:style>
  <w:style w:type="character" w:customStyle="1" w:styleId="189">
    <w:name w:val="样式 首行缩进:  0.85 厘米 Char1"/>
    <w:link w:val="190"/>
    <w:autoRedefine/>
    <w:qFormat/>
    <w:uiPriority w:val="0"/>
    <w:rPr>
      <w:rFonts w:ascii="楷体_GB2312" w:hAnsi="楷体_GB2312" w:eastAsia="楷体_GB2312" w:cs="楷体_GB2312"/>
      <w:sz w:val="24"/>
      <w:szCs w:val="24"/>
    </w:rPr>
  </w:style>
  <w:style w:type="paragraph" w:customStyle="1" w:styleId="190">
    <w:name w:val="样式 首行缩进:  0.85 厘米"/>
    <w:basedOn w:val="1"/>
    <w:link w:val="189"/>
    <w:autoRedefine/>
    <w:qFormat/>
    <w:uiPriority w:val="0"/>
    <w:pPr>
      <w:spacing w:line="500" w:lineRule="exact"/>
      <w:ind w:firstLine="200" w:firstLineChars="200"/>
    </w:pPr>
    <w:rPr>
      <w:rFonts w:ascii="楷体_GB2312" w:hAnsi="楷体_GB2312" w:eastAsia="楷体_GB2312"/>
      <w:kern w:val="0"/>
      <w:sz w:val="24"/>
      <w:szCs w:val="24"/>
    </w:rPr>
  </w:style>
  <w:style w:type="character" w:customStyle="1" w:styleId="191">
    <w:name w:val="样式 (中文) 仿宋_GB2312 小四"/>
    <w:autoRedefine/>
    <w:qFormat/>
    <w:uiPriority w:val="0"/>
    <w:rPr>
      <w:rFonts w:eastAsia="宋体"/>
      <w:sz w:val="24"/>
    </w:rPr>
  </w:style>
  <w:style w:type="character" w:customStyle="1" w:styleId="192">
    <w:name w:val="不明显参考1"/>
    <w:autoRedefine/>
    <w:qFormat/>
    <w:uiPriority w:val="0"/>
    <w:rPr>
      <w:smallCaps/>
      <w:color w:val="C0504D"/>
      <w:u w:val="single"/>
    </w:rPr>
  </w:style>
  <w:style w:type="character" w:customStyle="1" w:styleId="193">
    <w:name w:val="Char Char15"/>
    <w:autoRedefine/>
    <w:qFormat/>
    <w:uiPriority w:val="0"/>
    <w:rPr>
      <w:rFonts w:eastAsia="宋体"/>
      <w:b/>
      <w:sz w:val="24"/>
      <w:lang w:bidi="ar-SA"/>
    </w:rPr>
  </w:style>
  <w:style w:type="character" w:customStyle="1" w:styleId="194">
    <w:name w:val="样式1 Char Char"/>
    <w:autoRedefine/>
    <w:qFormat/>
    <w:uiPriority w:val="0"/>
    <w:rPr>
      <w:rFonts w:ascii="Times New Roman" w:hAnsi="Times New Roman"/>
      <w:b/>
      <w:i/>
      <w:iCs/>
      <w:color w:val="4F81BD"/>
      <w:kern w:val="24"/>
      <w:sz w:val="22"/>
      <w:lang w:eastAsia="en-US" w:bidi="en-US"/>
    </w:rPr>
  </w:style>
  <w:style w:type="character" w:customStyle="1" w:styleId="195">
    <w:name w:val="正文(首行缩进)宋旭峰 Char Char"/>
    <w:link w:val="196"/>
    <w:autoRedefine/>
    <w:qFormat/>
    <w:uiPriority w:val="0"/>
    <w:rPr>
      <w:rFonts w:ascii="宋体" w:hAnsi="宋体" w:eastAsia="宋体" w:cs="TimesNewRomanPSMT"/>
      <w:snapToGrid w:val="0"/>
      <w:kern w:val="0"/>
      <w:sz w:val="24"/>
      <w:szCs w:val="24"/>
    </w:rPr>
  </w:style>
  <w:style w:type="paragraph" w:customStyle="1" w:styleId="196">
    <w:name w:val="正文(首行缩进)宋旭峰"/>
    <w:basedOn w:val="18"/>
    <w:link w:val="195"/>
    <w:autoRedefine/>
    <w:qFormat/>
    <w:uiPriority w:val="0"/>
    <w:pPr>
      <w:spacing w:line="560" w:lineRule="exact"/>
      <w:ind w:firstLine="480"/>
      <w:contextualSpacing/>
    </w:pPr>
    <w:rPr>
      <w:rFonts w:ascii="宋体" w:hAnsi="宋体"/>
      <w:snapToGrid w:val="0"/>
      <w:sz w:val="24"/>
    </w:rPr>
  </w:style>
  <w:style w:type="character" w:customStyle="1" w:styleId="197">
    <w:name w:val="song241"/>
    <w:autoRedefine/>
    <w:qFormat/>
    <w:uiPriority w:val="0"/>
  </w:style>
  <w:style w:type="character" w:customStyle="1" w:styleId="198">
    <w:name w:val="正文01 Char Char"/>
    <w:link w:val="199"/>
    <w:autoRedefine/>
    <w:qFormat/>
    <w:uiPriority w:val="0"/>
    <w:rPr>
      <w:rFonts w:eastAsia="宋体"/>
      <w:sz w:val="24"/>
      <w:szCs w:val="24"/>
    </w:rPr>
  </w:style>
  <w:style w:type="paragraph" w:customStyle="1" w:styleId="199">
    <w:name w:val="正文01"/>
    <w:basedOn w:val="1"/>
    <w:link w:val="198"/>
    <w:autoRedefine/>
    <w:qFormat/>
    <w:uiPriority w:val="0"/>
    <w:pPr>
      <w:spacing w:before="60" w:line="460" w:lineRule="exact"/>
      <w:ind w:firstLine="200" w:firstLineChars="200"/>
    </w:pPr>
    <w:rPr>
      <w:kern w:val="0"/>
      <w:sz w:val="24"/>
      <w:szCs w:val="24"/>
    </w:rPr>
  </w:style>
  <w:style w:type="character" w:customStyle="1" w:styleId="200">
    <w:name w:val="标题3 Char Char"/>
    <w:autoRedefine/>
    <w:qFormat/>
    <w:uiPriority w:val="0"/>
    <w:rPr>
      <w:rFonts w:ascii="Times New Roman" w:hAnsi="Times New Roman" w:eastAsia="黑体" w:cs="Times New Roman"/>
      <w:b/>
      <w:bCs/>
      <w:kern w:val="2"/>
      <w:sz w:val="28"/>
      <w:szCs w:val="28"/>
      <w:lang w:val="en-US" w:eastAsia="zh-CN" w:bidi="ar-SA"/>
    </w:rPr>
  </w:style>
  <w:style w:type="character" w:customStyle="1" w:styleId="201">
    <w:name w:val="正文 楷体 Char"/>
    <w:link w:val="202"/>
    <w:autoRedefine/>
    <w:qFormat/>
    <w:uiPriority w:val="0"/>
    <w:rPr>
      <w:rFonts w:ascii="楷体_GB2312" w:hAnsi="楷体_GB2312" w:eastAsia="楷体_GB2312" w:cs="宋体"/>
      <w:sz w:val="24"/>
      <w:szCs w:val="24"/>
    </w:rPr>
  </w:style>
  <w:style w:type="paragraph" w:customStyle="1" w:styleId="202">
    <w:name w:val="正文 楷体"/>
    <w:basedOn w:val="1"/>
    <w:link w:val="201"/>
    <w:autoRedefine/>
    <w:qFormat/>
    <w:uiPriority w:val="0"/>
    <w:pPr>
      <w:spacing w:line="500" w:lineRule="exact"/>
      <w:ind w:firstLine="200" w:firstLineChars="200"/>
    </w:pPr>
    <w:rPr>
      <w:rFonts w:ascii="楷体_GB2312" w:hAnsi="楷体_GB2312" w:eastAsia="楷体_GB2312"/>
      <w:kern w:val="0"/>
      <w:sz w:val="24"/>
      <w:szCs w:val="24"/>
    </w:rPr>
  </w:style>
  <w:style w:type="character" w:customStyle="1" w:styleId="203">
    <w:name w:val="样式 正文首行缩进 2 + (符号) 宋体 Char"/>
    <w:link w:val="204"/>
    <w:autoRedefine/>
    <w:qFormat/>
    <w:uiPriority w:val="0"/>
    <w:rPr>
      <w:rFonts w:ascii="宋体" w:hAnsi="Times New Roman" w:eastAsia="宋体" w:cs="Times New Roman"/>
      <w:sz w:val="24"/>
      <w:szCs w:val="24"/>
    </w:rPr>
  </w:style>
  <w:style w:type="paragraph" w:customStyle="1" w:styleId="204">
    <w:name w:val="样式 正文首行缩进 2 + (符号) 宋体"/>
    <w:basedOn w:val="78"/>
    <w:link w:val="203"/>
    <w:autoRedefine/>
    <w:qFormat/>
    <w:uiPriority w:val="0"/>
    <w:pPr>
      <w:spacing w:after="0" w:line="360" w:lineRule="auto"/>
      <w:ind w:left="0" w:leftChars="0" w:firstLine="200"/>
    </w:pPr>
    <w:rPr>
      <w:rFonts w:ascii="宋体"/>
      <w:sz w:val="24"/>
      <w:lang w:bidi="ar-SA"/>
    </w:rPr>
  </w:style>
  <w:style w:type="character" w:customStyle="1" w:styleId="205">
    <w:name w:val="he31"/>
    <w:autoRedefine/>
    <w:qFormat/>
    <w:uiPriority w:val="0"/>
    <w:rPr>
      <w:rFonts w:hint="default" w:ascii="ˎ̥" w:hAnsi="ˎ̥"/>
      <w:color w:val="000000"/>
      <w:sz w:val="18"/>
      <w:szCs w:val="18"/>
      <w:u w:val="none"/>
    </w:rPr>
  </w:style>
  <w:style w:type="character" w:customStyle="1" w:styleId="206">
    <w:name w:val="分目录1 Char"/>
    <w:link w:val="207"/>
    <w:autoRedefine/>
    <w:qFormat/>
    <w:uiPriority w:val="0"/>
    <w:rPr>
      <w:snapToGrid w:val="0"/>
      <w:sz w:val="28"/>
    </w:rPr>
  </w:style>
  <w:style w:type="paragraph" w:customStyle="1" w:styleId="207">
    <w:name w:val="分目录1"/>
    <w:basedOn w:val="1"/>
    <w:link w:val="206"/>
    <w:autoRedefine/>
    <w:qFormat/>
    <w:uiPriority w:val="0"/>
    <w:pPr>
      <w:tabs>
        <w:tab w:val="right" w:leader="dot" w:pos="8304"/>
      </w:tabs>
      <w:adjustRightInd w:val="0"/>
      <w:snapToGrid w:val="0"/>
      <w:spacing w:line="360" w:lineRule="auto"/>
    </w:pPr>
    <w:rPr>
      <w:snapToGrid w:val="0"/>
      <w:kern w:val="0"/>
      <w:sz w:val="28"/>
      <w:szCs w:val="20"/>
    </w:rPr>
  </w:style>
  <w:style w:type="character" w:customStyle="1" w:styleId="208">
    <w:name w:val="正文四号 Char"/>
    <w:link w:val="209"/>
    <w:autoRedefine/>
    <w:qFormat/>
    <w:uiPriority w:val="0"/>
    <w:rPr>
      <w:rFonts w:ascii="Times New Roman" w:hAnsi="Times New Roman" w:eastAsia="宋体" w:cs="Times New Roman"/>
      <w:sz w:val="24"/>
      <w:szCs w:val="24"/>
    </w:rPr>
  </w:style>
  <w:style w:type="paragraph" w:customStyle="1" w:styleId="209">
    <w:name w:val="正文四号"/>
    <w:basedOn w:val="1"/>
    <w:link w:val="208"/>
    <w:autoRedefine/>
    <w:qFormat/>
    <w:uiPriority w:val="0"/>
    <w:pPr>
      <w:spacing w:line="360" w:lineRule="auto"/>
      <w:ind w:firstLine="200" w:firstLineChars="200"/>
    </w:pPr>
    <w:rPr>
      <w:kern w:val="0"/>
      <w:sz w:val="24"/>
      <w:szCs w:val="24"/>
    </w:rPr>
  </w:style>
  <w:style w:type="character" w:customStyle="1" w:styleId="210">
    <w:name w:val="样式 (符号) 宋体 小四 行距: 固定值 26 磅 Char Char Char"/>
    <w:link w:val="211"/>
    <w:autoRedefine/>
    <w:qFormat/>
    <w:uiPriority w:val="0"/>
    <w:rPr>
      <w:rFonts w:ascii="Times New Roman" w:hAnsi="宋体" w:eastAsia="宋体" w:cs="宋体"/>
      <w:color w:val="000000"/>
      <w:sz w:val="28"/>
      <w:szCs w:val="28"/>
    </w:rPr>
  </w:style>
  <w:style w:type="paragraph" w:customStyle="1" w:styleId="211">
    <w:name w:val="样式 (符号) 宋体 小四 行距: 固定值 26 磅 Char Char"/>
    <w:basedOn w:val="1"/>
    <w:link w:val="210"/>
    <w:autoRedefine/>
    <w:qFormat/>
    <w:uiPriority w:val="0"/>
    <w:pPr>
      <w:spacing w:line="360" w:lineRule="auto"/>
      <w:ind w:firstLine="480" w:firstLineChars="200"/>
    </w:pPr>
    <w:rPr>
      <w:rFonts w:hAnsi="宋体"/>
      <w:color w:val="000000"/>
      <w:kern w:val="0"/>
      <w:sz w:val="28"/>
      <w:szCs w:val="28"/>
    </w:rPr>
  </w:style>
  <w:style w:type="character" w:customStyle="1" w:styleId="212">
    <w:name w:val="样式 仿宋_GB2312 小四2"/>
    <w:autoRedefine/>
    <w:semiHidden/>
    <w:qFormat/>
    <w:uiPriority w:val="0"/>
    <w:rPr>
      <w:rFonts w:ascii="Times New Roman" w:hAnsi="Times New Roman" w:eastAsia="仿宋_GB2312" w:cs="Courier New"/>
      <w:kern w:val="2"/>
      <w:sz w:val="24"/>
      <w:szCs w:val="24"/>
      <w:lang w:val="en-US" w:eastAsia="zh-CN" w:bidi="ar-SA"/>
    </w:rPr>
  </w:style>
  <w:style w:type="character" w:customStyle="1" w:styleId="213">
    <w:name w:val="表格后缀 Char"/>
    <w:link w:val="214"/>
    <w:autoRedefine/>
    <w:qFormat/>
    <w:uiPriority w:val="0"/>
  </w:style>
  <w:style w:type="paragraph" w:customStyle="1" w:styleId="214">
    <w:name w:val="表格后缀"/>
    <w:basedOn w:val="202"/>
    <w:link w:val="213"/>
    <w:autoRedefine/>
    <w:qFormat/>
    <w:uiPriority w:val="0"/>
    <w:pPr>
      <w:spacing w:line="240" w:lineRule="exact"/>
      <w:ind w:firstLine="480"/>
    </w:pPr>
  </w:style>
  <w:style w:type="character" w:customStyle="1" w:styleId="215">
    <w:name w:val="报告正文 Char"/>
    <w:link w:val="216"/>
    <w:autoRedefine/>
    <w:qFormat/>
    <w:uiPriority w:val="0"/>
    <w:rPr>
      <w:sz w:val="24"/>
    </w:rPr>
  </w:style>
  <w:style w:type="paragraph" w:customStyle="1" w:styleId="216">
    <w:name w:val="报告正文"/>
    <w:basedOn w:val="1"/>
    <w:link w:val="215"/>
    <w:autoRedefine/>
    <w:qFormat/>
    <w:uiPriority w:val="0"/>
    <w:pPr>
      <w:widowControl/>
      <w:suppressAutoHyphens/>
      <w:topLinePunct/>
      <w:adjustRightInd w:val="0"/>
      <w:snapToGrid w:val="0"/>
      <w:spacing w:line="360" w:lineRule="auto"/>
      <w:ind w:firstLine="200" w:firstLineChars="200"/>
    </w:pPr>
    <w:rPr>
      <w:kern w:val="0"/>
      <w:sz w:val="24"/>
      <w:szCs w:val="20"/>
    </w:rPr>
  </w:style>
  <w:style w:type="character" w:customStyle="1" w:styleId="217">
    <w:name w:val="标题四！！！！！！！！！！！！！！！！！！ Char"/>
    <w:link w:val="218"/>
    <w:autoRedefine/>
    <w:qFormat/>
    <w:uiPriority w:val="0"/>
    <w:rPr>
      <w:rFonts w:ascii="楷体_GB2312" w:hAnsi="宋体" w:eastAsia="楷体_GB2312" w:cs="宋体"/>
      <w:b/>
      <w:sz w:val="24"/>
      <w:szCs w:val="21"/>
    </w:rPr>
  </w:style>
  <w:style w:type="paragraph" w:customStyle="1" w:styleId="218">
    <w:name w:val="标题四！！！！！！！！！！！！！！！！！！"/>
    <w:basedOn w:val="1"/>
    <w:link w:val="217"/>
    <w:autoRedefine/>
    <w:qFormat/>
    <w:uiPriority w:val="0"/>
    <w:pPr>
      <w:spacing w:line="500" w:lineRule="exact"/>
    </w:pPr>
    <w:rPr>
      <w:rFonts w:ascii="楷体_GB2312" w:hAnsi="宋体" w:eastAsia="楷体_GB2312"/>
      <w:b/>
      <w:kern w:val="0"/>
      <w:sz w:val="24"/>
      <w:szCs w:val="21"/>
    </w:rPr>
  </w:style>
  <w:style w:type="character" w:customStyle="1" w:styleId="219">
    <w:name w:val="表、图名 Char1"/>
    <w:autoRedefine/>
    <w:qFormat/>
    <w:uiPriority w:val="0"/>
    <w:rPr>
      <w:rFonts w:ascii="黑体" w:hAnsi="宋体" w:eastAsia="黑体"/>
      <w:snapToGrid w:val="0"/>
      <w:color w:val="000000"/>
      <w:sz w:val="24"/>
      <w:szCs w:val="24"/>
      <w:lang w:val="en-US" w:eastAsia="zh-CN" w:bidi="ar-SA"/>
    </w:rPr>
  </w:style>
  <w:style w:type="character" w:customStyle="1" w:styleId="220">
    <w:name w:val="样式 样式1 + Char"/>
    <w:link w:val="221"/>
    <w:autoRedefine/>
    <w:qFormat/>
    <w:uiPriority w:val="0"/>
    <w:rPr>
      <w:rFonts w:ascii="Times New Roman" w:hAnsi="Times New Roman" w:eastAsia="宋体" w:cs="Times New Roman"/>
      <w:kern w:val="0"/>
      <w:sz w:val="24"/>
      <w:szCs w:val="24"/>
    </w:rPr>
  </w:style>
  <w:style w:type="paragraph" w:customStyle="1" w:styleId="221">
    <w:name w:val="样式 样式1 +"/>
    <w:basedOn w:val="222"/>
    <w:link w:val="220"/>
    <w:autoRedefine/>
    <w:qFormat/>
    <w:uiPriority w:val="0"/>
    <w:pPr>
      <w:widowControl w:val="0"/>
      <w:tabs>
        <w:tab w:val="left" w:pos="360"/>
      </w:tabs>
      <w:suppressAutoHyphens w:val="0"/>
      <w:spacing w:line="480" w:lineRule="exact"/>
      <w:ind w:right="0" w:firstLine="200" w:firstLineChars="200"/>
      <w:jc w:val="both"/>
      <w:outlineLvl w:val="9"/>
    </w:pPr>
    <w:rPr>
      <w:b w:val="0"/>
      <w:i w:val="0"/>
      <w:iCs w:val="0"/>
      <w:color w:val="auto"/>
      <w:kern w:val="0"/>
      <w:sz w:val="24"/>
      <w:szCs w:val="24"/>
      <w:lang w:bidi="ar-SA"/>
    </w:rPr>
  </w:style>
  <w:style w:type="paragraph" w:customStyle="1" w:styleId="222">
    <w:name w:val="样式1"/>
    <w:basedOn w:val="5"/>
    <w:next w:val="1"/>
    <w:link w:val="223"/>
    <w:autoRedefine/>
    <w:qFormat/>
    <w:uiPriority w:val="0"/>
    <w:pPr>
      <w:keepNext w:val="0"/>
      <w:keepLines w:val="0"/>
      <w:widowControl/>
      <w:tabs>
        <w:tab w:val="left" w:pos="360"/>
      </w:tabs>
      <w:suppressAutoHyphens/>
      <w:spacing w:before="0" w:after="0" w:line="400" w:lineRule="exact"/>
      <w:ind w:right="-68"/>
      <w:jc w:val="left"/>
    </w:pPr>
    <w:rPr>
      <w:rFonts w:ascii="Times New Roman" w:hAnsi="Times New Roman"/>
      <w:bCs w:val="0"/>
      <w:i/>
      <w:iCs/>
      <w:color w:val="4F81BD"/>
      <w:kern w:val="24"/>
      <w:sz w:val="22"/>
      <w:szCs w:val="20"/>
      <w:lang w:eastAsia="en-US" w:bidi="en-US"/>
    </w:rPr>
  </w:style>
  <w:style w:type="character" w:customStyle="1" w:styleId="223">
    <w:name w:val="样式1 Char"/>
    <w:link w:val="222"/>
    <w:autoRedefine/>
    <w:qFormat/>
    <w:uiPriority w:val="0"/>
    <w:rPr>
      <w:rFonts w:ascii="Times New Roman" w:hAnsi="Times New Roman" w:eastAsia="宋体" w:cs="Times New Roman"/>
      <w:b/>
      <w:i/>
      <w:iCs/>
      <w:color w:val="4F81BD"/>
      <w:kern w:val="24"/>
      <w:sz w:val="22"/>
      <w:szCs w:val="20"/>
      <w:lang w:eastAsia="en-US" w:bidi="en-US"/>
    </w:rPr>
  </w:style>
  <w:style w:type="character" w:customStyle="1" w:styleId="224">
    <w:name w:val="标题3 Char"/>
    <w:link w:val="225"/>
    <w:autoRedefine/>
    <w:qFormat/>
    <w:uiPriority w:val="0"/>
    <w:rPr>
      <w:rFonts w:ascii="Times New Roman" w:hAnsi="Times New Roman" w:eastAsia="黑体" w:cs="Times New Roman"/>
      <w:b/>
      <w:bCs/>
      <w:sz w:val="28"/>
      <w:szCs w:val="28"/>
    </w:rPr>
  </w:style>
  <w:style w:type="paragraph" w:customStyle="1" w:styleId="225">
    <w:name w:val="标题3"/>
    <w:basedOn w:val="4"/>
    <w:link w:val="224"/>
    <w:autoRedefine/>
    <w:qFormat/>
    <w:uiPriority w:val="0"/>
    <w:pPr>
      <w:spacing w:before="100" w:beforeAutospacing="1" w:after="100" w:afterAutospacing="1" w:line="240" w:lineRule="auto"/>
      <w:ind w:left="432" w:right="240" w:rightChars="100"/>
      <w:jc w:val="left"/>
    </w:pPr>
    <w:rPr>
      <w:rFonts w:eastAsia="黑体"/>
      <w:sz w:val="28"/>
      <w:szCs w:val="28"/>
    </w:rPr>
  </w:style>
  <w:style w:type="character" w:customStyle="1" w:styleId="226">
    <w:name w:val="样式 正文001 + 首行缩进:  2 字符 Char"/>
    <w:link w:val="227"/>
    <w:autoRedefine/>
    <w:qFormat/>
    <w:uiPriority w:val="0"/>
    <w:rPr>
      <w:rFonts w:ascii="Times New Roman" w:hAnsi="Times New Roman" w:eastAsia="宋体" w:cs="Times New Roman"/>
      <w:sz w:val="24"/>
      <w:szCs w:val="20"/>
    </w:rPr>
  </w:style>
  <w:style w:type="paragraph" w:customStyle="1" w:styleId="227">
    <w:name w:val="样式 正文001 + 首行缩进:  2 字符"/>
    <w:basedOn w:val="1"/>
    <w:link w:val="226"/>
    <w:autoRedefine/>
    <w:qFormat/>
    <w:uiPriority w:val="0"/>
    <w:pPr>
      <w:spacing w:before="60" w:line="460" w:lineRule="atLeast"/>
      <w:ind w:firstLine="480" w:firstLineChars="200"/>
    </w:pPr>
    <w:rPr>
      <w:kern w:val="0"/>
      <w:sz w:val="24"/>
      <w:szCs w:val="20"/>
    </w:rPr>
  </w:style>
  <w:style w:type="character" w:customStyle="1" w:styleId="228">
    <w:name w:val="样式 标题 2_Heading 2HEAD_2HEAD_21HEAD_22HEAD_211HEAD_23HEAD_... Char"/>
    <w:link w:val="229"/>
    <w:autoRedefine/>
    <w:qFormat/>
    <w:uiPriority w:val="0"/>
    <w:rPr>
      <w:rFonts w:ascii="Times New Roman" w:hAnsi="宋体" w:eastAsia="宋体" w:cs="Times New Roman"/>
      <w:b/>
      <w:snapToGrid w:val="0"/>
      <w:color w:val="000000"/>
      <w:kern w:val="0"/>
      <w:sz w:val="24"/>
      <w:szCs w:val="24"/>
    </w:rPr>
  </w:style>
  <w:style w:type="paragraph" w:customStyle="1" w:styleId="229">
    <w:name w:val="样式 标题 2_Heading 2HEAD_2HEAD_21HEAD_22HEAD_211HEAD_23HEAD_..."/>
    <w:basedOn w:val="3"/>
    <w:link w:val="228"/>
    <w:autoRedefine/>
    <w:qFormat/>
    <w:uiPriority w:val="0"/>
    <w:pPr>
      <w:keepNext w:val="0"/>
      <w:keepLines w:val="0"/>
      <w:widowControl/>
      <w:adjustRightInd w:val="0"/>
      <w:snapToGrid w:val="0"/>
      <w:spacing w:before="0" w:after="0" w:line="460" w:lineRule="exact"/>
      <w:ind w:firstLine="445" w:firstLineChars="196"/>
      <w:jc w:val="left"/>
    </w:pPr>
    <w:rPr>
      <w:rFonts w:hAnsi="宋体"/>
      <w:snapToGrid w:val="0"/>
      <w:color w:val="000000"/>
      <w:sz w:val="24"/>
      <w:szCs w:val="24"/>
    </w:rPr>
  </w:style>
  <w:style w:type="character" w:customStyle="1" w:styleId="230">
    <w:name w:val="缩进 Char Char"/>
    <w:link w:val="231"/>
    <w:autoRedefine/>
    <w:qFormat/>
    <w:uiPriority w:val="0"/>
    <w:rPr>
      <w:rFonts w:eastAsia="宋体"/>
      <w:sz w:val="24"/>
      <w:szCs w:val="24"/>
    </w:rPr>
  </w:style>
  <w:style w:type="paragraph" w:customStyle="1" w:styleId="231">
    <w:name w:val="缩进"/>
    <w:basedOn w:val="1"/>
    <w:link w:val="230"/>
    <w:autoRedefine/>
    <w:qFormat/>
    <w:uiPriority w:val="0"/>
    <w:pPr>
      <w:spacing w:line="360" w:lineRule="auto"/>
      <w:ind w:firstLine="200" w:firstLineChars="200"/>
    </w:pPr>
    <w:rPr>
      <w:kern w:val="0"/>
      <w:sz w:val="24"/>
      <w:szCs w:val="24"/>
    </w:rPr>
  </w:style>
  <w:style w:type="character" w:customStyle="1" w:styleId="232">
    <w:name w:val="样式 样式 标题 2 + 楷体_GB2312 + 字距调整三号 Char Char"/>
    <w:autoRedefine/>
    <w:qFormat/>
    <w:uiPriority w:val="0"/>
    <w:rPr>
      <w:rFonts w:ascii="楷体_GB2312" w:hAnsi="楷体_GB2312" w:eastAsia="楷体_GB2312"/>
      <w:b/>
      <w:bCs/>
      <w:kern w:val="32"/>
      <w:sz w:val="30"/>
      <w:szCs w:val="30"/>
    </w:rPr>
  </w:style>
  <w:style w:type="character" w:customStyle="1" w:styleId="233">
    <w:name w:val="东明_小节2 Char"/>
    <w:autoRedefine/>
    <w:qFormat/>
    <w:uiPriority w:val="0"/>
    <w:rPr>
      <w:rFonts w:ascii="Arial" w:hAnsi="Arial" w:eastAsia="黑体"/>
      <w:b/>
      <w:bCs/>
      <w:kern w:val="2"/>
      <w:sz w:val="28"/>
      <w:szCs w:val="28"/>
      <w:lang w:val="en-US" w:eastAsia="zh-CN" w:bidi="ar-SA"/>
    </w:rPr>
  </w:style>
  <w:style w:type="character" w:customStyle="1" w:styleId="234">
    <w:name w:val="xb"/>
    <w:autoRedefine/>
    <w:qFormat/>
    <w:uiPriority w:val="0"/>
  </w:style>
  <w:style w:type="character" w:customStyle="1" w:styleId="235">
    <w:name w:val="aspmaker1"/>
    <w:autoRedefine/>
    <w:qFormat/>
    <w:uiPriority w:val="0"/>
    <w:rPr>
      <w:rFonts w:hint="default" w:ascii="Verdana" w:hAnsi="Verdana"/>
      <w:sz w:val="20"/>
      <w:szCs w:val="20"/>
    </w:rPr>
  </w:style>
  <w:style w:type="character" w:customStyle="1" w:styleId="236">
    <w:name w:val="正文内容 Char"/>
    <w:link w:val="237"/>
    <w:autoRedefine/>
    <w:qFormat/>
    <w:uiPriority w:val="0"/>
    <w:rPr>
      <w:rFonts w:ascii="宋体" w:hAnsi="宋体" w:eastAsia="宋体" w:cs="Times New Roman"/>
      <w:color w:val="1C1C1C"/>
      <w:spacing w:val="8"/>
      <w:sz w:val="24"/>
      <w:szCs w:val="20"/>
    </w:rPr>
  </w:style>
  <w:style w:type="paragraph" w:customStyle="1" w:styleId="237">
    <w:name w:val="正文内容"/>
    <w:basedOn w:val="68"/>
    <w:link w:val="236"/>
    <w:autoRedefine/>
    <w:qFormat/>
    <w:uiPriority w:val="0"/>
    <w:pPr>
      <w:widowControl w:val="0"/>
      <w:spacing w:before="60" w:after="0" w:line="360" w:lineRule="auto"/>
      <w:ind w:firstLine="200" w:firstLineChars="200"/>
      <w:jc w:val="both"/>
    </w:pPr>
    <w:rPr>
      <w:rFonts w:ascii="宋体" w:hAnsi="宋体"/>
      <w:color w:val="1C1C1C"/>
      <w:spacing w:val="8"/>
      <w:sz w:val="24"/>
      <w:lang w:bidi="ar-SA"/>
    </w:rPr>
  </w:style>
  <w:style w:type="character" w:customStyle="1" w:styleId="238">
    <w:name w:val="表、图名 Char"/>
    <w:link w:val="239"/>
    <w:autoRedefine/>
    <w:qFormat/>
    <w:uiPriority w:val="0"/>
    <w:rPr>
      <w:rFonts w:ascii="黑体" w:hAnsi="宋体" w:eastAsia="黑体" w:cs="Times New Roman"/>
      <w:b/>
      <w:szCs w:val="21"/>
    </w:rPr>
  </w:style>
  <w:style w:type="paragraph" w:customStyle="1" w:styleId="239">
    <w:name w:val="表、图名"/>
    <w:basedOn w:val="1"/>
    <w:link w:val="238"/>
    <w:autoRedefine/>
    <w:qFormat/>
    <w:uiPriority w:val="0"/>
    <w:pPr>
      <w:adjustRightInd w:val="0"/>
      <w:snapToGrid w:val="0"/>
      <w:spacing w:line="360" w:lineRule="auto"/>
    </w:pPr>
    <w:rPr>
      <w:rFonts w:ascii="黑体" w:hAnsi="宋体" w:eastAsia="黑体"/>
      <w:b/>
      <w:kern w:val="0"/>
      <w:sz w:val="20"/>
      <w:szCs w:val="21"/>
    </w:rPr>
  </w:style>
  <w:style w:type="character" w:customStyle="1" w:styleId="240">
    <w:name w:val="_正文格式 Char"/>
    <w:autoRedefine/>
    <w:qFormat/>
    <w:uiPriority w:val="0"/>
    <w:rPr>
      <w:kern w:val="2"/>
      <w:sz w:val="24"/>
      <w:szCs w:val="24"/>
    </w:rPr>
  </w:style>
  <w:style w:type="character" w:customStyle="1" w:styleId="241">
    <w:name w:val="lv3"/>
    <w:autoRedefine/>
    <w:qFormat/>
    <w:uiPriority w:val="0"/>
    <w:rPr>
      <w:rFonts w:hint="default"/>
      <w:color w:val="2E7713"/>
      <w:spacing w:val="375"/>
      <w:sz w:val="20"/>
      <w:szCs w:val="20"/>
      <w:u w:val="none"/>
    </w:rPr>
  </w:style>
  <w:style w:type="character" w:customStyle="1" w:styleId="242">
    <w:name w:val="样式 标题 3H3 + 黑色1 Char"/>
    <w:link w:val="243"/>
    <w:autoRedefine/>
    <w:qFormat/>
    <w:uiPriority w:val="0"/>
    <w:rPr>
      <w:rFonts w:ascii="Times New Roman" w:hAnsi="Times New Roman" w:eastAsia="宋体" w:cs="Times New Roman"/>
      <w:b/>
      <w:snapToGrid w:val="0"/>
      <w:color w:val="000000"/>
      <w:kern w:val="0"/>
      <w:sz w:val="24"/>
      <w:szCs w:val="24"/>
    </w:rPr>
  </w:style>
  <w:style w:type="paragraph" w:customStyle="1" w:styleId="243">
    <w:name w:val="样式 标题 3H3 + 黑色1"/>
    <w:basedOn w:val="4"/>
    <w:link w:val="242"/>
    <w:autoRedefine/>
    <w:qFormat/>
    <w:uiPriority w:val="0"/>
    <w:pPr>
      <w:keepNext w:val="0"/>
      <w:keepLines w:val="0"/>
      <w:adjustRightInd w:val="0"/>
      <w:snapToGrid w:val="0"/>
      <w:spacing w:before="0" w:after="0" w:line="460" w:lineRule="exact"/>
      <w:ind w:left="720" w:hanging="720"/>
      <w:jc w:val="left"/>
    </w:pPr>
    <w:rPr>
      <w:bCs w:val="0"/>
      <w:snapToGrid w:val="0"/>
      <w:color w:val="000000"/>
      <w:sz w:val="24"/>
      <w:szCs w:val="24"/>
    </w:rPr>
  </w:style>
  <w:style w:type="character" w:customStyle="1" w:styleId="244">
    <w:name w:val="bt21"/>
    <w:autoRedefine/>
    <w:qFormat/>
    <w:uiPriority w:val="0"/>
    <w:rPr>
      <w:rFonts w:hint="eastAsia" w:ascii="黑体" w:eastAsia="黑体"/>
      <w:spacing w:val="400"/>
      <w:sz w:val="24"/>
      <w:szCs w:val="24"/>
    </w:rPr>
  </w:style>
  <w:style w:type="character" w:customStyle="1" w:styleId="245">
    <w:name w:val="页眉00 Char Char"/>
    <w:autoRedefine/>
    <w:qFormat/>
    <w:locked/>
    <w:uiPriority w:val="0"/>
    <w:rPr>
      <w:rFonts w:eastAsia="宋体"/>
      <w:kern w:val="2"/>
      <w:sz w:val="18"/>
      <w:szCs w:val="18"/>
      <w:lang w:val="en-US" w:eastAsia="zh-CN" w:bidi="ar-SA"/>
    </w:rPr>
  </w:style>
  <w:style w:type="character" w:customStyle="1" w:styleId="246">
    <w:name w:val="neiyetest1"/>
    <w:autoRedefine/>
    <w:qFormat/>
    <w:uiPriority w:val="0"/>
    <w:rPr>
      <w:rFonts w:hint="default" w:ascii="ˎ̥" w:hAnsi="ˎ̥"/>
      <w:color w:val="000000"/>
      <w:sz w:val="20"/>
      <w:szCs w:val="20"/>
    </w:rPr>
  </w:style>
  <w:style w:type="character" w:customStyle="1" w:styleId="247">
    <w:name w:val="表号 Char"/>
    <w:link w:val="248"/>
    <w:autoRedefine/>
    <w:qFormat/>
    <w:uiPriority w:val="0"/>
    <w:rPr>
      <w:rFonts w:ascii="Times New Roman" w:hAnsi="Times New Roman" w:eastAsia="宋体" w:cs="Times New Roman"/>
      <w:snapToGrid w:val="0"/>
      <w:color w:val="000000"/>
      <w:kern w:val="0"/>
      <w:sz w:val="24"/>
      <w:szCs w:val="24"/>
    </w:rPr>
  </w:style>
  <w:style w:type="paragraph" w:customStyle="1" w:styleId="248">
    <w:name w:val="表号"/>
    <w:basedOn w:val="1"/>
    <w:link w:val="247"/>
    <w:autoRedefine/>
    <w:qFormat/>
    <w:uiPriority w:val="0"/>
    <w:pPr>
      <w:adjustRightInd w:val="0"/>
      <w:snapToGrid w:val="0"/>
      <w:ind w:firstLine="480" w:firstLineChars="200"/>
    </w:pPr>
    <w:rPr>
      <w:snapToGrid w:val="0"/>
      <w:color w:val="000000"/>
      <w:kern w:val="0"/>
      <w:sz w:val="24"/>
      <w:szCs w:val="24"/>
    </w:rPr>
  </w:style>
  <w:style w:type="character" w:customStyle="1" w:styleId="249">
    <w:name w:val="正文文本缩进 2 Char Char Char"/>
    <w:autoRedefine/>
    <w:semiHidden/>
    <w:qFormat/>
    <w:uiPriority w:val="0"/>
    <w:rPr>
      <w:rFonts w:ascii="Arial" w:hAnsi="Arial" w:eastAsia="宋体"/>
      <w:kern w:val="2"/>
      <w:sz w:val="24"/>
      <w:szCs w:val="24"/>
      <w:lang w:val="en-US" w:eastAsia="zh-CN" w:bidi="ar-SA"/>
    </w:rPr>
  </w:style>
  <w:style w:type="character" w:customStyle="1" w:styleId="250">
    <w:name w:val="文本框五号 Char"/>
    <w:link w:val="251"/>
    <w:autoRedefine/>
    <w:qFormat/>
    <w:uiPriority w:val="0"/>
    <w:rPr>
      <w:rFonts w:ascii="Times New Roman" w:hAnsi="Times New Roman" w:eastAsia="仿宋_GB2312" w:cs="Times New Roman"/>
      <w:szCs w:val="21"/>
    </w:rPr>
  </w:style>
  <w:style w:type="paragraph" w:customStyle="1" w:styleId="251">
    <w:name w:val="文本框五号"/>
    <w:basedOn w:val="1"/>
    <w:link w:val="250"/>
    <w:autoRedefine/>
    <w:qFormat/>
    <w:uiPriority w:val="0"/>
    <w:pPr>
      <w:jc w:val="center"/>
    </w:pPr>
    <w:rPr>
      <w:rFonts w:eastAsia="仿宋_GB2312"/>
      <w:kern w:val="0"/>
      <w:sz w:val="20"/>
      <w:szCs w:val="21"/>
    </w:rPr>
  </w:style>
  <w:style w:type="character" w:customStyle="1" w:styleId="252">
    <w:name w:val="明显引用 Char"/>
    <w:link w:val="253"/>
    <w:autoRedefine/>
    <w:qFormat/>
    <w:uiPriority w:val="0"/>
    <w:rPr>
      <w:rFonts w:ascii="Calibri" w:hAnsi="Calibri" w:eastAsia="宋体" w:cs="Times New Roman"/>
      <w:b/>
      <w:bCs/>
      <w:i/>
      <w:iCs/>
      <w:color w:val="4F81BD"/>
      <w:kern w:val="0"/>
      <w:sz w:val="22"/>
      <w:lang w:eastAsia="en-US" w:bidi="en-US"/>
    </w:rPr>
  </w:style>
  <w:style w:type="paragraph" w:customStyle="1" w:styleId="253">
    <w:name w:val="明显引用1"/>
    <w:basedOn w:val="1"/>
    <w:next w:val="1"/>
    <w:link w:val="252"/>
    <w:autoRedefine/>
    <w:qFormat/>
    <w:uiPriority w:val="0"/>
    <w:pPr>
      <w:widowControl/>
      <w:pBdr>
        <w:bottom w:val="single" w:color="4F81BD" w:sz="4" w:space="4"/>
      </w:pBdr>
      <w:spacing w:before="200" w:after="280" w:line="276" w:lineRule="auto"/>
      <w:ind w:left="936" w:right="936"/>
      <w:jc w:val="left"/>
    </w:pPr>
    <w:rPr>
      <w:rFonts w:ascii="Calibri" w:hAnsi="Calibri"/>
      <w:b/>
      <w:bCs/>
      <w:i/>
      <w:iCs/>
      <w:color w:val="4F81BD"/>
      <w:kern w:val="0"/>
      <w:sz w:val="22"/>
      <w:szCs w:val="20"/>
      <w:lang w:eastAsia="en-US" w:bidi="en-US"/>
    </w:rPr>
  </w:style>
  <w:style w:type="character" w:customStyle="1" w:styleId="254">
    <w:name w:val="a"/>
    <w:autoRedefine/>
    <w:qFormat/>
    <w:uiPriority w:val="0"/>
  </w:style>
  <w:style w:type="character" w:customStyle="1" w:styleId="255">
    <w:name w:val="line41"/>
    <w:autoRedefine/>
    <w:qFormat/>
    <w:uiPriority w:val="0"/>
    <w:rPr>
      <w:spacing w:val="300"/>
    </w:rPr>
  </w:style>
  <w:style w:type="character" w:customStyle="1" w:styleId="256">
    <w:name w:val="表格文字 Char"/>
    <w:link w:val="257"/>
    <w:autoRedefine/>
    <w:qFormat/>
    <w:uiPriority w:val="0"/>
    <w:rPr>
      <w:rFonts w:ascii="Times New Roman" w:hAnsi="Times New Roman" w:eastAsia="宋体" w:cs="Times New Roman"/>
      <w:snapToGrid w:val="0"/>
      <w:color w:val="000000"/>
      <w:kern w:val="0"/>
      <w:sz w:val="18"/>
      <w:szCs w:val="18"/>
    </w:rPr>
  </w:style>
  <w:style w:type="paragraph" w:customStyle="1" w:styleId="257">
    <w:name w:val="表格文字"/>
    <w:basedOn w:val="29"/>
    <w:next w:val="1"/>
    <w:link w:val="256"/>
    <w:autoRedefine/>
    <w:qFormat/>
    <w:uiPriority w:val="0"/>
    <w:pPr>
      <w:widowControl w:val="0"/>
      <w:tabs>
        <w:tab w:val="left" w:pos="1119"/>
      </w:tabs>
      <w:spacing w:after="0"/>
      <w:ind w:left="-90" w:leftChars="-43"/>
    </w:pPr>
    <w:rPr>
      <w:snapToGrid w:val="0"/>
      <w:color w:val="000000"/>
      <w:sz w:val="18"/>
      <w:szCs w:val="18"/>
      <w:lang w:bidi="ar-SA"/>
    </w:rPr>
  </w:style>
  <w:style w:type="character" w:customStyle="1" w:styleId="258">
    <w:name w:val="样式 样式1 Char2 + 宋体 五号 黑色"/>
    <w:autoRedefine/>
    <w:qFormat/>
    <w:uiPriority w:val="0"/>
    <w:rPr>
      <w:rFonts w:hint="eastAsia" w:ascii="宋体" w:hAnsi="宋体" w:eastAsia="宋体"/>
      <w:color w:val="000000"/>
      <w:kern w:val="2"/>
      <w:sz w:val="24"/>
      <w:szCs w:val="24"/>
      <w:lang w:val="en-US" w:eastAsia="zh-CN" w:bidi="ar-SA"/>
    </w:rPr>
  </w:style>
  <w:style w:type="character" w:customStyle="1" w:styleId="259">
    <w:name w:val="表头 Char1"/>
    <w:autoRedefine/>
    <w:qFormat/>
    <w:uiPriority w:val="0"/>
    <w:rPr>
      <w:rFonts w:eastAsia="宋体"/>
      <w:b/>
      <w:kern w:val="2"/>
      <w:sz w:val="24"/>
      <w:szCs w:val="24"/>
      <w:lang w:val="en-US" w:eastAsia="zh-CN" w:bidi="ar-SA"/>
    </w:rPr>
  </w:style>
  <w:style w:type="character" w:customStyle="1" w:styleId="260">
    <w:name w:val="样式 小四"/>
    <w:autoRedefine/>
    <w:qFormat/>
    <w:uiPriority w:val="0"/>
    <w:rPr>
      <w:color w:val="000080"/>
      <w:sz w:val="24"/>
    </w:rPr>
  </w:style>
  <w:style w:type="character" w:customStyle="1" w:styleId="261">
    <w:name w:val="flzx_p1"/>
    <w:autoRedefine/>
    <w:qFormat/>
    <w:uiPriority w:val="0"/>
    <w:rPr>
      <w:rFonts w:hint="default" w:ascii="Arial" w:hAnsi="Arial" w:cs="Arial"/>
      <w:color w:val="003483"/>
      <w:sz w:val="30"/>
      <w:szCs w:val="30"/>
      <w:u w:val="none"/>
    </w:rPr>
  </w:style>
  <w:style w:type="character" w:customStyle="1" w:styleId="262">
    <w:name w:val="nfont6"/>
    <w:autoRedefine/>
    <w:qFormat/>
    <w:uiPriority w:val="0"/>
    <w:rPr>
      <w:rFonts w:hint="default"/>
      <w:color w:val="FF0000"/>
      <w:spacing w:val="335"/>
      <w:sz w:val="27"/>
      <w:szCs w:val="27"/>
    </w:rPr>
  </w:style>
  <w:style w:type="character" w:customStyle="1" w:styleId="263">
    <w:name w:val="正文！！！！！ Char"/>
    <w:link w:val="264"/>
    <w:autoRedefine/>
    <w:qFormat/>
    <w:uiPriority w:val="0"/>
    <w:rPr>
      <w:rFonts w:ascii="宋体" w:hAnsi="宋体" w:eastAsia="宋体" w:cs="宋体"/>
      <w:snapToGrid w:val="0"/>
      <w:kern w:val="0"/>
      <w:sz w:val="24"/>
      <w:szCs w:val="24"/>
    </w:rPr>
  </w:style>
  <w:style w:type="paragraph" w:customStyle="1" w:styleId="264">
    <w:name w:val="正文！！！！！"/>
    <w:basedOn w:val="202"/>
    <w:link w:val="263"/>
    <w:autoRedefine/>
    <w:qFormat/>
    <w:uiPriority w:val="0"/>
    <w:pPr>
      <w:adjustRightInd w:val="0"/>
      <w:snapToGrid w:val="0"/>
      <w:spacing w:line="360" w:lineRule="auto"/>
    </w:pPr>
    <w:rPr>
      <w:rFonts w:ascii="宋体" w:hAnsi="宋体" w:eastAsia="宋体"/>
      <w:snapToGrid w:val="0"/>
    </w:rPr>
  </w:style>
  <w:style w:type="character" w:customStyle="1" w:styleId="265">
    <w:name w:val="正文格式 Char Char"/>
    <w:autoRedefine/>
    <w:qFormat/>
    <w:uiPriority w:val="0"/>
    <w:rPr>
      <w:rFonts w:ascii="宋体" w:hAnsi="Times New Roman"/>
      <w:kern w:val="2"/>
      <w:sz w:val="24"/>
      <w:szCs w:val="24"/>
    </w:rPr>
  </w:style>
  <w:style w:type="character" w:customStyle="1" w:styleId="266">
    <w:name w:val="样式 正文首行缩进 2 + (符号) 宋体 + (符号) 宋体 Char Char"/>
    <w:link w:val="267"/>
    <w:autoRedefine/>
    <w:qFormat/>
    <w:uiPriority w:val="0"/>
  </w:style>
  <w:style w:type="paragraph" w:customStyle="1" w:styleId="267">
    <w:name w:val="样式 正文首行缩进 2 + (符号) 宋体 + (符号) 宋体"/>
    <w:basedOn w:val="204"/>
    <w:link w:val="266"/>
    <w:autoRedefine/>
    <w:qFormat/>
    <w:uiPriority w:val="0"/>
  </w:style>
  <w:style w:type="character" w:customStyle="1" w:styleId="268">
    <w:name w:val="表头 Char Char"/>
    <w:autoRedefine/>
    <w:qFormat/>
    <w:uiPriority w:val="0"/>
    <w:rPr>
      <w:rFonts w:eastAsia="黑体"/>
      <w:kern w:val="2"/>
      <w:sz w:val="21"/>
      <w:szCs w:val="24"/>
      <w:lang w:val="en-US" w:eastAsia="zh-CN" w:bidi="ar-SA"/>
    </w:rPr>
  </w:style>
  <w:style w:type="character" w:customStyle="1" w:styleId="269">
    <w:name w:val="样式 楷体 小四"/>
    <w:autoRedefine/>
    <w:qFormat/>
    <w:uiPriority w:val="0"/>
    <w:rPr>
      <w:rFonts w:ascii="Times New Roman" w:hAnsi="Times New Roman" w:eastAsia="宋体"/>
      <w:sz w:val="24"/>
      <w:szCs w:val="24"/>
    </w:rPr>
  </w:style>
  <w:style w:type="character" w:customStyle="1" w:styleId="270">
    <w:name w:val="正文(首行缩进) Char"/>
    <w:link w:val="271"/>
    <w:autoRedefine/>
    <w:qFormat/>
    <w:uiPriority w:val="0"/>
    <w:rPr>
      <w:rFonts w:ascii="宋体" w:hAnsi="宋体" w:eastAsia="宋体"/>
      <w:sz w:val="24"/>
      <w:szCs w:val="24"/>
    </w:rPr>
  </w:style>
  <w:style w:type="paragraph" w:customStyle="1" w:styleId="271">
    <w:name w:val="正文(首行缩进)"/>
    <w:basedOn w:val="1"/>
    <w:next w:val="1"/>
    <w:link w:val="270"/>
    <w:autoRedefine/>
    <w:qFormat/>
    <w:uiPriority w:val="0"/>
    <w:pPr>
      <w:spacing w:line="360" w:lineRule="auto"/>
      <w:ind w:firstLine="540" w:firstLineChars="225"/>
    </w:pPr>
    <w:rPr>
      <w:rFonts w:ascii="宋体" w:hAnsi="宋体"/>
      <w:kern w:val="0"/>
      <w:sz w:val="24"/>
      <w:szCs w:val="24"/>
    </w:rPr>
  </w:style>
  <w:style w:type="character" w:customStyle="1" w:styleId="272">
    <w:name w:val="Char Char6"/>
    <w:autoRedefine/>
    <w:qFormat/>
    <w:uiPriority w:val="0"/>
    <w:rPr>
      <w:rFonts w:eastAsia="宋体"/>
      <w:b/>
      <w:bCs/>
      <w:kern w:val="2"/>
      <w:sz w:val="28"/>
      <w:szCs w:val="28"/>
      <w:lang w:val="en-US" w:eastAsia="zh-CN" w:bidi="ar-SA"/>
    </w:rPr>
  </w:style>
  <w:style w:type="character" w:customStyle="1" w:styleId="273">
    <w:name w:val="Normal Char"/>
    <w:link w:val="274"/>
    <w:autoRedefine/>
    <w:qFormat/>
    <w:uiPriority w:val="0"/>
    <w:rPr>
      <w:rFonts w:ascii="宋体"/>
      <w:sz w:val="24"/>
      <w:szCs w:val="22"/>
      <w:lang w:val="en-US" w:eastAsia="zh-CN" w:bidi="ar-SA"/>
    </w:rPr>
  </w:style>
  <w:style w:type="paragraph" w:customStyle="1" w:styleId="274">
    <w:name w:val="正文2"/>
    <w:link w:val="273"/>
    <w:autoRedefine/>
    <w:qFormat/>
    <w:uiPriority w:val="0"/>
    <w:pPr>
      <w:widowControl w:val="0"/>
      <w:adjustRightInd w:val="0"/>
      <w:spacing w:line="315" w:lineRule="atLeast"/>
      <w:textAlignment w:val="baseline"/>
    </w:pPr>
    <w:rPr>
      <w:rFonts w:ascii="宋体" w:hAnsi="Times New Roman" w:eastAsia="宋体" w:cs="Times New Roman"/>
      <w:sz w:val="24"/>
      <w:szCs w:val="22"/>
      <w:lang w:val="en-US" w:eastAsia="zh-CN" w:bidi="ar-SA"/>
    </w:rPr>
  </w:style>
  <w:style w:type="character" w:customStyle="1" w:styleId="275">
    <w:name w:val="text"/>
    <w:autoRedefine/>
    <w:qFormat/>
    <w:uiPriority w:val="0"/>
  </w:style>
  <w:style w:type="character" w:customStyle="1" w:styleId="276">
    <w:name w:val="样式 标题 2 + 楷体_GB2312 Char Char"/>
    <w:autoRedefine/>
    <w:qFormat/>
    <w:uiPriority w:val="0"/>
    <w:rPr>
      <w:rFonts w:ascii="楷体_GB2312" w:hAnsi="楷体_GB2312" w:eastAsia="楷体_GB2312"/>
      <w:b/>
      <w:bCs/>
      <w:kern w:val="2"/>
      <w:sz w:val="30"/>
      <w:szCs w:val="32"/>
    </w:rPr>
  </w:style>
  <w:style w:type="character" w:customStyle="1" w:styleId="277">
    <w:name w:val="表、图名 Char Char"/>
    <w:autoRedefine/>
    <w:qFormat/>
    <w:uiPriority w:val="0"/>
    <w:rPr>
      <w:rFonts w:ascii="黑体" w:hAnsi="宋体" w:eastAsia="黑体"/>
      <w:b/>
      <w:kern w:val="2"/>
      <w:sz w:val="21"/>
      <w:szCs w:val="21"/>
      <w:lang w:val="en-US" w:eastAsia="zh-CN"/>
    </w:rPr>
  </w:style>
  <w:style w:type="character" w:customStyle="1" w:styleId="278">
    <w:name w:val="页眉 Char1"/>
    <w:autoRedefine/>
    <w:qFormat/>
    <w:uiPriority w:val="0"/>
    <w:rPr>
      <w:rFonts w:ascii="楷体_GB2312" w:hAnsi="楷体_GB2312" w:eastAsia="楷体_GB2312" w:cs="楷体_GB2312"/>
      <w:kern w:val="2"/>
      <w:sz w:val="18"/>
      <w:szCs w:val="18"/>
    </w:rPr>
  </w:style>
  <w:style w:type="character" w:customStyle="1" w:styleId="279">
    <w:name w:val="文本框小四 Char Char"/>
    <w:link w:val="280"/>
    <w:autoRedefine/>
    <w:qFormat/>
    <w:uiPriority w:val="0"/>
    <w:rPr>
      <w:rFonts w:ascii="Times New Roman" w:hAnsi="Times New Roman" w:eastAsia="仿宋_GB2312" w:cs="Times New Roman"/>
      <w:sz w:val="24"/>
      <w:szCs w:val="24"/>
    </w:rPr>
  </w:style>
  <w:style w:type="paragraph" w:customStyle="1" w:styleId="280">
    <w:name w:val="文本框小四"/>
    <w:basedOn w:val="1"/>
    <w:link w:val="279"/>
    <w:autoRedefine/>
    <w:qFormat/>
    <w:uiPriority w:val="0"/>
    <w:pPr>
      <w:spacing w:line="360" w:lineRule="auto"/>
      <w:jc w:val="center"/>
    </w:pPr>
    <w:rPr>
      <w:rFonts w:eastAsia="仿宋_GB2312"/>
      <w:kern w:val="0"/>
      <w:sz w:val="24"/>
      <w:szCs w:val="24"/>
    </w:rPr>
  </w:style>
  <w:style w:type="character" w:customStyle="1" w:styleId="281">
    <w:name w:val="apple-style-span"/>
    <w:autoRedefine/>
    <w:qFormat/>
    <w:uiPriority w:val="99"/>
  </w:style>
  <w:style w:type="character" w:customStyle="1" w:styleId="282">
    <w:name w:val="Char Char2"/>
    <w:autoRedefine/>
    <w:qFormat/>
    <w:uiPriority w:val="0"/>
    <w:rPr>
      <w:rFonts w:eastAsia="宋体"/>
      <w:kern w:val="2"/>
      <w:sz w:val="18"/>
      <w:szCs w:val="18"/>
      <w:lang w:val="en-US" w:eastAsia="zh-CN" w:bidi="ar-SA"/>
    </w:rPr>
  </w:style>
  <w:style w:type="character" w:customStyle="1" w:styleId="283">
    <w:name w:val="font14px"/>
    <w:autoRedefine/>
    <w:qFormat/>
    <w:uiPriority w:val="0"/>
  </w:style>
  <w:style w:type="character" w:customStyle="1" w:styleId="284">
    <w:name w:val="正文啊 Char"/>
    <w:link w:val="285"/>
    <w:autoRedefine/>
    <w:qFormat/>
    <w:uiPriority w:val="0"/>
    <w:rPr>
      <w:rFonts w:eastAsia="宋体"/>
      <w:sz w:val="24"/>
    </w:rPr>
  </w:style>
  <w:style w:type="paragraph" w:customStyle="1" w:styleId="285">
    <w:name w:val="正文啊"/>
    <w:basedOn w:val="1"/>
    <w:link w:val="284"/>
    <w:autoRedefine/>
    <w:qFormat/>
    <w:uiPriority w:val="0"/>
    <w:pPr>
      <w:spacing w:line="360" w:lineRule="auto"/>
      <w:ind w:firstLine="200" w:firstLineChars="200"/>
    </w:pPr>
    <w:rPr>
      <w:kern w:val="0"/>
      <w:sz w:val="24"/>
      <w:szCs w:val="20"/>
    </w:rPr>
  </w:style>
  <w:style w:type="character" w:customStyle="1" w:styleId="286">
    <w:name w:val="bb"/>
    <w:autoRedefine/>
    <w:qFormat/>
    <w:uiPriority w:val="0"/>
  </w:style>
  <w:style w:type="character" w:customStyle="1" w:styleId="287">
    <w:name w:val="★正文缩进2字符 Char"/>
    <w:link w:val="288"/>
    <w:autoRedefine/>
    <w:qFormat/>
    <w:uiPriority w:val="0"/>
    <w:rPr>
      <w:rFonts w:ascii="Times New Roman" w:hAnsi="Times New Roman" w:eastAsia="宋体" w:cs="Times New Roman"/>
      <w:color w:val="000000"/>
      <w:kern w:val="0"/>
      <w:sz w:val="22"/>
      <w:lang w:val="en-GB" w:eastAsia="en-US" w:bidi="en-US"/>
    </w:rPr>
  </w:style>
  <w:style w:type="paragraph" w:customStyle="1" w:styleId="288">
    <w:name w:val="★正文缩进2字符"/>
    <w:basedOn w:val="1"/>
    <w:link w:val="287"/>
    <w:autoRedefine/>
    <w:qFormat/>
    <w:uiPriority w:val="0"/>
    <w:pPr>
      <w:widowControl/>
      <w:spacing w:after="200" w:line="500" w:lineRule="exact"/>
      <w:ind w:firstLine="480"/>
      <w:jc w:val="left"/>
    </w:pPr>
    <w:rPr>
      <w:color w:val="000000"/>
      <w:kern w:val="0"/>
      <w:sz w:val="22"/>
      <w:szCs w:val="20"/>
      <w:lang w:val="en-GB" w:eastAsia="en-US" w:bidi="en-US"/>
    </w:rPr>
  </w:style>
  <w:style w:type="character" w:customStyle="1" w:styleId="289">
    <w:name w:val="个人撰写风格"/>
    <w:autoRedefine/>
    <w:qFormat/>
    <w:uiPriority w:val="0"/>
    <w:rPr>
      <w:rFonts w:ascii="Arial" w:hAnsi="Arial" w:eastAsia="宋体" w:cs="Arial"/>
      <w:color w:val="auto"/>
      <w:sz w:val="20"/>
    </w:rPr>
  </w:style>
  <w:style w:type="character" w:customStyle="1" w:styleId="290">
    <w:name w:val="zw1"/>
    <w:autoRedefine/>
    <w:qFormat/>
    <w:uiPriority w:val="0"/>
    <w:rPr>
      <w:rFonts w:hint="eastAsia" w:ascii="宋体" w:hAnsi="宋体" w:eastAsia="宋体"/>
      <w:spacing w:val="440"/>
      <w:sz w:val="22"/>
      <w:szCs w:val="22"/>
    </w:rPr>
  </w:style>
  <w:style w:type="character" w:customStyle="1" w:styleId="291">
    <w:name w:val="k1"/>
    <w:autoRedefine/>
    <w:qFormat/>
    <w:uiPriority w:val="0"/>
  </w:style>
  <w:style w:type="character" w:customStyle="1" w:styleId="292">
    <w:name w:val="正文样式 Char"/>
    <w:link w:val="293"/>
    <w:autoRedefine/>
    <w:qFormat/>
    <w:uiPriority w:val="0"/>
    <w:rPr>
      <w:rFonts w:ascii="楷体_GB2312" w:hAnsi="Times New Roman" w:eastAsia="楷体_GB2312" w:cs="宋体"/>
      <w:sz w:val="24"/>
      <w:szCs w:val="24"/>
    </w:rPr>
  </w:style>
  <w:style w:type="paragraph" w:customStyle="1" w:styleId="293">
    <w:name w:val="正文样式"/>
    <w:basedOn w:val="1"/>
    <w:link w:val="292"/>
    <w:autoRedefine/>
    <w:qFormat/>
    <w:uiPriority w:val="0"/>
    <w:pPr>
      <w:adjustRightInd w:val="0"/>
      <w:spacing w:line="360" w:lineRule="auto"/>
      <w:ind w:firstLine="480" w:firstLineChars="200"/>
    </w:pPr>
    <w:rPr>
      <w:rFonts w:ascii="楷体_GB2312" w:eastAsia="楷体_GB2312"/>
      <w:kern w:val="0"/>
      <w:sz w:val="24"/>
      <w:szCs w:val="24"/>
    </w:rPr>
  </w:style>
  <w:style w:type="character" w:customStyle="1" w:styleId="294">
    <w:name w:val="cauc-0 Char Char"/>
    <w:autoRedefine/>
    <w:qFormat/>
    <w:uiPriority w:val="0"/>
    <w:rPr>
      <w:rFonts w:ascii="Times New Roman" w:hAnsi="Times New Roman"/>
      <w:sz w:val="24"/>
      <w:szCs w:val="24"/>
      <w:lang w:val="en-US" w:eastAsia="en-US" w:bidi="en-US"/>
    </w:rPr>
  </w:style>
  <w:style w:type="character" w:customStyle="1" w:styleId="295">
    <w:name w:val="自定义标题3 Char"/>
    <w:link w:val="296"/>
    <w:autoRedefine/>
    <w:qFormat/>
    <w:uiPriority w:val="0"/>
    <w:rPr>
      <w:rFonts w:ascii="Times New Roman" w:hAnsi="Times New Roman"/>
      <w:color w:val="0000FF"/>
      <w:sz w:val="28"/>
    </w:rPr>
  </w:style>
  <w:style w:type="paragraph" w:customStyle="1" w:styleId="296">
    <w:name w:val="自定义标题3"/>
    <w:basedOn w:val="1"/>
    <w:next w:val="1"/>
    <w:link w:val="295"/>
    <w:autoRedefine/>
    <w:qFormat/>
    <w:uiPriority w:val="0"/>
    <w:pPr>
      <w:widowControl/>
      <w:tabs>
        <w:tab w:val="left" w:pos="1134"/>
        <w:tab w:val="left" w:pos="1290"/>
      </w:tabs>
      <w:adjustRightInd w:val="0"/>
      <w:spacing w:before="100" w:line="480" w:lineRule="atLeast"/>
      <w:ind w:left="210"/>
      <w:textAlignment w:val="bottom"/>
    </w:pPr>
    <w:rPr>
      <w:color w:val="0000FF"/>
      <w:kern w:val="0"/>
      <w:sz w:val="28"/>
      <w:szCs w:val="20"/>
    </w:rPr>
  </w:style>
  <w:style w:type="character" w:customStyle="1" w:styleId="297">
    <w:name w:val="da1"/>
    <w:autoRedefine/>
    <w:qFormat/>
    <w:uiPriority w:val="0"/>
    <w:rPr>
      <w:rFonts w:hint="default"/>
      <w:color w:val="000000"/>
      <w:spacing w:val="360"/>
      <w:sz w:val="21"/>
      <w:szCs w:val="21"/>
      <w:u w:val="none"/>
    </w:rPr>
  </w:style>
  <w:style w:type="character" w:customStyle="1" w:styleId="298">
    <w:name w:val="highlight"/>
    <w:autoRedefine/>
    <w:qFormat/>
    <w:uiPriority w:val="0"/>
  </w:style>
  <w:style w:type="character" w:customStyle="1" w:styleId="299">
    <w:name w:val="mainfirst1"/>
    <w:autoRedefine/>
    <w:qFormat/>
    <w:uiPriority w:val="0"/>
    <w:rPr>
      <w:b/>
      <w:bCs/>
      <w:color w:val="FF0000"/>
      <w:sz w:val="36"/>
      <w:szCs w:val="36"/>
    </w:rPr>
  </w:style>
  <w:style w:type="character" w:customStyle="1" w:styleId="300">
    <w:name w:val="表头1 Char"/>
    <w:link w:val="301"/>
    <w:autoRedefine/>
    <w:qFormat/>
    <w:uiPriority w:val="0"/>
    <w:rPr>
      <w:rFonts w:ascii="Times New Roman" w:hAnsi="Times New Roman" w:eastAsia="黑体" w:cs="Times New Roman"/>
      <w:kern w:val="0"/>
      <w:szCs w:val="28"/>
    </w:rPr>
  </w:style>
  <w:style w:type="paragraph" w:customStyle="1" w:styleId="301">
    <w:name w:val="表头1"/>
    <w:basedOn w:val="1"/>
    <w:next w:val="1"/>
    <w:link w:val="300"/>
    <w:autoRedefine/>
    <w:qFormat/>
    <w:uiPriority w:val="0"/>
    <w:pPr>
      <w:tabs>
        <w:tab w:val="left" w:pos="605"/>
      </w:tabs>
      <w:adjustRightInd w:val="0"/>
      <w:snapToGrid w:val="0"/>
      <w:jc w:val="center"/>
    </w:pPr>
    <w:rPr>
      <w:rFonts w:eastAsia="黑体"/>
      <w:kern w:val="0"/>
      <w:sz w:val="20"/>
      <w:szCs w:val="28"/>
    </w:rPr>
  </w:style>
  <w:style w:type="character" w:customStyle="1" w:styleId="302">
    <w:name w:val="表注 Char"/>
    <w:autoRedefine/>
    <w:qFormat/>
    <w:uiPriority w:val="0"/>
    <w:rPr>
      <w:rFonts w:eastAsia="宋体"/>
      <w:snapToGrid w:val="0"/>
      <w:sz w:val="18"/>
      <w:szCs w:val="18"/>
      <w:lang w:val="en-US" w:eastAsia="zh-CN" w:bidi="ar-SA"/>
    </w:rPr>
  </w:style>
  <w:style w:type="character" w:customStyle="1" w:styleId="303">
    <w:name w:val="line31"/>
    <w:autoRedefine/>
    <w:qFormat/>
    <w:uiPriority w:val="0"/>
    <w:rPr>
      <w:color w:val="993333"/>
      <w:spacing w:val="360"/>
    </w:rPr>
  </w:style>
  <w:style w:type="character" w:customStyle="1" w:styleId="304">
    <w:name w:val="样式 (西文) 宋体 (中文) 仿宋_GB2312 黑色"/>
    <w:autoRedefine/>
    <w:semiHidden/>
    <w:qFormat/>
    <w:uiPriority w:val="0"/>
    <w:rPr>
      <w:rFonts w:ascii="Times New Roman" w:hAnsi="Times New Roman" w:eastAsia="仿宋_GB2312" w:cs="Courier New"/>
      <w:color w:val="000000"/>
      <w:kern w:val="2"/>
      <w:sz w:val="32"/>
      <w:szCs w:val="32"/>
      <w:lang w:val="en-US" w:eastAsia="zh-CN" w:bidi="ar-SA"/>
    </w:rPr>
  </w:style>
  <w:style w:type="character" w:customStyle="1" w:styleId="305">
    <w:name w:val="hover26"/>
    <w:autoRedefine/>
    <w:qFormat/>
    <w:uiPriority w:val="0"/>
  </w:style>
  <w:style w:type="character" w:customStyle="1" w:styleId="306">
    <w:name w:val="报告书正文 Char"/>
    <w:link w:val="307"/>
    <w:autoRedefine/>
    <w:qFormat/>
    <w:uiPriority w:val="0"/>
    <w:rPr>
      <w:rFonts w:ascii="Times New Roman" w:hAnsi="Times New Roman" w:eastAsia="宋体" w:cs="Times New Roman"/>
      <w:sz w:val="24"/>
      <w:szCs w:val="24"/>
    </w:rPr>
  </w:style>
  <w:style w:type="paragraph" w:customStyle="1" w:styleId="307">
    <w:name w:val="报告书正文"/>
    <w:basedOn w:val="1"/>
    <w:link w:val="306"/>
    <w:autoRedefine/>
    <w:qFormat/>
    <w:uiPriority w:val="0"/>
    <w:pPr>
      <w:spacing w:line="360" w:lineRule="auto"/>
      <w:ind w:firstLine="480" w:firstLineChars="200"/>
    </w:pPr>
    <w:rPr>
      <w:kern w:val="0"/>
      <w:sz w:val="24"/>
      <w:szCs w:val="24"/>
    </w:rPr>
  </w:style>
  <w:style w:type="character" w:customStyle="1" w:styleId="308">
    <w:name w:val="表格文字 Char Char"/>
    <w:autoRedefine/>
    <w:qFormat/>
    <w:uiPriority w:val="0"/>
    <w:rPr>
      <w:rFonts w:ascii="Times New Roman" w:hAnsi="Times New Roman"/>
      <w:snapToGrid w:val="0"/>
      <w:color w:val="000000"/>
      <w:sz w:val="18"/>
      <w:szCs w:val="18"/>
      <w:lang w:val="en-US" w:eastAsia="zh-CN"/>
    </w:rPr>
  </w:style>
  <w:style w:type="character" w:customStyle="1" w:styleId="309">
    <w:name w:val="表头标题格式 Char"/>
    <w:link w:val="310"/>
    <w:autoRedefine/>
    <w:qFormat/>
    <w:uiPriority w:val="0"/>
    <w:rPr>
      <w:rFonts w:ascii="黑体" w:hAnsi="宋体" w:eastAsia="黑体" w:cs="宋体"/>
      <w:b/>
      <w:bCs/>
      <w:sz w:val="24"/>
      <w:szCs w:val="20"/>
    </w:rPr>
  </w:style>
  <w:style w:type="paragraph" w:customStyle="1" w:styleId="310">
    <w:name w:val="表头标题格式"/>
    <w:basedOn w:val="1"/>
    <w:link w:val="309"/>
    <w:autoRedefine/>
    <w:qFormat/>
    <w:uiPriority w:val="0"/>
    <w:pPr>
      <w:tabs>
        <w:tab w:val="left" w:pos="360"/>
        <w:tab w:val="left" w:pos="1620"/>
      </w:tabs>
      <w:spacing w:line="360" w:lineRule="auto"/>
      <w:jc w:val="center"/>
    </w:pPr>
    <w:rPr>
      <w:rFonts w:ascii="黑体" w:hAnsi="宋体" w:eastAsia="黑体"/>
      <w:b/>
      <w:bCs/>
      <w:kern w:val="0"/>
      <w:sz w:val="24"/>
      <w:szCs w:val="20"/>
    </w:rPr>
  </w:style>
  <w:style w:type="character" w:customStyle="1" w:styleId="311">
    <w:name w:val="about-left1"/>
    <w:autoRedefine/>
    <w:qFormat/>
    <w:uiPriority w:val="0"/>
    <w:rPr>
      <w:color w:val="3A3A3A"/>
      <w:spacing w:val="15"/>
      <w:sz w:val="18"/>
      <w:szCs w:val="18"/>
      <w:u w:val="none"/>
    </w:rPr>
  </w:style>
  <w:style w:type="character" w:customStyle="1" w:styleId="312">
    <w:name w:val="书籍标题1"/>
    <w:autoRedefine/>
    <w:qFormat/>
    <w:uiPriority w:val="0"/>
    <w:rPr>
      <w:b/>
      <w:bCs/>
      <w:smallCaps/>
      <w:spacing w:val="5"/>
    </w:rPr>
  </w:style>
  <w:style w:type="character" w:customStyle="1" w:styleId="313">
    <w:name w:val="表格右"/>
    <w:autoRedefine/>
    <w:qFormat/>
    <w:uiPriority w:val="0"/>
    <w:rPr>
      <w:rFonts w:ascii="宋体" w:hAnsi="宋体" w:eastAsia="宋体"/>
      <w:color w:val="000080"/>
      <w:kern w:val="2"/>
      <w:sz w:val="18"/>
      <w:szCs w:val="24"/>
      <w:lang w:val="en-US" w:eastAsia="zh-CN"/>
    </w:rPr>
  </w:style>
  <w:style w:type="character" w:customStyle="1" w:styleId="314">
    <w:name w:val="bsharetext"/>
    <w:autoRedefine/>
    <w:qFormat/>
    <w:uiPriority w:val="0"/>
  </w:style>
  <w:style w:type="character" w:customStyle="1" w:styleId="315">
    <w:name w:val="hover21"/>
    <w:autoRedefine/>
    <w:qFormat/>
    <w:uiPriority w:val="0"/>
  </w:style>
  <w:style w:type="character" w:customStyle="1" w:styleId="316">
    <w:name w:val="样式 标题 2 + 楷体_GB2312 Char"/>
    <w:link w:val="317"/>
    <w:autoRedefine/>
    <w:qFormat/>
    <w:uiPriority w:val="0"/>
    <w:rPr>
      <w:rFonts w:ascii="楷体_GB2312" w:hAnsi="楷体_GB2312" w:eastAsia="楷体_GB2312" w:cs="Times New Roman"/>
      <w:b/>
      <w:bCs/>
      <w:sz w:val="30"/>
      <w:szCs w:val="32"/>
    </w:rPr>
  </w:style>
  <w:style w:type="paragraph" w:customStyle="1" w:styleId="317">
    <w:name w:val="样式 标题 2 + 楷体_GB2312"/>
    <w:basedOn w:val="3"/>
    <w:link w:val="316"/>
    <w:autoRedefine/>
    <w:qFormat/>
    <w:uiPriority w:val="0"/>
    <w:pPr>
      <w:keepNext w:val="0"/>
      <w:keepLines w:val="0"/>
      <w:spacing w:line="500" w:lineRule="exact"/>
    </w:pPr>
    <w:rPr>
      <w:rFonts w:ascii="楷体_GB2312" w:hAnsi="楷体_GB2312" w:eastAsia="楷体_GB2312"/>
      <w:bCs/>
      <w:sz w:val="30"/>
      <w:szCs w:val="32"/>
    </w:rPr>
  </w:style>
  <w:style w:type="character" w:customStyle="1" w:styleId="318">
    <w:name w:val="表头 Char"/>
    <w:autoRedefine/>
    <w:qFormat/>
    <w:uiPriority w:val="0"/>
    <w:rPr>
      <w:rFonts w:ascii="黑体" w:eastAsia="黑体"/>
      <w:snapToGrid w:val="0"/>
      <w:spacing w:val="10"/>
      <w:kern w:val="21"/>
      <w:sz w:val="24"/>
      <w:lang w:val="en-US" w:eastAsia="zh-CN" w:bidi="ar-SA"/>
    </w:rPr>
  </w:style>
  <w:style w:type="character" w:customStyle="1" w:styleId="319">
    <w:name w:val="正文缩进 Char2"/>
    <w:autoRedefine/>
    <w:qFormat/>
    <w:uiPriority w:val="0"/>
    <w:rPr>
      <w:kern w:val="2"/>
      <w:sz w:val="21"/>
      <w:szCs w:val="24"/>
    </w:rPr>
  </w:style>
  <w:style w:type="character" w:customStyle="1" w:styleId="320">
    <w:name w:val="+正文 Char"/>
    <w:link w:val="321"/>
    <w:autoRedefine/>
    <w:qFormat/>
    <w:uiPriority w:val="0"/>
    <w:rPr>
      <w:rFonts w:ascii="Times New Roman" w:hAnsi="Times New Roman" w:eastAsia="宋体" w:cs="Times New Roman"/>
      <w:sz w:val="24"/>
      <w:szCs w:val="28"/>
    </w:rPr>
  </w:style>
  <w:style w:type="paragraph" w:customStyle="1" w:styleId="321">
    <w:name w:val="+正文"/>
    <w:basedOn w:val="1"/>
    <w:link w:val="320"/>
    <w:autoRedefine/>
    <w:qFormat/>
    <w:uiPriority w:val="0"/>
    <w:pPr>
      <w:spacing w:line="360" w:lineRule="auto"/>
      <w:ind w:firstLine="200" w:firstLineChars="200"/>
    </w:pPr>
    <w:rPr>
      <w:kern w:val="0"/>
      <w:sz w:val="24"/>
      <w:szCs w:val="28"/>
    </w:rPr>
  </w:style>
  <w:style w:type="character" w:customStyle="1" w:styleId="322">
    <w:name w:val="Char Char14"/>
    <w:autoRedefine/>
    <w:qFormat/>
    <w:uiPriority w:val="0"/>
    <w:rPr>
      <w:rFonts w:ascii="Arial" w:hAnsi="Arial" w:eastAsia="黑体"/>
      <w:sz w:val="24"/>
      <w:lang w:bidi="ar-SA"/>
    </w:rPr>
  </w:style>
  <w:style w:type="character" w:customStyle="1" w:styleId="323">
    <w:name w:val="表格1 Char"/>
    <w:link w:val="324"/>
    <w:autoRedefine/>
    <w:qFormat/>
    <w:uiPriority w:val="0"/>
    <w:rPr>
      <w:rFonts w:ascii="Times New Roman" w:hAnsi="Times New Roman" w:eastAsia="宋体" w:cs="Times New Roman"/>
      <w:szCs w:val="24"/>
    </w:rPr>
  </w:style>
  <w:style w:type="paragraph" w:customStyle="1" w:styleId="324">
    <w:name w:val="表格1"/>
    <w:basedOn w:val="1"/>
    <w:next w:val="325"/>
    <w:link w:val="323"/>
    <w:autoRedefine/>
    <w:qFormat/>
    <w:uiPriority w:val="0"/>
    <w:pPr>
      <w:jc w:val="left"/>
    </w:pPr>
    <w:rPr>
      <w:kern w:val="0"/>
      <w:sz w:val="20"/>
      <w:szCs w:val="24"/>
    </w:rPr>
  </w:style>
  <w:style w:type="paragraph" w:customStyle="1" w:styleId="325">
    <w:name w:val="表格样式"/>
    <w:basedOn w:val="326"/>
    <w:next w:val="35"/>
    <w:autoRedefine/>
    <w:qFormat/>
    <w:uiPriority w:val="0"/>
    <w:pPr>
      <w:spacing w:line="460" w:lineRule="exact"/>
      <w:jc w:val="center"/>
    </w:pPr>
    <w:rPr>
      <w:rFonts w:ascii="宋体"/>
      <w:sz w:val="24"/>
      <w:szCs w:val="24"/>
    </w:rPr>
  </w:style>
  <w:style w:type="paragraph" w:customStyle="1" w:styleId="326">
    <w:name w:val="表文"/>
    <w:basedOn w:val="1"/>
    <w:autoRedefine/>
    <w:qFormat/>
    <w:uiPriority w:val="0"/>
    <w:pPr>
      <w:spacing w:beforeLines="20" w:afterLines="20" w:line="280" w:lineRule="exact"/>
      <w:jc w:val="center"/>
    </w:pPr>
    <w:rPr>
      <w:rFonts w:ascii="黑体" w:hAnsi="宋体"/>
      <w:szCs w:val="20"/>
    </w:rPr>
  </w:style>
  <w:style w:type="character" w:customStyle="1" w:styleId="327">
    <w:name w:val="表格 Char Char"/>
    <w:autoRedefine/>
    <w:qFormat/>
    <w:uiPriority w:val="0"/>
    <w:rPr>
      <w:rFonts w:ascii="仿宋_GB2312" w:eastAsia="仿宋_GB2312"/>
      <w:color w:val="000000"/>
      <w:sz w:val="24"/>
      <w:szCs w:val="21"/>
      <w:lang w:val="en-US" w:eastAsia="zh-CN" w:bidi="ar-SA"/>
    </w:rPr>
  </w:style>
  <w:style w:type="character" w:customStyle="1" w:styleId="328">
    <w:name w:val="样式4 Char"/>
    <w:autoRedefine/>
    <w:qFormat/>
    <w:uiPriority w:val="0"/>
    <w:rPr>
      <w:rFonts w:ascii="Arial" w:hAnsi="Arial" w:eastAsia="宋体"/>
      <w:kern w:val="2"/>
      <w:sz w:val="24"/>
      <w:szCs w:val="24"/>
      <w:lang w:val="en-US" w:eastAsia="zh-CN" w:bidi="ar-SA"/>
    </w:rPr>
  </w:style>
  <w:style w:type="character" w:customStyle="1" w:styleId="329">
    <w:name w:val="明显强调1"/>
    <w:autoRedefine/>
    <w:qFormat/>
    <w:uiPriority w:val="0"/>
    <w:rPr>
      <w:b/>
      <w:bCs/>
      <w:i/>
      <w:iCs/>
      <w:color w:val="4F81BD"/>
    </w:rPr>
  </w:style>
  <w:style w:type="character" w:customStyle="1" w:styleId="330">
    <w:name w:val="Char Char Char"/>
    <w:autoRedefine/>
    <w:qFormat/>
    <w:uiPriority w:val="0"/>
    <w:rPr>
      <w:rFonts w:ascii="仿宋_GB2312" w:hAnsi="Times New Roman" w:eastAsia="仿宋_GB2312" w:cs="Times New Roman"/>
      <w:b/>
      <w:sz w:val="32"/>
      <w:szCs w:val="32"/>
    </w:rPr>
  </w:style>
  <w:style w:type="character" w:customStyle="1" w:styleId="331">
    <w:name w:val="content1"/>
    <w:autoRedefine/>
    <w:qFormat/>
    <w:uiPriority w:val="0"/>
    <w:rPr>
      <w:spacing w:val="270"/>
      <w:sz w:val="21"/>
      <w:szCs w:val="21"/>
    </w:rPr>
  </w:style>
  <w:style w:type="character" w:customStyle="1" w:styleId="332">
    <w:name w:val="1.1标题2 Char Char"/>
    <w:autoRedefine/>
    <w:qFormat/>
    <w:uiPriority w:val="0"/>
    <w:rPr>
      <w:rFonts w:ascii="Arial" w:hAnsi="Arial" w:eastAsia="黑体"/>
      <w:b/>
      <w:bCs/>
      <w:kern w:val="2"/>
      <w:sz w:val="32"/>
      <w:szCs w:val="32"/>
      <w:lang w:val="en-US" w:eastAsia="zh-CN" w:bidi="ar-SA"/>
    </w:rPr>
  </w:style>
  <w:style w:type="character" w:customStyle="1" w:styleId="333">
    <w:name w:val="表头！！！！！！！！！！ Char"/>
    <w:link w:val="334"/>
    <w:autoRedefine/>
    <w:qFormat/>
    <w:uiPriority w:val="0"/>
    <w:rPr>
      <w:rFonts w:ascii="楷体_GB2312" w:hAnsi="Times New Roman" w:eastAsia="楷体_GB2312" w:cs="Times New Roman"/>
      <w:b/>
      <w:snapToGrid w:val="0"/>
      <w:kern w:val="0"/>
      <w:sz w:val="24"/>
      <w:szCs w:val="24"/>
    </w:rPr>
  </w:style>
  <w:style w:type="paragraph" w:customStyle="1" w:styleId="334">
    <w:name w:val="表头！！！！！！！！！！"/>
    <w:basedOn w:val="18"/>
    <w:link w:val="333"/>
    <w:autoRedefine/>
    <w:qFormat/>
    <w:uiPriority w:val="0"/>
    <w:pPr>
      <w:autoSpaceDE w:val="0"/>
      <w:autoSpaceDN w:val="0"/>
      <w:adjustRightInd w:val="0"/>
      <w:spacing w:line="500" w:lineRule="exact"/>
      <w:jc w:val="center"/>
      <w:textAlignment w:val="baseline"/>
    </w:pPr>
    <w:rPr>
      <w:rFonts w:ascii="楷体_GB2312" w:eastAsia="楷体_GB2312"/>
      <w:b/>
      <w:snapToGrid w:val="0"/>
      <w:sz w:val="24"/>
    </w:rPr>
  </w:style>
  <w:style w:type="character" w:customStyle="1" w:styleId="335">
    <w:name w:val="hover"/>
    <w:autoRedefine/>
    <w:qFormat/>
    <w:uiPriority w:val="0"/>
  </w:style>
  <w:style w:type="character" w:customStyle="1" w:styleId="336">
    <w:name w:val="正文001 Char"/>
    <w:link w:val="337"/>
    <w:autoRedefine/>
    <w:qFormat/>
    <w:uiPriority w:val="0"/>
    <w:rPr>
      <w:rFonts w:ascii="Arial" w:hAnsi="Arial" w:eastAsia="宋体" w:cs="Arial"/>
      <w:sz w:val="24"/>
      <w:szCs w:val="20"/>
    </w:rPr>
  </w:style>
  <w:style w:type="paragraph" w:customStyle="1" w:styleId="337">
    <w:name w:val="正文001"/>
    <w:basedOn w:val="1"/>
    <w:link w:val="336"/>
    <w:autoRedefine/>
    <w:qFormat/>
    <w:uiPriority w:val="0"/>
    <w:pPr>
      <w:spacing w:before="60" w:line="360" w:lineRule="auto"/>
      <w:ind w:firstLine="200" w:firstLineChars="200"/>
    </w:pPr>
    <w:rPr>
      <w:rFonts w:ascii="Arial" w:hAnsi="Arial"/>
      <w:kern w:val="0"/>
      <w:sz w:val="24"/>
      <w:szCs w:val="20"/>
    </w:rPr>
  </w:style>
  <w:style w:type="character" w:customStyle="1" w:styleId="338">
    <w:name w:val="正文缩进 Char1"/>
    <w:autoRedefine/>
    <w:qFormat/>
    <w:uiPriority w:val="0"/>
    <w:rPr>
      <w:kern w:val="2"/>
      <w:sz w:val="21"/>
      <w:szCs w:val="24"/>
    </w:rPr>
  </w:style>
  <w:style w:type="character" w:customStyle="1" w:styleId="339">
    <w:name w:val="批注主题 Char1"/>
    <w:autoRedefine/>
    <w:semiHidden/>
    <w:qFormat/>
    <w:uiPriority w:val="0"/>
    <w:rPr>
      <w:rFonts w:ascii="Calibri" w:hAnsi="Calibri" w:eastAsia="宋体" w:cs="Times New Roman"/>
      <w:b/>
      <w:bCs/>
    </w:rPr>
  </w:style>
  <w:style w:type="character" w:customStyle="1" w:styleId="340">
    <w:name w:val="样式5 Char"/>
    <w:link w:val="341"/>
    <w:autoRedefine/>
    <w:qFormat/>
    <w:uiPriority w:val="0"/>
    <w:rPr>
      <w:rFonts w:ascii="Times New Roman" w:hAnsi="Times New Roman" w:eastAsia="仿宋_GB2312" w:cs="Times New Roman"/>
      <w:sz w:val="24"/>
      <w:szCs w:val="24"/>
    </w:rPr>
  </w:style>
  <w:style w:type="paragraph" w:customStyle="1" w:styleId="341">
    <w:name w:val="样式5"/>
    <w:basedOn w:val="1"/>
    <w:link w:val="340"/>
    <w:autoRedefine/>
    <w:qFormat/>
    <w:uiPriority w:val="0"/>
    <w:pPr>
      <w:spacing w:line="360" w:lineRule="auto"/>
      <w:ind w:firstLine="480" w:firstLineChars="200"/>
    </w:pPr>
    <w:rPr>
      <w:rFonts w:eastAsia="仿宋_GB2312"/>
      <w:kern w:val="0"/>
      <w:sz w:val="24"/>
      <w:szCs w:val="24"/>
    </w:rPr>
  </w:style>
  <w:style w:type="character" w:customStyle="1" w:styleId="342">
    <w:name w:val="Char Char11"/>
    <w:autoRedefine/>
    <w:semiHidden/>
    <w:qFormat/>
    <w:uiPriority w:val="0"/>
    <w:rPr>
      <w:rFonts w:ascii="Calibri" w:hAnsi="Calibri" w:eastAsia="宋体"/>
      <w:kern w:val="2"/>
      <w:sz w:val="18"/>
      <w:szCs w:val="18"/>
      <w:lang w:bidi="ar-SA"/>
    </w:rPr>
  </w:style>
  <w:style w:type="character" w:customStyle="1" w:styleId="343">
    <w:name w:val="正文文本缩进 Char"/>
    <w:autoRedefine/>
    <w:qFormat/>
    <w:uiPriority w:val="0"/>
    <w:rPr>
      <w:rFonts w:ascii="Times New Roman" w:hAnsi="Times New Roman" w:eastAsia="宋体" w:cs="Times New Roman"/>
      <w:kern w:val="0"/>
      <w:sz w:val="28"/>
      <w:szCs w:val="20"/>
      <w:lang w:eastAsia="en-US" w:bidi="en-US"/>
    </w:rPr>
  </w:style>
  <w:style w:type="character" w:customStyle="1" w:styleId="344">
    <w:name w:val="正文wang Char"/>
    <w:link w:val="345"/>
    <w:autoRedefine/>
    <w:qFormat/>
    <w:uiPriority w:val="0"/>
    <w:rPr>
      <w:rFonts w:ascii="Times New Roman" w:hAnsi="宋体" w:eastAsia="宋体" w:cs="宋体"/>
      <w:kern w:val="0"/>
      <w:szCs w:val="21"/>
    </w:rPr>
  </w:style>
  <w:style w:type="paragraph" w:customStyle="1" w:styleId="345">
    <w:name w:val="正文wang"/>
    <w:basedOn w:val="1"/>
    <w:link w:val="344"/>
    <w:autoRedefine/>
    <w:qFormat/>
    <w:uiPriority w:val="0"/>
    <w:pPr>
      <w:adjustRightInd w:val="0"/>
      <w:spacing w:beforeLines="25"/>
      <w:ind w:firstLine="420"/>
    </w:pPr>
    <w:rPr>
      <w:rFonts w:hAnsi="宋体"/>
      <w:kern w:val="0"/>
      <w:sz w:val="20"/>
      <w:szCs w:val="21"/>
    </w:rPr>
  </w:style>
  <w:style w:type="character" w:customStyle="1" w:styleId="346">
    <w:name w:val="我的正文 Char Char"/>
    <w:link w:val="347"/>
    <w:autoRedefine/>
    <w:qFormat/>
    <w:uiPriority w:val="0"/>
    <w:rPr>
      <w:sz w:val="24"/>
    </w:rPr>
  </w:style>
  <w:style w:type="paragraph" w:customStyle="1" w:styleId="347">
    <w:name w:val="我的正文"/>
    <w:basedOn w:val="1"/>
    <w:link w:val="346"/>
    <w:autoRedefine/>
    <w:qFormat/>
    <w:uiPriority w:val="0"/>
    <w:pPr>
      <w:spacing w:beforeLines="25" w:afterLines="25" w:line="324" w:lineRule="auto"/>
      <w:ind w:firstLine="200" w:firstLineChars="200"/>
    </w:pPr>
    <w:rPr>
      <w:kern w:val="0"/>
      <w:sz w:val="24"/>
      <w:szCs w:val="20"/>
    </w:rPr>
  </w:style>
  <w:style w:type="character" w:customStyle="1" w:styleId="348">
    <w:name w:val="标题 2 Char1"/>
    <w:autoRedefine/>
    <w:qFormat/>
    <w:uiPriority w:val="0"/>
    <w:rPr>
      <w:rFonts w:ascii="Arial" w:hAnsi="Arial" w:eastAsia="黑体"/>
      <w:b/>
      <w:bCs/>
      <w:kern w:val="2"/>
      <w:sz w:val="32"/>
      <w:szCs w:val="32"/>
      <w:lang w:val="en-US" w:eastAsia="zh-CN" w:bidi="ar-SA"/>
    </w:rPr>
  </w:style>
  <w:style w:type="character" w:customStyle="1" w:styleId="349">
    <w:name w:val="标题 3 Char Char Char Char Char"/>
    <w:autoRedefine/>
    <w:qFormat/>
    <w:uiPriority w:val="0"/>
    <w:rPr>
      <w:rFonts w:ascii="宋体" w:hAnsi="宋体" w:eastAsia="宋体"/>
      <w:b/>
      <w:bCs/>
      <w:kern w:val="2"/>
      <w:sz w:val="28"/>
      <w:szCs w:val="32"/>
      <w:lang w:val="en-US" w:eastAsia="zh-CN" w:bidi="ar-SA"/>
    </w:rPr>
  </w:style>
  <w:style w:type="character" w:customStyle="1" w:styleId="350">
    <w:name w:val="样式 宋体 小四"/>
    <w:autoRedefine/>
    <w:qFormat/>
    <w:uiPriority w:val="0"/>
    <w:rPr>
      <w:rFonts w:ascii="楷体_GB2312" w:hAnsi="楷体_GB2312" w:eastAsia="楷体_GB2312" w:cs="楷体_GB2312"/>
      <w:sz w:val="24"/>
      <w:szCs w:val="24"/>
    </w:rPr>
  </w:style>
  <w:style w:type="character" w:customStyle="1" w:styleId="351">
    <w:name w:val="hover25"/>
    <w:autoRedefine/>
    <w:qFormat/>
    <w:uiPriority w:val="0"/>
  </w:style>
  <w:style w:type="character" w:customStyle="1" w:styleId="352">
    <w:name w:val="1正文段落 Char"/>
    <w:link w:val="353"/>
    <w:autoRedefine/>
    <w:qFormat/>
    <w:uiPriority w:val="0"/>
    <w:rPr>
      <w:rFonts w:ascii="Times New Roman" w:hAnsi="Times New Roman" w:eastAsia="宋体" w:cs="Times New Roman"/>
      <w:snapToGrid w:val="0"/>
      <w:kern w:val="0"/>
      <w:sz w:val="24"/>
      <w:szCs w:val="24"/>
    </w:rPr>
  </w:style>
  <w:style w:type="paragraph" w:customStyle="1" w:styleId="353">
    <w:name w:val="1正文段落"/>
    <w:basedOn w:val="1"/>
    <w:link w:val="352"/>
    <w:autoRedefine/>
    <w:qFormat/>
    <w:uiPriority w:val="0"/>
    <w:pPr>
      <w:spacing w:line="360" w:lineRule="auto"/>
      <w:ind w:firstLine="480" w:firstLineChars="200"/>
      <w:jc w:val="left"/>
    </w:pPr>
    <w:rPr>
      <w:snapToGrid w:val="0"/>
      <w:kern w:val="0"/>
      <w:sz w:val="24"/>
      <w:szCs w:val="24"/>
    </w:rPr>
  </w:style>
  <w:style w:type="character" w:customStyle="1" w:styleId="354">
    <w:name w:val="正文 楷体 Char Char"/>
    <w:autoRedefine/>
    <w:qFormat/>
    <w:uiPriority w:val="0"/>
    <w:rPr>
      <w:rFonts w:ascii="楷体_GB2312" w:hAnsi="楷体_GB2312" w:eastAsia="楷体_GB2312" w:cs="宋体"/>
      <w:kern w:val="2"/>
      <w:sz w:val="24"/>
      <w:szCs w:val="24"/>
    </w:rPr>
  </w:style>
  <w:style w:type="character" w:customStyle="1" w:styleId="355">
    <w:name w:val="引用 Char"/>
    <w:link w:val="356"/>
    <w:autoRedefine/>
    <w:qFormat/>
    <w:uiPriority w:val="0"/>
    <w:rPr>
      <w:rFonts w:ascii="Calibri" w:hAnsi="Calibri" w:eastAsia="宋体" w:cs="Times New Roman"/>
      <w:i/>
      <w:iCs/>
      <w:color w:val="000000"/>
      <w:kern w:val="0"/>
      <w:sz w:val="22"/>
      <w:lang w:eastAsia="en-US" w:bidi="en-US"/>
    </w:rPr>
  </w:style>
  <w:style w:type="paragraph" w:customStyle="1" w:styleId="356">
    <w:name w:val="引用1"/>
    <w:basedOn w:val="1"/>
    <w:next w:val="1"/>
    <w:link w:val="355"/>
    <w:autoRedefine/>
    <w:qFormat/>
    <w:uiPriority w:val="0"/>
    <w:pPr>
      <w:widowControl/>
      <w:spacing w:after="200" w:line="276" w:lineRule="auto"/>
      <w:jc w:val="left"/>
    </w:pPr>
    <w:rPr>
      <w:rFonts w:ascii="Calibri" w:hAnsi="Calibri"/>
      <w:i/>
      <w:iCs/>
      <w:color w:val="000000"/>
      <w:kern w:val="0"/>
      <w:sz w:val="22"/>
      <w:szCs w:val="20"/>
      <w:lang w:eastAsia="en-US" w:bidi="en-US"/>
    </w:rPr>
  </w:style>
  <w:style w:type="character" w:customStyle="1" w:styleId="357">
    <w:name w:val="Char Char13"/>
    <w:autoRedefine/>
    <w:semiHidden/>
    <w:qFormat/>
    <w:uiPriority w:val="0"/>
    <w:rPr>
      <w:rFonts w:eastAsia="宋体"/>
      <w:kern w:val="2"/>
      <w:sz w:val="21"/>
      <w:szCs w:val="24"/>
      <w:lang w:val="en-US" w:eastAsia="zh-CN" w:bidi="ar-SA"/>
    </w:rPr>
  </w:style>
  <w:style w:type="character" w:customStyle="1" w:styleId="358">
    <w:name w:val="文本框小五 Char Char"/>
    <w:link w:val="359"/>
    <w:autoRedefine/>
    <w:qFormat/>
    <w:uiPriority w:val="0"/>
    <w:rPr>
      <w:rFonts w:ascii="Times New Roman" w:hAnsi="Times New Roman" w:eastAsia="仿宋_GB2312" w:cs="Times New Roman"/>
      <w:sz w:val="18"/>
      <w:szCs w:val="21"/>
    </w:rPr>
  </w:style>
  <w:style w:type="paragraph" w:customStyle="1" w:styleId="359">
    <w:name w:val="文本框小五"/>
    <w:basedOn w:val="1"/>
    <w:link w:val="358"/>
    <w:autoRedefine/>
    <w:qFormat/>
    <w:uiPriority w:val="0"/>
    <w:pPr>
      <w:jc w:val="center"/>
    </w:pPr>
    <w:rPr>
      <w:rFonts w:eastAsia="仿宋_GB2312"/>
      <w:kern w:val="0"/>
      <w:sz w:val="18"/>
      <w:szCs w:val="21"/>
    </w:rPr>
  </w:style>
  <w:style w:type="character" w:customStyle="1" w:styleId="360">
    <w:name w:val="正文！！！！！ Char Char"/>
    <w:autoRedefine/>
    <w:qFormat/>
    <w:uiPriority w:val="0"/>
    <w:rPr>
      <w:rFonts w:ascii="宋体" w:hAnsi="宋体" w:cs="宋体"/>
      <w:snapToGrid w:val="0"/>
      <w:sz w:val="24"/>
      <w:szCs w:val="24"/>
    </w:rPr>
  </w:style>
  <w:style w:type="character" w:customStyle="1" w:styleId="361">
    <w:name w:val="样式 标题 2节H2节标题 1.1二级标题标题 lxb21.1h2第一层条二级标题 Char表标题单位名... Char Char"/>
    <w:link w:val="362"/>
    <w:autoRedefine/>
    <w:qFormat/>
    <w:uiPriority w:val="0"/>
    <w:rPr>
      <w:rFonts w:ascii="黑体" w:hAnsi="宋体" w:eastAsia="黑体" w:cs="Times New Roman"/>
      <w:bCs/>
      <w:color w:val="000000"/>
      <w:sz w:val="28"/>
      <w:szCs w:val="28"/>
    </w:rPr>
  </w:style>
  <w:style w:type="paragraph" w:customStyle="1" w:styleId="362">
    <w:name w:val="样式 标题 2节H2节标题 1.1二级标题标题 lxb21.1h2第一层条二级标题 Char表标题单位名... Char"/>
    <w:basedOn w:val="3"/>
    <w:link w:val="361"/>
    <w:autoRedefine/>
    <w:qFormat/>
    <w:uiPriority w:val="0"/>
    <w:pPr>
      <w:keepNext w:val="0"/>
      <w:keepLines w:val="0"/>
      <w:overflowPunct w:val="0"/>
      <w:autoSpaceDE w:val="0"/>
      <w:autoSpaceDN w:val="0"/>
      <w:adjustRightInd w:val="0"/>
      <w:spacing w:before="0" w:after="0" w:line="360" w:lineRule="auto"/>
      <w:ind w:left="314" w:hanging="314"/>
      <w:textAlignment w:val="baseline"/>
    </w:pPr>
    <w:rPr>
      <w:rFonts w:ascii="黑体" w:hAnsi="宋体" w:eastAsia="黑体"/>
      <w:b w:val="0"/>
      <w:bCs/>
      <w:color w:val="000000"/>
      <w:sz w:val="28"/>
      <w:szCs w:val="28"/>
    </w:rPr>
  </w:style>
  <w:style w:type="character" w:customStyle="1" w:styleId="363">
    <w:name w:val="cauc-0 Char"/>
    <w:link w:val="364"/>
    <w:autoRedefine/>
    <w:qFormat/>
    <w:locked/>
    <w:uiPriority w:val="0"/>
    <w:rPr>
      <w:sz w:val="24"/>
      <w:szCs w:val="24"/>
      <w:lang w:val="en-US" w:eastAsia="en-US" w:bidi="en-US"/>
    </w:rPr>
  </w:style>
  <w:style w:type="paragraph" w:customStyle="1" w:styleId="364">
    <w:name w:val="cauc-0"/>
    <w:link w:val="363"/>
    <w:autoRedefine/>
    <w:qFormat/>
    <w:uiPriority w:val="0"/>
    <w:pPr>
      <w:spacing w:after="200" w:line="360" w:lineRule="auto"/>
      <w:ind w:firstLine="480" w:firstLineChars="200"/>
    </w:pPr>
    <w:rPr>
      <w:rFonts w:ascii="Times New Roman" w:hAnsi="Times New Roman" w:eastAsia="宋体" w:cs="Times New Roman"/>
      <w:sz w:val="24"/>
      <w:szCs w:val="24"/>
      <w:lang w:val="en-US" w:eastAsia="en-US" w:bidi="en-US"/>
    </w:rPr>
  </w:style>
  <w:style w:type="character" w:customStyle="1" w:styleId="365">
    <w:name w:val="hottext1"/>
    <w:autoRedefine/>
    <w:qFormat/>
    <w:uiPriority w:val="0"/>
    <w:rPr>
      <w:rFonts w:hint="eastAsia" w:ascii="宋体" w:hAnsi="宋体" w:eastAsia="宋体"/>
      <w:color w:val="333333"/>
      <w:spacing w:val="260"/>
      <w:sz w:val="20"/>
      <w:szCs w:val="20"/>
      <w:u w:val="none"/>
    </w:rPr>
  </w:style>
  <w:style w:type="character" w:customStyle="1" w:styleId="366">
    <w:name w:val="第一条"/>
    <w:autoRedefine/>
    <w:qFormat/>
    <w:uiPriority w:val="0"/>
  </w:style>
  <w:style w:type="character" w:customStyle="1" w:styleId="367">
    <w:name w:val="样式 居中 首行缩进:  0 字符 Char Char Char Char"/>
    <w:autoRedefine/>
    <w:qFormat/>
    <w:uiPriority w:val="0"/>
    <w:rPr>
      <w:rFonts w:ascii="宋体" w:hAnsi="宋体" w:eastAsia="宋体"/>
      <w:color w:val="FF0000"/>
      <w:kern w:val="2"/>
      <w:sz w:val="18"/>
      <w:szCs w:val="18"/>
      <w:lang w:val="en-US" w:eastAsia="zh-CN" w:bidi="ar-SA"/>
    </w:rPr>
  </w:style>
  <w:style w:type="character" w:customStyle="1" w:styleId="368">
    <w:name w:val="样式 标题 3H3 + 黑色 Char"/>
    <w:link w:val="369"/>
    <w:autoRedefine/>
    <w:qFormat/>
    <w:uiPriority w:val="0"/>
    <w:rPr>
      <w:rFonts w:ascii="Times New Roman" w:hAnsi="Times New Roman" w:eastAsia="宋体" w:cs="Times New Roman"/>
      <w:b/>
      <w:snapToGrid w:val="0"/>
      <w:color w:val="000000"/>
      <w:kern w:val="0"/>
      <w:sz w:val="24"/>
      <w:szCs w:val="24"/>
    </w:rPr>
  </w:style>
  <w:style w:type="paragraph" w:customStyle="1" w:styleId="369">
    <w:name w:val="样式 标题 3H3 + 黑色"/>
    <w:basedOn w:val="4"/>
    <w:link w:val="368"/>
    <w:autoRedefine/>
    <w:qFormat/>
    <w:uiPriority w:val="0"/>
    <w:pPr>
      <w:keepNext w:val="0"/>
      <w:keepLines w:val="0"/>
      <w:adjustRightInd w:val="0"/>
      <w:snapToGrid w:val="0"/>
      <w:spacing w:before="0" w:after="0" w:line="460" w:lineRule="exact"/>
      <w:ind w:left="720" w:hanging="720"/>
    </w:pPr>
    <w:rPr>
      <w:bCs w:val="0"/>
      <w:snapToGrid w:val="0"/>
      <w:color w:val="000000"/>
      <w:sz w:val="24"/>
      <w:szCs w:val="24"/>
    </w:rPr>
  </w:style>
  <w:style w:type="character" w:customStyle="1" w:styleId="370">
    <w:name w:val="MB5 Char"/>
    <w:autoRedefine/>
    <w:qFormat/>
    <w:uiPriority w:val="0"/>
    <w:rPr>
      <w:rFonts w:ascii="Calibri" w:hAnsi="Calibri" w:eastAsia="宋体"/>
      <w:b/>
      <w:bCs/>
      <w:kern w:val="2"/>
      <w:sz w:val="28"/>
      <w:szCs w:val="28"/>
      <w:lang w:val="en-US" w:eastAsia="zh-CN" w:bidi="ar-SA"/>
    </w:rPr>
  </w:style>
  <w:style w:type="character" w:customStyle="1" w:styleId="371">
    <w:name w:val="样式 正文文本 + 首行缩进:  2 字符 Char"/>
    <w:link w:val="372"/>
    <w:autoRedefine/>
    <w:qFormat/>
    <w:uiPriority w:val="0"/>
    <w:rPr>
      <w:rFonts w:ascii="Times New Roman" w:hAnsi="Times New Roman" w:eastAsia="宋体" w:cs="Times New Roman"/>
      <w:color w:val="FF0000"/>
      <w:sz w:val="24"/>
      <w:szCs w:val="24"/>
    </w:rPr>
  </w:style>
  <w:style w:type="paragraph" w:customStyle="1" w:styleId="372">
    <w:name w:val="样式 正文文本 + 首行缩进:  2 字符"/>
    <w:basedOn w:val="29"/>
    <w:link w:val="371"/>
    <w:autoRedefine/>
    <w:qFormat/>
    <w:uiPriority w:val="0"/>
    <w:pPr>
      <w:widowControl w:val="0"/>
      <w:adjustRightInd w:val="0"/>
      <w:snapToGrid w:val="0"/>
      <w:spacing w:before="120" w:after="0" w:line="300" w:lineRule="auto"/>
      <w:ind w:firstLine="200" w:firstLineChars="200"/>
      <w:jc w:val="both"/>
      <w:textAlignment w:val="baseline"/>
    </w:pPr>
    <w:rPr>
      <w:color w:val="FF0000"/>
      <w:sz w:val="24"/>
      <w:szCs w:val="24"/>
      <w:lang w:bidi="ar-SA"/>
    </w:rPr>
  </w:style>
  <w:style w:type="character" w:customStyle="1" w:styleId="373">
    <w:name w:val="style21"/>
    <w:autoRedefine/>
    <w:qFormat/>
    <w:uiPriority w:val="0"/>
    <w:rPr>
      <w:sz w:val="40"/>
      <w:szCs w:val="40"/>
    </w:rPr>
  </w:style>
  <w:style w:type="character" w:customStyle="1" w:styleId="374">
    <w:name w:val="纯文本 Char21"/>
    <w:autoRedefine/>
    <w:qFormat/>
    <w:uiPriority w:val="0"/>
    <w:rPr>
      <w:rFonts w:hint="eastAsia" w:ascii="宋体" w:hAnsi="Courier New" w:eastAsia="宋体" w:cs="宋体"/>
      <w:kern w:val="2"/>
      <w:sz w:val="28"/>
      <w:szCs w:val="24"/>
    </w:rPr>
  </w:style>
  <w:style w:type="character" w:customStyle="1" w:styleId="375">
    <w:name w:val="第一条1"/>
    <w:autoRedefine/>
    <w:qFormat/>
    <w:uiPriority w:val="0"/>
    <w:rPr>
      <w:rFonts w:hint="eastAsia" w:ascii="黑体" w:eastAsia="黑体"/>
      <w:spacing w:val="400"/>
      <w:sz w:val="24"/>
      <w:szCs w:val="24"/>
    </w:rPr>
  </w:style>
  <w:style w:type="character" w:customStyle="1" w:styleId="376">
    <w:name w:val="css-text3"/>
    <w:autoRedefine/>
    <w:qFormat/>
    <w:uiPriority w:val="0"/>
  </w:style>
  <w:style w:type="character" w:customStyle="1" w:styleId="377">
    <w:name w:val="Char Char"/>
    <w:link w:val="378"/>
    <w:autoRedefine/>
    <w:qFormat/>
    <w:uiPriority w:val="0"/>
    <w:rPr>
      <w:rFonts w:ascii="仿宋_GB2312" w:hAnsi="Times New Roman" w:eastAsia="仿宋_GB2312" w:cs="Times New Roman"/>
      <w:b/>
      <w:sz w:val="32"/>
      <w:szCs w:val="32"/>
    </w:rPr>
  </w:style>
  <w:style w:type="paragraph" w:customStyle="1" w:styleId="378">
    <w:name w:val="Char1"/>
    <w:basedOn w:val="1"/>
    <w:link w:val="377"/>
    <w:autoRedefine/>
    <w:qFormat/>
    <w:uiPriority w:val="0"/>
    <w:rPr>
      <w:rFonts w:ascii="仿宋_GB2312" w:eastAsia="仿宋_GB2312"/>
      <w:b/>
      <w:kern w:val="0"/>
      <w:sz w:val="32"/>
      <w:szCs w:val="32"/>
    </w:rPr>
  </w:style>
  <w:style w:type="character" w:customStyle="1" w:styleId="379">
    <w:name w:val="f91"/>
    <w:autoRedefine/>
    <w:qFormat/>
    <w:uiPriority w:val="0"/>
    <w:rPr>
      <w:rFonts w:hint="default"/>
      <w:spacing w:val="384"/>
      <w:sz w:val="18"/>
      <w:szCs w:val="18"/>
    </w:rPr>
  </w:style>
  <w:style w:type="character" w:customStyle="1" w:styleId="380">
    <w:name w:val="批注文字 Char1"/>
    <w:autoRedefine/>
    <w:semiHidden/>
    <w:qFormat/>
    <w:uiPriority w:val="0"/>
  </w:style>
  <w:style w:type="character" w:customStyle="1" w:styleId="381">
    <w:name w:val="分目录2 Char"/>
    <w:link w:val="382"/>
    <w:autoRedefine/>
    <w:qFormat/>
    <w:uiPriority w:val="0"/>
    <w:rPr>
      <w:snapToGrid w:val="0"/>
      <w:sz w:val="24"/>
    </w:rPr>
  </w:style>
  <w:style w:type="paragraph" w:customStyle="1" w:styleId="382">
    <w:name w:val="分目录2"/>
    <w:basedOn w:val="207"/>
    <w:link w:val="381"/>
    <w:autoRedefine/>
    <w:qFormat/>
    <w:uiPriority w:val="0"/>
    <w:pPr>
      <w:ind w:firstLine="480" w:firstLineChars="200"/>
    </w:pPr>
    <w:rPr>
      <w:sz w:val="24"/>
    </w:rPr>
  </w:style>
  <w:style w:type="character" w:customStyle="1" w:styleId="383">
    <w:name w:val="不明显强调1"/>
    <w:autoRedefine/>
    <w:qFormat/>
    <w:uiPriority w:val="19"/>
    <w:rPr>
      <w:i/>
      <w:iCs/>
      <w:color w:val="808080"/>
    </w:rPr>
  </w:style>
  <w:style w:type="character" w:customStyle="1" w:styleId="384">
    <w:name w:val="普通文字 Char Char Char Char Char C Char Char Char Char Char Char Char"/>
    <w:autoRedefine/>
    <w:qFormat/>
    <w:uiPriority w:val="0"/>
    <w:rPr>
      <w:rFonts w:ascii="宋体" w:hAnsi="Courier New" w:eastAsia="宋体"/>
      <w:kern w:val="2"/>
      <w:sz w:val="28"/>
      <w:lang w:val="en-US" w:eastAsia="zh-CN" w:bidi="ar-SA"/>
    </w:rPr>
  </w:style>
  <w:style w:type="character" w:customStyle="1" w:styleId="385">
    <w:name w:val="环保专篇 Char"/>
    <w:link w:val="386"/>
    <w:autoRedefine/>
    <w:qFormat/>
    <w:uiPriority w:val="0"/>
    <w:rPr>
      <w:kern w:val="2"/>
      <w:sz w:val="24"/>
      <w:szCs w:val="24"/>
      <w:lang w:val="en-US" w:eastAsia="zh-CN" w:bidi="ar-SA"/>
    </w:rPr>
  </w:style>
  <w:style w:type="paragraph" w:customStyle="1" w:styleId="386">
    <w:name w:val="环保专篇"/>
    <w:link w:val="385"/>
    <w:autoRedefine/>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387">
    <w:name w:val="unnamed21"/>
    <w:autoRedefine/>
    <w:qFormat/>
    <w:uiPriority w:val="0"/>
    <w:rPr>
      <w:color w:val="330000"/>
      <w:sz w:val="21"/>
      <w:szCs w:val="21"/>
      <w:u w:val="none"/>
    </w:rPr>
  </w:style>
  <w:style w:type="character" w:customStyle="1" w:styleId="388">
    <w:name w:val="报告书表格 Char"/>
    <w:link w:val="389"/>
    <w:autoRedefine/>
    <w:qFormat/>
    <w:uiPriority w:val="0"/>
    <w:rPr>
      <w:rFonts w:ascii="Times New Roman" w:hAnsi="Times New Roman" w:eastAsia="宋体" w:cs="Times New Roman"/>
      <w:kern w:val="0"/>
      <w:sz w:val="24"/>
      <w:szCs w:val="20"/>
    </w:rPr>
  </w:style>
  <w:style w:type="paragraph" w:customStyle="1" w:styleId="389">
    <w:name w:val="报告书表格"/>
    <w:basedOn w:val="1"/>
    <w:link w:val="388"/>
    <w:autoRedefine/>
    <w:qFormat/>
    <w:uiPriority w:val="0"/>
    <w:pPr>
      <w:adjustRightInd w:val="0"/>
      <w:spacing w:before="60" w:after="60" w:line="240" w:lineRule="atLeast"/>
      <w:jc w:val="center"/>
      <w:textAlignment w:val="baseline"/>
    </w:pPr>
    <w:rPr>
      <w:kern w:val="0"/>
      <w:sz w:val="24"/>
      <w:szCs w:val="20"/>
    </w:rPr>
  </w:style>
  <w:style w:type="character" w:customStyle="1" w:styleId="390">
    <w:name w:val="标题二！！！！！！！！！！！！！！！！！！！！！！！！！！！！！ Char"/>
    <w:autoRedefine/>
    <w:qFormat/>
    <w:uiPriority w:val="0"/>
    <w:rPr>
      <w:rFonts w:ascii="Arial" w:hAnsi="宋体" w:eastAsia="宋体" w:cs="Arial"/>
      <w:b/>
      <w:bCs/>
      <w:sz w:val="30"/>
      <w:szCs w:val="30"/>
    </w:rPr>
  </w:style>
  <w:style w:type="character" w:customStyle="1" w:styleId="391">
    <w:name w:val="表文字 Char Char"/>
    <w:link w:val="392"/>
    <w:autoRedefine/>
    <w:qFormat/>
    <w:uiPriority w:val="0"/>
    <w:rPr>
      <w:rFonts w:ascii="仿宋_GB2312" w:hAnsi="宋体" w:eastAsia="仿宋_GB2312" w:cs="Times New Roman"/>
      <w:b/>
      <w:bCs/>
      <w:sz w:val="18"/>
      <w:szCs w:val="18"/>
    </w:rPr>
  </w:style>
  <w:style w:type="paragraph" w:customStyle="1" w:styleId="392">
    <w:name w:val="表文字 Char"/>
    <w:basedOn w:val="1"/>
    <w:link w:val="391"/>
    <w:autoRedefine/>
    <w:qFormat/>
    <w:uiPriority w:val="0"/>
    <w:pPr>
      <w:keepNext/>
      <w:widowControl/>
      <w:spacing w:line="240" w:lineRule="exact"/>
    </w:pPr>
    <w:rPr>
      <w:rFonts w:ascii="仿宋_GB2312" w:hAnsi="宋体" w:eastAsia="仿宋_GB2312"/>
      <w:b/>
      <w:bCs/>
      <w:kern w:val="0"/>
      <w:sz w:val="18"/>
      <w:szCs w:val="18"/>
    </w:rPr>
  </w:style>
  <w:style w:type="character" w:customStyle="1" w:styleId="393">
    <w:name w:val="cauc-0 Char1"/>
    <w:autoRedefine/>
    <w:qFormat/>
    <w:uiPriority w:val="0"/>
    <w:rPr>
      <w:kern w:val="2"/>
      <w:sz w:val="24"/>
      <w:szCs w:val="24"/>
      <w:lang w:val="en-US" w:eastAsia="zh-CN" w:bidi="ar-SA"/>
    </w:rPr>
  </w:style>
  <w:style w:type="character" w:customStyle="1" w:styleId="394">
    <w:name w:val="biaoti1"/>
    <w:autoRedefine/>
    <w:semiHidden/>
    <w:qFormat/>
    <w:uiPriority w:val="0"/>
    <w:rPr>
      <w:b/>
      <w:bCs/>
      <w:color w:val="000099"/>
      <w:sz w:val="24"/>
      <w:szCs w:val="24"/>
    </w:rPr>
  </w:style>
  <w:style w:type="character" w:customStyle="1" w:styleId="395">
    <w:name w:val="样式 样式 首行缩进:  0.85 厘米 + 段前: 0.5 行 Char1"/>
    <w:link w:val="396"/>
    <w:autoRedefine/>
    <w:qFormat/>
    <w:uiPriority w:val="0"/>
    <w:rPr>
      <w:sz w:val="24"/>
    </w:rPr>
  </w:style>
  <w:style w:type="paragraph" w:customStyle="1" w:styleId="396">
    <w:name w:val="样式 样式 首行缩进:  0.85 厘米 + 段前: 0.5 行"/>
    <w:basedOn w:val="1"/>
    <w:link w:val="395"/>
    <w:autoRedefine/>
    <w:qFormat/>
    <w:uiPriority w:val="0"/>
    <w:pPr>
      <w:spacing w:before="50" w:line="360" w:lineRule="auto"/>
      <w:ind w:firstLine="482"/>
    </w:pPr>
    <w:rPr>
      <w:kern w:val="0"/>
      <w:sz w:val="24"/>
      <w:szCs w:val="20"/>
    </w:rPr>
  </w:style>
  <w:style w:type="character" w:customStyle="1" w:styleId="397">
    <w:name w:val="正文文本缩进 22"/>
    <w:autoRedefine/>
    <w:semiHidden/>
    <w:qFormat/>
    <w:uiPriority w:val="0"/>
    <w:rPr>
      <w:rFonts w:ascii="Arial" w:hAnsi="Arial" w:eastAsia="宋体"/>
      <w:kern w:val="2"/>
      <w:sz w:val="24"/>
      <w:szCs w:val="24"/>
      <w:lang w:val="en-US" w:eastAsia="zh-CN" w:bidi="ar-SA"/>
    </w:rPr>
  </w:style>
  <w:style w:type="character" w:customStyle="1" w:styleId="398">
    <w:name w:val="1正文段落 Char Char"/>
    <w:autoRedefine/>
    <w:qFormat/>
    <w:uiPriority w:val="0"/>
    <w:rPr>
      <w:rFonts w:ascii="Times New Roman" w:hAnsi="Times New Roman"/>
      <w:snapToGrid w:val="0"/>
      <w:sz w:val="24"/>
      <w:szCs w:val="24"/>
    </w:rPr>
  </w:style>
  <w:style w:type="character" w:customStyle="1" w:styleId="399">
    <w:name w:val="纯文本 Char"/>
    <w:autoRedefine/>
    <w:qFormat/>
    <w:uiPriority w:val="0"/>
    <w:rPr>
      <w:rFonts w:ascii="宋体" w:hAnsi="Courier New" w:eastAsia="宋体" w:cs="Times New Roman"/>
      <w:kern w:val="0"/>
      <w:sz w:val="28"/>
      <w:szCs w:val="20"/>
      <w:lang w:eastAsia="en-US" w:bidi="en-US"/>
    </w:rPr>
  </w:style>
  <w:style w:type="character" w:customStyle="1" w:styleId="400">
    <w:name w:val="9points1"/>
    <w:autoRedefine/>
    <w:qFormat/>
    <w:uiPriority w:val="0"/>
    <w:rPr>
      <w:rFonts w:hint="default"/>
      <w:color w:val="003366"/>
      <w:spacing w:val="400"/>
      <w:sz w:val="18"/>
      <w:szCs w:val="18"/>
      <w:u w:val="none"/>
    </w:rPr>
  </w:style>
  <w:style w:type="character" w:customStyle="1" w:styleId="401">
    <w:name w:val="报告正文 Char Char"/>
    <w:autoRedefine/>
    <w:qFormat/>
    <w:uiPriority w:val="0"/>
    <w:rPr>
      <w:rFonts w:ascii="Times New Roman" w:hAnsi="Times New Roman"/>
      <w:kern w:val="2"/>
      <w:sz w:val="28"/>
      <w:szCs w:val="28"/>
    </w:rPr>
  </w:style>
  <w:style w:type="character" w:customStyle="1" w:styleId="402">
    <w:name w:val="正文（首行式样2） Char"/>
    <w:link w:val="403"/>
    <w:autoRedefine/>
    <w:qFormat/>
    <w:uiPriority w:val="0"/>
    <w:rPr>
      <w:rFonts w:ascii="宋体" w:hAnsi="宋体" w:eastAsia="宋体" w:cs="Times New Roman"/>
      <w:color w:val="000000"/>
      <w:sz w:val="24"/>
      <w:szCs w:val="24"/>
    </w:rPr>
  </w:style>
  <w:style w:type="paragraph" w:customStyle="1" w:styleId="403">
    <w:name w:val="正文（首行式样2）"/>
    <w:basedOn w:val="18"/>
    <w:link w:val="402"/>
    <w:autoRedefine/>
    <w:qFormat/>
    <w:uiPriority w:val="0"/>
    <w:pPr>
      <w:snapToGrid w:val="0"/>
      <w:spacing w:line="360" w:lineRule="auto"/>
      <w:ind w:right="-13" w:rightChars="-6" w:firstLine="526" w:firstLineChars="219"/>
    </w:pPr>
    <w:rPr>
      <w:rFonts w:ascii="宋体" w:hAnsi="宋体"/>
      <w:color w:val="000000"/>
      <w:sz w:val="24"/>
    </w:rPr>
  </w:style>
  <w:style w:type="character" w:customStyle="1" w:styleId="404">
    <w:name w:val="样式 样式 正文文本 + 首行缩进:  2 字符 + 宋体 首行缩进:  2 字符 Char"/>
    <w:link w:val="405"/>
    <w:autoRedefine/>
    <w:qFormat/>
    <w:uiPriority w:val="0"/>
    <w:rPr>
      <w:rFonts w:ascii="Times New Roman" w:hAnsi="Times New Roman" w:eastAsia="宋体" w:cs="Times New Roman"/>
      <w:color w:val="FF0000"/>
      <w:sz w:val="24"/>
      <w:szCs w:val="24"/>
    </w:rPr>
  </w:style>
  <w:style w:type="paragraph" w:customStyle="1" w:styleId="405">
    <w:name w:val="样式 样式 正文文本 + 首行缩进:  2 字符 + 宋体 首行缩进:  2 字符"/>
    <w:basedOn w:val="372"/>
    <w:link w:val="404"/>
    <w:autoRedefine/>
    <w:qFormat/>
    <w:uiPriority w:val="0"/>
    <w:pPr>
      <w:ind w:firstLine="480"/>
    </w:pPr>
  </w:style>
  <w:style w:type="character" w:customStyle="1" w:styleId="406">
    <w:name w:val="表头标题格式 Char Char"/>
    <w:autoRedefine/>
    <w:qFormat/>
    <w:uiPriority w:val="0"/>
    <w:rPr>
      <w:rFonts w:ascii="黑体" w:hAnsi="宋体" w:eastAsia="黑体" w:cs="宋体"/>
      <w:b/>
      <w:bCs/>
      <w:kern w:val="2"/>
      <w:sz w:val="24"/>
    </w:rPr>
  </w:style>
  <w:style w:type="character" w:customStyle="1" w:styleId="407">
    <w:name w:val="正文-ls Char Char"/>
    <w:autoRedefine/>
    <w:qFormat/>
    <w:uiPriority w:val="0"/>
    <w:rPr>
      <w:rFonts w:ascii="Times New Roman" w:hAnsi="宋体" w:cs="宋体"/>
      <w:kern w:val="2"/>
      <w:sz w:val="24"/>
    </w:rPr>
  </w:style>
  <w:style w:type="character" w:customStyle="1" w:styleId="408">
    <w:name w:val="t_tag"/>
    <w:autoRedefine/>
    <w:qFormat/>
    <w:uiPriority w:val="0"/>
  </w:style>
  <w:style w:type="character" w:customStyle="1" w:styleId="409">
    <w:name w:val="样式 标题 3 + 宋体 Char Char Char"/>
    <w:link w:val="410"/>
    <w:autoRedefine/>
    <w:qFormat/>
    <w:uiPriority w:val="0"/>
    <w:rPr>
      <w:rFonts w:ascii="Times New Roman" w:hAnsi="Times New Roman" w:eastAsia="宋体" w:cs="Times New Roman"/>
      <w:b/>
      <w:bCs/>
      <w:sz w:val="32"/>
      <w:szCs w:val="32"/>
    </w:rPr>
  </w:style>
  <w:style w:type="paragraph" w:customStyle="1" w:styleId="410">
    <w:name w:val="样式 标题 3 + 宋体 Char Char"/>
    <w:basedOn w:val="4"/>
    <w:link w:val="409"/>
    <w:autoRedefine/>
    <w:qFormat/>
    <w:uiPriority w:val="0"/>
    <w:pPr>
      <w:spacing w:before="200" w:after="0" w:line="420" w:lineRule="auto"/>
    </w:pPr>
    <w:rPr>
      <w:sz w:val="32"/>
    </w:rPr>
  </w:style>
  <w:style w:type="character" w:customStyle="1" w:styleId="411">
    <w:name w:val="样式 纯文本表格内容纯文本 Char普通文字加粗正文普通文字 Char Char普通文字 Char Char Cha...3 Char Char"/>
    <w:autoRedefine/>
    <w:qFormat/>
    <w:uiPriority w:val="0"/>
    <w:rPr>
      <w:rFonts w:ascii="楷体_GB2312" w:hAnsi="楷体_GB2312" w:eastAsia="楷体_GB2312" w:cs="楷体_GB2312"/>
      <w:kern w:val="2"/>
      <w:sz w:val="24"/>
      <w:szCs w:val="24"/>
    </w:rPr>
  </w:style>
  <w:style w:type="character" w:customStyle="1" w:styleId="412">
    <w:name w:val="样式 5 + 首行缩进:  2 字符 Char"/>
    <w:link w:val="413"/>
    <w:autoRedefine/>
    <w:qFormat/>
    <w:uiPriority w:val="0"/>
    <w:rPr>
      <w:rFonts w:ascii="楷体_GB2312" w:hAnsi="宋体" w:eastAsia="楷体_GB2312" w:cs="宋体"/>
      <w:color w:val="000000"/>
      <w:spacing w:val="-2"/>
      <w:sz w:val="30"/>
      <w:szCs w:val="30"/>
    </w:rPr>
  </w:style>
  <w:style w:type="paragraph" w:customStyle="1" w:styleId="413">
    <w:name w:val="样式 5 + 首行缩进:  2 字符"/>
    <w:basedOn w:val="1"/>
    <w:link w:val="412"/>
    <w:autoRedefine/>
    <w:qFormat/>
    <w:uiPriority w:val="0"/>
    <w:pPr>
      <w:ind w:firstLine="592" w:firstLineChars="200"/>
    </w:pPr>
    <w:rPr>
      <w:rFonts w:ascii="楷体_GB2312" w:hAnsi="宋体" w:eastAsia="楷体_GB2312"/>
      <w:color w:val="000000"/>
      <w:spacing w:val="-2"/>
      <w:kern w:val="0"/>
      <w:sz w:val="30"/>
      <w:szCs w:val="30"/>
    </w:rPr>
  </w:style>
  <w:style w:type="character" w:customStyle="1" w:styleId="414">
    <w:name w:val="样式 样式 表格 + (符号) 宋体 五号 居中 + 小五 Char"/>
    <w:link w:val="415"/>
    <w:autoRedefine/>
    <w:qFormat/>
    <w:uiPriority w:val="0"/>
    <w:rPr>
      <w:rFonts w:ascii="Times New Roman" w:hAnsi="Times New Roman" w:eastAsia="宋体" w:cs="Times New Roman"/>
      <w:snapToGrid w:val="0"/>
      <w:kern w:val="0"/>
      <w:sz w:val="18"/>
      <w:szCs w:val="21"/>
    </w:rPr>
  </w:style>
  <w:style w:type="paragraph" w:customStyle="1" w:styleId="415">
    <w:name w:val="样式 样式 表格 + (符号) 宋体 五号 居中 + 小五"/>
    <w:basedOn w:val="1"/>
    <w:link w:val="414"/>
    <w:autoRedefine/>
    <w:qFormat/>
    <w:uiPriority w:val="0"/>
    <w:pPr>
      <w:kinsoku w:val="0"/>
      <w:overflowPunct w:val="0"/>
      <w:adjustRightInd w:val="0"/>
      <w:snapToGrid w:val="0"/>
      <w:jc w:val="center"/>
    </w:pPr>
    <w:rPr>
      <w:snapToGrid w:val="0"/>
      <w:kern w:val="0"/>
      <w:sz w:val="18"/>
      <w:szCs w:val="21"/>
    </w:rPr>
  </w:style>
  <w:style w:type="character" w:customStyle="1" w:styleId="416">
    <w:name w:val="纯文本 Char2"/>
    <w:autoRedefine/>
    <w:qFormat/>
    <w:uiPriority w:val="0"/>
    <w:rPr>
      <w:rFonts w:ascii="宋体" w:hAnsi="Courier New" w:eastAsia="仿宋_GB2312"/>
      <w:kern w:val="2"/>
      <w:sz w:val="24"/>
      <w:lang w:val="en-US" w:eastAsia="zh-CN" w:bidi="ar-SA"/>
    </w:rPr>
  </w:style>
  <w:style w:type="character" w:customStyle="1" w:styleId="417">
    <w:name w:val="样式 样式 标题 2 + 楷体_GB2312 + 字距调整三号 Char"/>
    <w:link w:val="418"/>
    <w:autoRedefine/>
    <w:qFormat/>
    <w:uiPriority w:val="0"/>
    <w:rPr>
      <w:rFonts w:ascii="楷体_GB2312" w:hAnsi="楷体_GB2312" w:eastAsia="楷体_GB2312" w:cs="Times New Roman"/>
      <w:b/>
      <w:bCs/>
      <w:kern w:val="32"/>
      <w:sz w:val="30"/>
      <w:szCs w:val="30"/>
    </w:rPr>
  </w:style>
  <w:style w:type="paragraph" w:customStyle="1" w:styleId="418">
    <w:name w:val="样式 样式 标题 2 + 楷体_GB2312 + 字距调整三号"/>
    <w:basedOn w:val="317"/>
    <w:link w:val="417"/>
    <w:autoRedefine/>
    <w:qFormat/>
    <w:uiPriority w:val="0"/>
    <w:rPr>
      <w:kern w:val="32"/>
      <w:szCs w:val="30"/>
    </w:rPr>
  </w:style>
  <w:style w:type="character" w:customStyle="1" w:styleId="419">
    <w:name w:val="标题1！！！！！！！！！！！！ Char"/>
    <w:autoRedefine/>
    <w:qFormat/>
    <w:uiPriority w:val="0"/>
    <w:rPr>
      <w:rFonts w:ascii="楷体_GB2312" w:hAnsi="楷体_GB2312" w:eastAsia="楷体_GB2312" w:cs="楷体_GB2312"/>
      <w:b/>
      <w:color w:val="000000"/>
      <w:spacing w:val="5"/>
      <w:kern w:val="44"/>
      <w:sz w:val="32"/>
      <w:szCs w:val="32"/>
      <w:lang w:val="zh-CN"/>
    </w:rPr>
  </w:style>
  <w:style w:type="character" w:customStyle="1" w:styleId="420">
    <w:name w:val="样式 居中 首行缩进:  0 字符 Char Char Char"/>
    <w:link w:val="421"/>
    <w:autoRedefine/>
    <w:qFormat/>
    <w:uiPriority w:val="0"/>
    <w:rPr>
      <w:rFonts w:ascii="宋体" w:hAnsi="宋体" w:eastAsia="宋体" w:cs="Times New Roman"/>
      <w:color w:val="000000"/>
      <w:sz w:val="18"/>
      <w:szCs w:val="18"/>
    </w:rPr>
  </w:style>
  <w:style w:type="paragraph" w:customStyle="1" w:styleId="421">
    <w:name w:val="样式 居中 首行缩进:  0 字符 Char Char"/>
    <w:basedOn w:val="1"/>
    <w:next w:val="1"/>
    <w:link w:val="420"/>
    <w:autoRedefine/>
    <w:qFormat/>
    <w:uiPriority w:val="0"/>
    <w:pPr>
      <w:tabs>
        <w:tab w:val="left" w:pos="9128"/>
      </w:tabs>
      <w:snapToGrid w:val="0"/>
      <w:jc w:val="center"/>
    </w:pPr>
    <w:rPr>
      <w:rFonts w:ascii="宋体" w:hAnsi="宋体"/>
      <w:color w:val="000000"/>
      <w:kern w:val="0"/>
      <w:sz w:val="18"/>
      <w:szCs w:val="18"/>
    </w:rPr>
  </w:style>
  <w:style w:type="character" w:customStyle="1" w:styleId="422">
    <w:name w:val="表后空格 Char"/>
    <w:link w:val="423"/>
    <w:autoRedefine/>
    <w:qFormat/>
    <w:uiPriority w:val="0"/>
  </w:style>
  <w:style w:type="paragraph" w:customStyle="1" w:styleId="423">
    <w:name w:val="表后空格"/>
    <w:basedOn w:val="202"/>
    <w:link w:val="422"/>
    <w:autoRedefine/>
    <w:qFormat/>
    <w:uiPriority w:val="0"/>
    <w:pPr>
      <w:spacing w:line="240" w:lineRule="exact"/>
      <w:ind w:firstLine="480"/>
    </w:pPr>
  </w:style>
  <w:style w:type="character" w:customStyle="1" w:styleId="424">
    <w:name w:val="标题4！！！！！ Char"/>
    <w:link w:val="425"/>
    <w:autoRedefine/>
    <w:qFormat/>
    <w:uiPriority w:val="0"/>
    <w:rPr>
      <w:rFonts w:ascii="楷体_GB2312" w:hAnsi="楷体_GB2312" w:eastAsia="楷体_GB2312" w:cs="宋体"/>
      <w:b/>
      <w:sz w:val="24"/>
      <w:szCs w:val="24"/>
    </w:rPr>
  </w:style>
  <w:style w:type="paragraph" w:customStyle="1" w:styleId="425">
    <w:name w:val="标题4！！！！！"/>
    <w:basedOn w:val="202"/>
    <w:link w:val="424"/>
    <w:autoRedefine/>
    <w:qFormat/>
    <w:uiPriority w:val="0"/>
    <w:pPr>
      <w:ind w:firstLine="0" w:firstLineChars="0"/>
    </w:pPr>
    <w:rPr>
      <w:b/>
    </w:rPr>
  </w:style>
  <w:style w:type="character" w:customStyle="1" w:styleId="426">
    <w:name w:val="正文样式 Char Char"/>
    <w:autoRedefine/>
    <w:qFormat/>
    <w:uiPriority w:val="0"/>
    <w:rPr>
      <w:rFonts w:ascii="楷体_GB2312" w:hAnsi="Times New Roman" w:eastAsia="楷体_GB2312" w:cs="宋体"/>
      <w:kern w:val="2"/>
      <w:sz w:val="24"/>
      <w:szCs w:val="24"/>
    </w:rPr>
  </w:style>
  <w:style w:type="character" w:customStyle="1" w:styleId="427">
    <w:name w:val="表格 Char"/>
    <w:link w:val="428"/>
    <w:autoRedefine/>
    <w:qFormat/>
    <w:uiPriority w:val="0"/>
    <w:rPr>
      <w:rFonts w:ascii="宋体" w:hAnsi="宋体" w:eastAsia="宋体" w:cs="宋体"/>
      <w:kern w:val="0"/>
      <w:sz w:val="24"/>
      <w:szCs w:val="21"/>
    </w:rPr>
  </w:style>
  <w:style w:type="paragraph" w:customStyle="1" w:styleId="428">
    <w:name w:val="表格"/>
    <w:basedOn w:val="59"/>
    <w:next w:val="1"/>
    <w:link w:val="427"/>
    <w:autoRedefine/>
    <w:qFormat/>
    <w:uiPriority w:val="0"/>
    <w:pPr>
      <w:widowControl/>
      <w:jc w:val="center"/>
    </w:pPr>
    <w:rPr>
      <w:rFonts w:ascii="宋体" w:hAnsi="宋体"/>
      <w:kern w:val="0"/>
      <w:sz w:val="24"/>
      <w:szCs w:val="21"/>
    </w:rPr>
  </w:style>
  <w:style w:type="paragraph" w:customStyle="1" w:styleId="429">
    <w:name w:val="专用表格"/>
    <w:basedOn w:val="1"/>
    <w:autoRedefine/>
    <w:qFormat/>
    <w:uiPriority w:val="0"/>
    <w:pPr>
      <w:spacing w:line="240" w:lineRule="auto"/>
      <w:ind w:firstLine="0" w:firstLineChars="0"/>
      <w:jc w:val="center"/>
    </w:pPr>
    <w:rPr>
      <w:rFonts w:ascii="Times New Roman" w:hAnsi="Times New Roman" w:eastAsia="宋体" w:cs="Times New Roman"/>
      <w:color w:val="auto"/>
      <w:sz w:val="21"/>
      <w:szCs w:val="21"/>
    </w:rPr>
  </w:style>
  <w:style w:type="character" w:customStyle="1" w:styleId="430">
    <w:name w:val="Char Char Char2"/>
    <w:autoRedefine/>
    <w:qFormat/>
    <w:uiPriority w:val="0"/>
    <w:rPr>
      <w:rFonts w:ascii="黑体" w:hAnsi="宋体" w:eastAsia="黑体"/>
      <w:b/>
      <w:sz w:val="44"/>
      <w:szCs w:val="44"/>
      <w:lang w:val="en-US" w:eastAsia="zh-CN" w:bidi="ar-SA"/>
    </w:rPr>
  </w:style>
  <w:style w:type="character" w:customStyle="1" w:styleId="431">
    <w:name w:val="样式 居中 首行缩进:  0 字符 Char"/>
    <w:link w:val="432"/>
    <w:autoRedefine/>
    <w:qFormat/>
    <w:locked/>
    <w:uiPriority w:val="0"/>
    <w:rPr>
      <w:rFonts w:ascii="Times New Roman" w:hAnsi="Times New Roman" w:eastAsia="仿宋_GB2312" w:cs="Times New Roman"/>
      <w:szCs w:val="20"/>
    </w:rPr>
  </w:style>
  <w:style w:type="paragraph" w:customStyle="1" w:styleId="432">
    <w:name w:val="样式 居中 首行缩进:  0 字符"/>
    <w:basedOn w:val="1"/>
    <w:next w:val="1"/>
    <w:link w:val="431"/>
    <w:autoRedefine/>
    <w:qFormat/>
    <w:uiPriority w:val="0"/>
    <w:pPr>
      <w:tabs>
        <w:tab w:val="left" w:pos="9128"/>
      </w:tabs>
      <w:spacing w:line="500" w:lineRule="exact"/>
      <w:jc w:val="center"/>
    </w:pPr>
    <w:rPr>
      <w:rFonts w:eastAsia="仿宋_GB2312"/>
      <w:kern w:val="0"/>
      <w:sz w:val="20"/>
      <w:szCs w:val="20"/>
    </w:rPr>
  </w:style>
  <w:style w:type="character" w:customStyle="1" w:styleId="433">
    <w:name w:val="样式 标题 2标题 2 Char Char节标题标题 2 Char1节1标题 2 Char标题 2 Char Ch... Char"/>
    <w:link w:val="434"/>
    <w:autoRedefine/>
    <w:qFormat/>
    <w:uiPriority w:val="0"/>
    <w:rPr>
      <w:rFonts w:ascii="宋体" w:hAnsi="宋体" w:eastAsia="宋体" w:cs="Times New Roman"/>
      <w:bCs/>
      <w:color w:val="FF0000"/>
      <w:sz w:val="24"/>
      <w:szCs w:val="24"/>
    </w:rPr>
  </w:style>
  <w:style w:type="paragraph" w:customStyle="1" w:styleId="434">
    <w:name w:val="样式 标题 2标题 2 Char Char节标题标题 2 Char1节1标题 2 Char标题 2 Char Ch..."/>
    <w:basedOn w:val="3"/>
    <w:link w:val="433"/>
    <w:autoRedefine/>
    <w:qFormat/>
    <w:uiPriority w:val="0"/>
    <w:pPr>
      <w:spacing w:before="100" w:beforeAutospacing="1" w:after="100" w:afterAutospacing="1" w:line="360" w:lineRule="auto"/>
      <w:ind w:firstLine="240"/>
      <w:jc w:val="left"/>
    </w:pPr>
    <w:rPr>
      <w:rFonts w:ascii="宋体" w:hAnsi="宋体"/>
      <w:b w:val="0"/>
      <w:bCs/>
      <w:color w:val="FF0000"/>
      <w:sz w:val="24"/>
      <w:szCs w:val="24"/>
    </w:rPr>
  </w:style>
  <w:style w:type="character" w:customStyle="1" w:styleId="435">
    <w:name w:val="样式1 Char1"/>
    <w:autoRedefine/>
    <w:qFormat/>
    <w:uiPriority w:val="0"/>
    <w:rPr>
      <w:rFonts w:eastAsia="宋体"/>
      <w:bCs/>
      <w:kern w:val="2"/>
      <w:sz w:val="24"/>
      <w:lang w:val="en-US" w:eastAsia="zh-CN" w:bidi="ar-SA"/>
    </w:rPr>
  </w:style>
  <w:style w:type="character" w:customStyle="1" w:styleId="436">
    <w:name w:val="正文文字 Char Char"/>
    <w:autoRedefine/>
    <w:qFormat/>
    <w:uiPriority w:val="0"/>
    <w:rPr>
      <w:rFonts w:eastAsia="宋体"/>
      <w:kern w:val="2"/>
      <w:sz w:val="26"/>
      <w:szCs w:val="26"/>
      <w:lang w:val="en-US" w:eastAsia="zh-CN" w:bidi="ar-SA"/>
    </w:rPr>
  </w:style>
  <w:style w:type="character" w:customStyle="1" w:styleId="437">
    <w:name w:val="★正文缩进2字符 Char Char"/>
    <w:autoRedefine/>
    <w:qFormat/>
    <w:uiPriority w:val="0"/>
    <w:rPr>
      <w:rFonts w:ascii="Times New Roman" w:hAnsi="Times New Roman" w:eastAsia="宋体" w:cs="Times New Roman"/>
      <w:color w:val="000000"/>
      <w:kern w:val="0"/>
      <w:sz w:val="22"/>
      <w:lang w:val="en-GB" w:eastAsia="en-US" w:bidi="en-US"/>
    </w:rPr>
  </w:style>
  <w:style w:type="character" w:customStyle="1" w:styleId="438">
    <w:name w:val="正文（首行缩进两字） Char Char Char"/>
    <w:autoRedefine/>
    <w:qFormat/>
    <w:uiPriority w:val="0"/>
    <w:rPr>
      <w:rFonts w:ascii="Arial" w:hAnsi="Arial" w:eastAsia="宋体"/>
      <w:kern w:val="2"/>
      <w:sz w:val="24"/>
      <w:szCs w:val="24"/>
      <w:lang w:val="en-US" w:eastAsia="zh-CN" w:bidi="ar-SA"/>
    </w:rPr>
  </w:style>
  <w:style w:type="character" w:customStyle="1" w:styleId="439">
    <w:name w:val="正文(首行缩进) Char Char Char Char"/>
    <w:link w:val="440"/>
    <w:autoRedefine/>
    <w:qFormat/>
    <w:uiPriority w:val="0"/>
    <w:rPr>
      <w:rFonts w:ascii="Times New Roman" w:hAnsi="Times New Roman" w:eastAsia="宋体" w:cs="Times New Roman"/>
      <w:snapToGrid w:val="0"/>
      <w:sz w:val="24"/>
      <w:szCs w:val="24"/>
    </w:rPr>
  </w:style>
  <w:style w:type="paragraph" w:customStyle="1" w:styleId="440">
    <w:name w:val="正文(首行缩进) Char Char Char"/>
    <w:basedOn w:val="1"/>
    <w:link w:val="439"/>
    <w:autoRedefine/>
    <w:qFormat/>
    <w:uiPriority w:val="0"/>
    <w:pPr>
      <w:spacing w:line="360" w:lineRule="auto"/>
      <w:ind w:firstLine="480" w:firstLineChars="200"/>
    </w:pPr>
    <w:rPr>
      <w:snapToGrid w:val="0"/>
      <w:kern w:val="0"/>
      <w:sz w:val="24"/>
      <w:szCs w:val="24"/>
    </w:rPr>
  </w:style>
  <w:style w:type="character" w:customStyle="1" w:styleId="441">
    <w:name w:val="样式 首行缩进:  2 字符 Char"/>
    <w:link w:val="442"/>
    <w:autoRedefine/>
    <w:qFormat/>
    <w:uiPriority w:val="0"/>
    <w:rPr>
      <w:rFonts w:ascii="Times New Roman" w:hAnsi="Times New Roman" w:eastAsia="仿宋_GB2312" w:cs="Times New Roman"/>
      <w:sz w:val="24"/>
      <w:szCs w:val="20"/>
    </w:rPr>
  </w:style>
  <w:style w:type="paragraph" w:customStyle="1" w:styleId="442">
    <w:name w:val="样式 首行缩进:  2 字符"/>
    <w:basedOn w:val="1"/>
    <w:link w:val="441"/>
    <w:autoRedefine/>
    <w:qFormat/>
    <w:uiPriority w:val="0"/>
    <w:pPr>
      <w:spacing w:line="520" w:lineRule="exact"/>
      <w:ind w:firstLine="200" w:firstLineChars="200"/>
    </w:pPr>
    <w:rPr>
      <w:rFonts w:eastAsia="仿宋_GB2312"/>
      <w:kern w:val="0"/>
      <w:sz w:val="24"/>
      <w:szCs w:val="20"/>
    </w:rPr>
  </w:style>
  <w:style w:type="character" w:customStyle="1" w:styleId="443">
    <w:name w:val="headline-content2"/>
    <w:autoRedefine/>
    <w:qFormat/>
    <w:uiPriority w:val="0"/>
  </w:style>
  <w:style w:type="character" w:customStyle="1" w:styleId="444">
    <w:name w:val="正文(首行缩进) Char1"/>
    <w:autoRedefine/>
    <w:qFormat/>
    <w:uiPriority w:val="0"/>
    <w:rPr>
      <w:rFonts w:ascii="宋体" w:hAnsi="宋体"/>
      <w:snapToGrid w:val="0"/>
      <w:color w:val="000000"/>
      <w:sz w:val="24"/>
      <w:szCs w:val="24"/>
    </w:rPr>
  </w:style>
  <w:style w:type="character" w:customStyle="1" w:styleId="445">
    <w:name w:val="unnamed11"/>
    <w:autoRedefine/>
    <w:qFormat/>
    <w:uiPriority w:val="0"/>
    <w:rPr>
      <w:color w:val="000033"/>
      <w:sz w:val="21"/>
      <w:szCs w:val="21"/>
    </w:rPr>
  </w:style>
  <w:style w:type="character" w:customStyle="1" w:styleId="446">
    <w:name w:val="a1"/>
    <w:autoRedefine/>
    <w:qFormat/>
    <w:uiPriority w:val="0"/>
    <w:rPr>
      <w:rFonts w:hint="eastAsia" w:ascii="宋体" w:hAnsi="宋体" w:eastAsia="宋体"/>
      <w:color w:val="000000"/>
      <w:spacing w:val="360"/>
      <w:sz w:val="18"/>
      <w:szCs w:val="18"/>
    </w:rPr>
  </w:style>
  <w:style w:type="character" w:customStyle="1" w:styleId="447">
    <w:name w:val="个人答复风格"/>
    <w:autoRedefine/>
    <w:qFormat/>
    <w:uiPriority w:val="0"/>
    <w:rPr>
      <w:rFonts w:ascii="Arial" w:hAnsi="Arial" w:eastAsia="宋体" w:cs="Arial"/>
      <w:color w:val="auto"/>
      <w:sz w:val="20"/>
    </w:rPr>
  </w:style>
  <w:style w:type="character" w:customStyle="1" w:styleId="448">
    <w:name w:val="标题 1 Char1"/>
    <w:autoRedefine/>
    <w:qFormat/>
    <w:uiPriority w:val="0"/>
    <w:rPr>
      <w:rFonts w:ascii="Times New Roman" w:hAnsi="Times New Roman" w:eastAsia="宋体" w:cs="Times New Roman"/>
      <w:b/>
      <w:kern w:val="44"/>
      <w:sz w:val="32"/>
      <w:szCs w:val="20"/>
    </w:rPr>
  </w:style>
  <w:style w:type="character" w:customStyle="1" w:styleId="449">
    <w:name w:val="样式1.1.1三级标题 Char"/>
    <w:link w:val="450"/>
    <w:autoRedefine/>
    <w:qFormat/>
    <w:uiPriority w:val="0"/>
    <w:rPr>
      <w:rFonts w:ascii="宋体" w:hAnsi="Times New Roman" w:eastAsia="宋体" w:cs="Times New Roman"/>
      <w:b/>
      <w:sz w:val="28"/>
      <w:szCs w:val="20"/>
    </w:rPr>
  </w:style>
  <w:style w:type="paragraph" w:customStyle="1" w:styleId="450">
    <w:name w:val="样式1.1.1三级标题"/>
    <w:basedOn w:val="1"/>
    <w:next w:val="1"/>
    <w:link w:val="449"/>
    <w:autoRedefine/>
    <w:qFormat/>
    <w:uiPriority w:val="0"/>
    <w:pPr>
      <w:spacing w:line="360" w:lineRule="auto"/>
      <w:outlineLvl w:val="2"/>
    </w:pPr>
    <w:rPr>
      <w:rFonts w:ascii="宋体"/>
      <w:b/>
      <w:kern w:val="0"/>
      <w:sz w:val="28"/>
      <w:szCs w:val="20"/>
    </w:rPr>
  </w:style>
  <w:style w:type="character" w:customStyle="1" w:styleId="451">
    <w:name w:val="样式 仿宋_GB2312 小四 黑色"/>
    <w:autoRedefine/>
    <w:semiHidden/>
    <w:qFormat/>
    <w:uiPriority w:val="0"/>
    <w:rPr>
      <w:rFonts w:ascii="Times New Roman" w:hAnsi="Times New Roman" w:eastAsia="仿宋_GB2312" w:cs="Courier New"/>
      <w:color w:val="000000"/>
      <w:kern w:val="2"/>
      <w:sz w:val="24"/>
      <w:szCs w:val="24"/>
      <w:lang w:val="en-US" w:eastAsia="zh-CN" w:bidi="ar-SA"/>
    </w:rPr>
  </w:style>
  <w:style w:type="character" w:customStyle="1" w:styleId="452">
    <w:name w:val="grame"/>
    <w:autoRedefine/>
    <w:qFormat/>
    <w:uiPriority w:val="0"/>
  </w:style>
  <w:style w:type="character" w:customStyle="1" w:styleId="453">
    <w:name w:val="段落 Char1 Char Char Char Char Char Char Char"/>
    <w:link w:val="454"/>
    <w:autoRedefine/>
    <w:qFormat/>
    <w:uiPriority w:val="0"/>
    <w:rPr>
      <w:rFonts w:ascii="Times New Roman" w:hAnsi="Times New Roman" w:eastAsia="宋体" w:cs="Times New Roman"/>
      <w:color w:val="000000"/>
      <w:kern w:val="24"/>
      <w:sz w:val="24"/>
      <w:szCs w:val="24"/>
    </w:rPr>
  </w:style>
  <w:style w:type="paragraph" w:customStyle="1" w:styleId="454">
    <w:name w:val="段落 Char1 Char Char Char Char Char Char"/>
    <w:basedOn w:val="1"/>
    <w:link w:val="453"/>
    <w:autoRedefine/>
    <w:qFormat/>
    <w:uiPriority w:val="0"/>
    <w:pPr>
      <w:tabs>
        <w:tab w:val="left" w:pos="1021"/>
      </w:tabs>
      <w:spacing w:line="326" w:lineRule="auto"/>
      <w:ind w:firstLine="480" w:firstLineChars="200"/>
    </w:pPr>
    <w:rPr>
      <w:color w:val="000000"/>
      <w:kern w:val="24"/>
      <w:sz w:val="24"/>
      <w:szCs w:val="24"/>
    </w:rPr>
  </w:style>
  <w:style w:type="character" w:customStyle="1" w:styleId="455">
    <w:name w:val="标题 1 Char Char"/>
    <w:autoRedefine/>
    <w:qFormat/>
    <w:uiPriority w:val="0"/>
    <w:rPr>
      <w:b/>
      <w:bCs/>
      <w:kern w:val="44"/>
      <w:sz w:val="44"/>
      <w:szCs w:val="44"/>
    </w:rPr>
  </w:style>
  <w:style w:type="character" w:customStyle="1" w:styleId="456">
    <w:name w:val="hottext"/>
    <w:autoRedefine/>
    <w:qFormat/>
    <w:uiPriority w:val="0"/>
  </w:style>
  <w:style w:type="character" w:customStyle="1" w:styleId="457">
    <w:name w:val="正文（首行缩进两字）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kern w:val="2"/>
      <w:sz w:val="24"/>
      <w:lang w:val="en-US" w:eastAsia="zh-CN" w:bidi="ar-SA"/>
    </w:rPr>
  </w:style>
  <w:style w:type="character" w:customStyle="1" w:styleId="458">
    <w:name w:val="Char Char9"/>
    <w:autoRedefine/>
    <w:semiHidden/>
    <w:qFormat/>
    <w:uiPriority w:val="0"/>
    <w:rPr>
      <w:rFonts w:eastAsia="宋体"/>
      <w:kern w:val="2"/>
      <w:sz w:val="21"/>
      <w:szCs w:val="21"/>
      <w:lang w:val="en-US" w:eastAsia="zh-CN" w:bidi="ar-SA"/>
    </w:rPr>
  </w:style>
  <w:style w:type="character" w:customStyle="1" w:styleId="459">
    <w:name w:val="s"/>
    <w:autoRedefine/>
    <w:qFormat/>
    <w:uiPriority w:val="0"/>
  </w:style>
  <w:style w:type="character" w:customStyle="1" w:styleId="460">
    <w:name w:val="正文-ls Char"/>
    <w:link w:val="461"/>
    <w:autoRedefine/>
    <w:qFormat/>
    <w:uiPriority w:val="0"/>
    <w:rPr>
      <w:rFonts w:ascii="Times New Roman" w:hAnsi="宋体" w:eastAsia="宋体" w:cs="宋体"/>
      <w:sz w:val="24"/>
      <w:szCs w:val="20"/>
    </w:rPr>
  </w:style>
  <w:style w:type="paragraph" w:customStyle="1" w:styleId="461">
    <w:name w:val="正文-ls"/>
    <w:basedOn w:val="1"/>
    <w:link w:val="460"/>
    <w:autoRedefine/>
    <w:qFormat/>
    <w:uiPriority w:val="0"/>
    <w:pPr>
      <w:spacing w:line="360" w:lineRule="auto"/>
      <w:ind w:firstLine="200" w:firstLineChars="200"/>
    </w:pPr>
    <w:rPr>
      <w:rFonts w:hAnsi="宋体"/>
      <w:kern w:val="0"/>
      <w:sz w:val="24"/>
      <w:szCs w:val="20"/>
    </w:rPr>
  </w:style>
  <w:style w:type="character" w:customStyle="1" w:styleId="462">
    <w:name w:val="标题2 Char Char"/>
    <w:autoRedefine/>
    <w:qFormat/>
    <w:uiPriority w:val="0"/>
    <w:rPr>
      <w:rFonts w:ascii="宋体" w:hAnsi="Courier New" w:eastAsia="黑体" w:cs="Courier New"/>
      <w:b/>
      <w:bCs/>
      <w:spacing w:val="8"/>
      <w:kern w:val="2"/>
      <w:sz w:val="30"/>
      <w:szCs w:val="21"/>
      <w:lang w:val="en-US" w:eastAsia="zh-CN" w:bidi="ar-SA"/>
    </w:rPr>
  </w:style>
  <w:style w:type="character" w:customStyle="1" w:styleId="463">
    <w:name w:val="123YJ Char Char"/>
    <w:autoRedefine/>
    <w:qFormat/>
    <w:uiPriority w:val="0"/>
    <w:rPr>
      <w:rFonts w:ascii="Calibri" w:hAnsi="Calibri" w:eastAsia="宋体"/>
      <w:kern w:val="2"/>
      <w:sz w:val="18"/>
      <w:szCs w:val="18"/>
      <w:lang w:bidi="ar-SA"/>
    </w:rPr>
  </w:style>
  <w:style w:type="character" w:customStyle="1" w:styleId="464">
    <w:name w:val="题注 Char Char Char Char"/>
    <w:autoRedefine/>
    <w:qFormat/>
    <w:uiPriority w:val="0"/>
    <w:rPr>
      <w:rFonts w:ascii="Arial" w:hAnsi="Arial" w:eastAsia="黑体" w:cs="Arial"/>
      <w:kern w:val="2"/>
    </w:rPr>
  </w:style>
  <w:style w:type="character" w:customStyle="1" w:styleId="465">
    <w:name w:val="文本_zxj Char"/>
    <w:link w:val="466"/>
    <w:autoRedefine/>
    <w:qFormat/>
    <w:uiPriority w:val="0"/>
    <w:rPr>
      <w:rFonts w:ascii="Times New Roman" w:hAnsi="Times New Roman" w:eastAsia="宋体" w:cs="Times New Roman"/>
      <w:sz w:val="28"/>
      <w:szCs w:val="20"/>
    </w:rPr>
  </w:style>
  <w:style w:type="paragraph" w:customStyle="1" w:styleId="466">
    <w:name w:val="文本_zxj"/>
    <w:basedOn w:val="1"/>
    <w:link w:val="465"/>
    <w:autoRedefine/>
    <w:qFormat/>
    <w:uiPriority w:val="0"/>
    <w:pPr>
      <w:spacing w:line="360" w:lineRule="auto"/>
      <w:ind w:firstLine="560"/>
    </w:pPr>
    <w:rPr>
      <w:kern w:val="0"/>
      <w:sz w:val="28"/>
      <w:szCs w:val="20"/>
    </w:rPr>
  </w:style>
  <w:style w:type="character" w:customStyle="1" w:styleId="467">
    <w:name w:val="表格标题 Char"/>
    <w:autoRedefine/>
    <w:qFormat/>
    <w:uiPriority w:val="0"/>
    <w:rPr>
      <w:sz w:val="21"/>
    </w:rPr>
  </w:style>
  <w:style w:type="character" w:customStyle="1" w:styleId="468">
    <w:name w:val="Char Char19"/>
    <w:autoRedefine/>
    <w:qFormat/>
    <w:uiPriority w:val="0"/>
    <w:rPr>
      <w:rFonts w:ascii="Times New Roman" w:hAnsi="Times New Roman" w:eastAsia="宋体" w:cs="Times New Roman"/>
      <w:kern w:val="0"/>
      <w:lang w:eastAsia="en-US" w:bidi="en-US"/>
    </w:rPr>
  </w:style>
  <w:style w:type="character" w:customStyle="1" w:styleId="469">
    <w:name w:val="标题四 Char"/>
    <w:link w:val="470"/>
    <w:autoRedefine/>
    <w:qFormat/>
    <w:uiPriority w:val="0"/>
    <w:rPr>
      <w:rFonts w:ascii="楷体_GB2312" w:hAnsi="Calibri" w:eastAsia="楷体_GB2312" w:cs="宋体"/>
      <w:b/>
      <w:sz w:val="24"/>
      <w:szCs w:val="24"/>
    </w:rPr>
  </w:style>
  <w:style w:type="paragraph" w:customStyle="1" w:styleId="470">
    <w:name w:val="标题四"/>
    <w:basedOn w:val="202"/>
    <w:link w:val="469"/>
    <w:autoRedefine/>
    <w:qFormat/>
    <w:uiPriority w:val="0"/>
    <w:pPr>
      <w:ind w:firstLine="0" w:firstLineChars="0"/>
    </w:pPr>
    <w:rPr>
      <w:rFonts w:hAnsi="Calibri"/>
      <w:b/>
    </w:rPr>
  </w:style>
  <w:style w:type="character" w:customStyle="1" w:styleId="471">
    <w:name w:val="表格新 Char"/>
    <w:link w:val="472"/>
    <w:autoRedefine/>
    <w:qFormat/>
    <w:uiPriority w:val="0"/>
    <w:rPr>
      <w:rFonts w:eastAsia="宋体"/>
      <w:b/>
    </w:rPr>
  </w:style>
  <w:style w:type="paragraph" w:customStyle="1" w:styleId="472">
    <w:name w:val="表格新"/>
    <w:basedOn w:val="1"/>
    <w:link w:val="471"/>
    <w:autoRedefine/>
    <w:qFormat/>
    <w:uiPriority w:val="0"/>
    <w:pPr>
      <w:jc w:val="center"/>
    </w:pPr>
    <w:rPr>
      <w:b/>
      <w:kern w:val="0"/>
      <w:sz w:val="20"/>
      <w:szCs w:val="20"/>
    </w:rPr>
  </w:style>
  <w:style w:type="character" w:customStyle="1" w:styleId="473">
    <w:name w:val="title"/>
    <w:autoRedefine/>
    <w:qFormat/>
    <w:uiPriority w:val="0"/>
  </w:style>
  <w:style w:type="character" w:customStyle="1" w:styleId="474">
    <w:name w:val="表头 Char2"/>
    <w:link w:val="475"/>
    <w:autoRedefine/>
    <w:qFormat/>
    <w:uiPriority w:val="0"/>
    <w:rPr>
      <w:rFonts w:ascii="楷体_GB2312" w:hAnsi="楷体_GB2312" w:eastAsia="楷体_GB2312" w:cs="楷体_GB2312"/>
      <w:b/>
      <w:sz w:val="24"/>
      <w:szCs w:val="24"/>
    </w:rPr>
  </w:style>
  <w:style w:type="paragraph" w:customStyle="1" w:styleId="475">
    <w:name w:val="表头"/>
    <w:basedOn w:val="476"/>
    <w:next w:val="477"/>
    <w:link w:val="474"/>
    <w:autoRedefine/>
    <w:qFormat/>
    <w:uiPriority w:val="0"/>
    <w:pPr>
      <w:spacing w:line="500" w:lineRule="exact"/>
      <w:jc w:val="center"/>
    </w:pPr>
    <w:rPr>
      <w:rFonts w:ascii="楷体_GB2312" w:hAnsi="楷体_GB2312" w:eastAsia="楷体_GB2312"/>
      <w:b/>
      <w:sz w:val="24"/>
      <w:lang w:bidi="ar-SA"/>
    </w:rPr>
  </w:style>
  <w:style w:type="paragraph" w:customStyle="1" w:styleId="476">
    <w:name w:val="正文1"/>
    <w:basedOn w:val="18"/>
    <w:next w:val="18"/>
    <w:link w:val="478"/>
    <w:autoRedefine/>
    <w:qFormat/>
    <w:uiPriority w:val="0"/>
    <w:pPr>
      <w:spacing w:beforeLines="25" w:afterLines="25" w:line="360" w:lineRule="auto"/>
      <w:ind w:firstLine="480"/>
    </w:pPr>
    <w:rPr>
      <w:sz w:val="24"/>
    </w:rPr>
  </w:style>
  <w:style w:type="paragraph" w:customStyle="1" w:styleId="477">
    <w:name w:val="别动"/>
    <w:basedOn w:val="475"/>
    <w:autoRedefine/>
    <w:qFormat/>
    <w:uiPriority w:val="0"/>
    <w:pPr>
      <w:spacing w:line="340" w:lineRule="exact"/>
    </w:pPr>
    <w:rPr>
      <w:b w:val="0"/>
      <w:kern w:val="0"/>
      <w:sz w:val="21"/>
    </w:rPr>
  </w:style>
  <w:style w:type="character" w:customStyle="1" w:styleId="478">
    <w:name w:val="正文1 Char"/>
    <w:link w:val="476"/>
    <w:autoRedefine/>
    <w:qFormat/>
    <w:uiPriority w:val="0"/>
    <w:rPr>
      <w:rFonts w:eastAsia="宋体"/>
      <w:sz w:val="24"/>
      <w:szCs w:val="24"/>
    </w:rPr>
  </w:style>
  <w:style w:type="character" w:customStyle="1" w:styleId="479">
    <w:name w:val="正文(首行缩进) Char Char"/>
    <w:autoRedefine/>
    <w:qFormat/>
    <w:uiPriority w:val="0"/>
    <w:rPr>
      <w:rFonts w:eastAsia="宋体"/>
      <w:snapToGrid w:val="0"/>
      <w:kern w:val="2"/>
      <w:sz w:val="24"/>
      <w:szCs w:val="24"/>
      <w:lang w:val="en-US" w:eastAsia="zh-CN" w:bidi="ar-SA"/>
    </w:rPr>
  </w:style>
  <w:style w:type="character" w:customStyle="1" w:styleId="480">
    <w:name w:val="正文内容 Char Char"/>
    <w:autoRedefine/>
    <w:qFormat/>
    <w:uiPriority w:val="0"/>
    <w:rPr>
      <w:rFonts w:ascii="Times New Roman" w:hAnsi="Times New Roman" w:eastAsia="宋体" w:cs="Times New Roman"/>
      <w:kern w:val="0"/>
      <w:sz w:val="24"/>
      <w:szCs w:val="24"/>
    </w:rPr>
  </w:style>
  <w:style w:type="character" w:customStyle="1" w:styleId="481">
    <w:name w:val="样式 纯文本表格内容纯文本 Char普通文字加粗正文普通文字 Char Char普通文字 Char Char Cha...3 Char"/>
    <w:link w:val="482"/>
    <w:autoRedefine/>
    <w:qFormat/>
    <w:uiPriority w:val="0"/>
    <w:rPr>
      <w:rFonts w:ascii="楷体_GB2312" w:hAnsi="楷体_GB2312" w:eastAsia="楷体_GB2312" w:cs="楷体_GB2312"/>
      <w:sz w:val="24"/>
      <w:szCs w:val="24"/>
    </w:rPr>
  </w:style>
  <w:style w:type="paragraph" w:customStyle="1" w:styleId="482">
    <w:name w:val="样式 纯文本表格内容纯文本 Char普通文字加粗正文普通文字 Char Char普通文字 Char Char Cha...3"/>
    <w:basedOn w:val="40"/>
    <w:link w:val="481"/>
    <w:autoRedefine/>
    <w:qFormat/>
    <w:uiPriority w:val="0"/>
    <w:pPr>
      <w:widowControl w:val="0"/>
      <w:spacing w:after="0" w:line="500" w:lineRule="exact"/>
      <w:ind w:firstLine="200" w:firstLineChars="200"/>
      <w:jc w:val="both"/>
    </w:pPr>
    <w:rPr>
      <w:rFonts w:hint="default" w:ascii="楷体_GB2312" w:hAnsi="楷体_GB2312" w:eastAsia="楷体_GB2312"/>
      <w:kern w:val="0"/>
      <w:sz w:val="24"/>
      <w:szCs w:val="24"/>
    </w:rPr>
  </w:style>
  <w:style w:type="character" w:customStyle="1" w:styleId="483">
    <w:name w:val="缩进 Char"/>
    <w:autoRedefine/>
    <w:qFormat/>
    <w:uiPriority w:val="0"/>
    <w:rPr>
      <w:rFonts w:eastAsia="宋体"/>
      <w:kern w:val="2"/>
      <w:sz w:val="24"/>
      <w:szCs w:val="24"/>
      <w:lang w:val="en-US" w:eastAsia="zh-CN" w:bidi="ar-SA"/>
    </w:rPr>
  </w:style>
  <w:style w:type="character" w:customStyle="1" w:styleId="484">
    <w:name w:val="hover27"/>
    <w:autoRedefine/>
    <w:qFormat/>
    <w:uiPriority w:val="0"/>
  </w:style>
  <w:style w:type="character" w:customStyle="1" w:styleId="485">
    <w:name w:val="样式1 Char2"/>
    <w:autoRedefine/>
    <w:qFormat/>
    <w:uiPriority w:val="0"/>
    <w:rPr>
      <w:rFonts w:ascii="宋体" w:eastAsia="宋体"/>
      <w:kern w:val="2"/>
      <w:sz w:val="21"/>
      <w:lang w:val="en-US" w:eastAsia="zh-CN" w:bidi="ar-SA"/>
    </w:rPr>
  </w:style>
  <w:style w:type="character" w:customStyle="1" w:styleId="486">
    <w:name w:val="样式9 Char"/>
    <w:link w:val="487"/>
    <w:autoRedefine/>
    <w:qFormat/>
    <w:uiPriority w:val="0"/>
    <w:rPr>
      <w:rFonts w:ascii="Times New Roman" w:hAnsi="Times New Roman" w:eastAsia="宋体" w:cs="Times New Roman"/>
      <w:sz w:val="24"/>
      <w:szCs w:val="20"/>
    </w:rPr>
  </w:style>
  <w:style w:type="paragraph" w:customStyle="1" w:styleId="487">
    <w:name w:val="样式9"/>
    <w:basedOn w:val="1"/>
    <w:link w:val="486"/>
    <w:autoRedefine/>
    <w:qFormat/>
    <w:uiPriority w:val="0"/>
    <w:pPr>
      <w:spacing w:line="360" w:lineRule="auto"/>
      <w:ind w:firstLine="480" w:firstLineChars="200"/>
    </w:pPr>
    <w:rPr>
      <w:kern w:val="0"/>
      <w:sz w:val="24"/>
      <w:szCs w:val="20"/>
    </w:rPr>
  </w:style>
  <w:style w:type="character" w:customStyle="1" w:styleId="488">
    <w:name w:val="cucd-0 Char1"/>
    <w:link w:val="489"/>
    <w:autoRedefine/>
    <w:qFormat/>
    <w:uiPriority w:val="0"/>
    <w:rPr>
      <w:sz w:val="24"/>
      <w:szCs w:val="24"/>
      <w:lang w:val="en-US" w:eastAsia="en-US" w:bidi="en-US"/>
    </w:rPr>
  </w:style>
  <w:style w:type="paragraph" w:customStyle="1" w:styleId="489">
    <w:name w:val="cucd-0"/>
    <w:link w:val="488"/>
    <w:autoRedefine/>
    <w:qFormat/>
    <w:uiPriority w:val="0"/>
    <w:pPr>
      <w:spacing w:after="200" w:line="360" w:lineRule="auto"/>
      <w:ind w:firstLine="480" w:firstLineChars="200"/>
    </w:pPr>
    <w:rPr>
      <w:rFonts w:ascii="Times New Roman" w:hAnsi="Times New Roman" w:eastAsia="宋体" w:cs="Times New Roman"/>
      <w:sz w:val="24"/>
      <w:szCs w:val="24"/>
      <w:lang w:val="en-US" w:eastAsia="en-US" w:bidi="en-US"/>
    </w:rPr>
  </w:style>
  <w:style w:type="character" w:customStyle="1" w:styleId="490">
    <w:name w:val="redfont"/>
    <w:autoRedefine/>
    <w:qFormat/>
    <w:uiPriority w:val="0"/>
  </w:style>
  <w:style w:type="character" w:customStyle="1" w:styleId="491">
    <w:name w:val="表底说明 Char"/>
    <w:link w:val="492"/>
    <w:autoRedefine/>
    <w:qFormat/>
    <w:uiPriority w:val="0"/>
    <w:rPr>
      <w:rFonts w:ascii="Times New Roman" w:hAnsi="Times New Roman" w:eastAsia="宋体" w:cs="Times New Roman"/>
      <w:sz w:val="18"/>
      <w:szCs w:val="24"/>
    </w:rPr>
  </w:style>
  <w:style w:type="paragraph" w:customStyle="1" w:styleId="492">
    <w:name w:val="表底说明"/>
    <w:basedOn w:val="1"/>
    <w:link w:val="491"/>
    <w:autoRedefine/>
    <w:qFormat/>
    <w:uiPriority w:val="0"/>
    <w:rPr>
      <w:kern w:val="0"/>
      <w:sz w:val="18"/>
      <w:szCs w:val="24"/>
    </w:rPr>
  </w:style>
  <w:style w:type="character" w:customStyle="1" w:styleId="493">
    <w:name w:val="环评正文 Char"/>
    <w:link w:val="494"/>
    <w:autoRedefine/>
    <w:qFormat/>
    <w:uiPriority w:val="0"/>
    <w:rPr>
      <w:rFonts w:ascii="Times New Roman" w:hAnsi="Times New Roman" w:eastAsia="宋体" w:cs="Times New Roman"/>
      <w:sz w:val="24"/>
      <w:szCs w:val="24"/>
    </w:rPr>
  </w:style>
  <w:style w:type="paragraph" w:customStyle="1" w:styleId="494">
    <w:name w:val="环评正文"/>
    <w:basedOn w:val="1"/>
    <w:link w:val="493"/>
    <w:autoRedefine/>
    <w:qFormat/>
    <w:uiPriority w:val="0"/>
    <w:pPr>
      <w:spacing w:line="360" w:lineRule="auto"/>
      <w:ind w:firstLine="200" w:firstLineChars="200"/>
    </w:pPr>
    <w:rPr>
      <w:kern w:val="0"/>
      <w:sz w:val="24"/>
      <w:szCs w:val="24"/>
    </w:rPr>
  </w:style>
  <w:style w:type="character" w:customStyle="1" w:styleId="495">
    <w:name w:val="slink1"/>
    <w:autoRedefine/>
    <w:qFormat/>
    <w:uiPriority w:val="0"/>
    <w:rPr>
      <w:rFonts w:hint="default" w:ascii="ˎ̥" w:hAnsi="ˎ̥"/>
      <w:sz w:val="18"/>
      <w:szCs w:val="18"/>
      <w:u w:val="none"/>
    </w:rPr>
  </w:style>
  <w:style w:type="character" w:customStyle="1" w:styleId="496">
    <w:name w:val="正文缩进 Char Char Char1"/>
    <w:autoRedefine/>
    <w:qFormat/>
    <w:uiPriority w:val="0"/>
    <w:rPr>
      <w:rFonts w:eastAsia="宋体"/>
      <w:kern w:val="2"/>
      <w:sz w:val="21"/>
      <w:szCs w:val="24"/>
      <w:lang w:val="en-US" w:eastAsia="zh-CN" w:bidi="ar-SA"/>
    </w:rPr>
  </w:style>
  <w:style w:type="character" w:customStyle="1" w:styleId="497">
    <w:name w:val="4 Char"/>
    <w:link w:val="498"/>
    <w:autoRedefine/>
    <w:qFormat/>
    <w:uiPriority w:val="0"/>
    <w:rPr>
      <w:rFonts w:ascii="Times New Roman" w:hAnsi="Times New Roman" w:eastAsia="方正仿宋简体" w:cs="Times New Roman"/>
      <w:w w:val="80"/>
      <w:szCs w:val="24"/>
    </w:rPr>
  </w:style>
  <w:style w:type="paragraph" w:customStyle="1" w:styleId="498">
    <w:name w:val="4"/>
    <w:basedOn w:val="1"/>
    <w:next w:val="29"/>
    <w:link w:val="497"/>
    <w:autoRedefine/>
    <w:qFormat/>
    <w:uiPriority w:val="0"/>
    <w:pPr>
      <w:spacing w:line="240" w:lineRule="exact"/>
      <w:jc w:val="center"/>
    </w:pPr>
    <w:rPr>
      <w:rFonts w:eastAsia="方正仿宋简体"/>
      <w:w w:val="80"/>
      <w:kern w:val="0"/>
      <w:sz w:val="20"/>
      <w:szCs w:val="24"/>
    </w:rPr>
  </w:style>
  <w:style w:type="character" w:customStyle="1" w:styleId="499">
    <w:name w:val="表格郭 Char"/>
    <w:link w:val="500"/>
    <w:autoRedefine/>
    <w:qFormat/>
    <w:uiPriority w:val="0"/>
    <w:rPr>
      <w:rFonts w:ascii="宋体" w:hAnsi="宋体"/>
      <w:snapToGrid/>
      <w:sz w:val="24"/>
      <w:szCs w:val="24"/>
    </w:rPr>
  </w:style>
  <w:style w:type="paragraph" w:customStyle="1" w:styleId="500">
    <w:name w:val="表格郭"/>
    <w:basedOn w:val="1"/>
    <w:link w:val="499"/>
    <w:autoRedefine/>
    <w:qFormat/>
    <w:uiPriority w:val="0"/>
    <w:pPr>
      <w:adjustRightInd w:val="0"/>
      <w:snapToGrid w:val="0"/>
      <w:spacing w:line="360" w:lineRule="auto"/>
      <w:jc w:val="center"/>
    </w:pPr>
    <w:rPr>
      <w:rFonts w:ascii="宋体" w:hAnsi="宋体"/>
      <w:kern w:val="0"/>
      <w:sz w:val="24"/>
      <w:szCs w:val="24"/>
    </w:rPr>
  </w:style>
  <w:style w:type="character" w:customStyle="1" w:styleId="501">
    <w:name w:val="_Style 5"/>
    <w:autoRedefine/>
    <w:qFormat/>
    <w:uiPriority w:val="19"/>
    <w:rPr>
      <w:i/>
      <w:iCs/>
      <w:color w:val="808080"/>
    </w:rPr>
  </w:style>
  <w:style w:type="character" w:customStyle="1" w:styleId="502">
    <w:name w:val="font01"/>
    <w:autoRedefine/>
    <w:qFormat/>
    <w:uiPriority w:val="0"/>
    <w:rPr>
      <w:rFonts w:hint="eastAsia" w:ascii="宋体" w:hAnsi="宋体" w:eastAsia="宋体"/>
      <w:color w:val="000000"/>
      <w:sz w:val="24"/>
      <w:szCs w:val="24"/>
      <w:u w:val="none"/>
    </w:rPr>
  </w:style>
  <w:style w:type="paragraph" w:customStyle="1" w:styleId="503">
    <w:name w:val="样式 标题 3标题 3 Char + 左侧:  1 字符 右侧:  1 字符"/>
    <w:basedOn w:val="4"/>
    <w:autoRedefine/>
    <w:qFormat/>
    <w:uiPriority w:val="0"/>
    <w:pPr>
      <w:widowControl/>
      <w:adjustRightInd w:val="0"/>
      <w:snapToGrid w:val="0"/>
      <w:spacing w:before="0" w:after="0" w:line="460" w:lineRule="exact"/>
      <w:ind w:firstLine="200" w:firstLineChars="200"/>
    </w:pPr>
    <w:rPr>
      <w:rFonts w:eastAsia="仿宋_GB2312" w:cs="宋体"/>
      <w:kern w:val="0"/>
      <w:sz w:val="24"/>
      <w:szCs w:val="26"/>
    </w:rPr>
  </w:style>
  <w:style w:type="paragraph" w:customStyle="1" w:styleId="504">
    <w:name w:val="正文（首行缩进）"/>
    <w:basedOn w:val="1"/>
    <w:autoRedefine/>
    <w:qFormat/>
    <w:uiPriority w:val="0"/>
    <w:pPr>
      <w:widowControl/>
      <w:spacing w:line="360" w:lineRule="auto"/>
      <w:ind w:firstLine="480" w:firstLineChars="200"/>
      <w:jc w:val="left"/>
    </w:pPr>
    <w:rPr>
      <w:rFonts w:ascii="宋体" w:hAnsi="宋体"/>
      <w:color w:val="000000"/>
      <w:sz w:val="24"/>
      <w:szCs w:val="20"/>
    </w:rPr>
  </w:style>
  <w:style w:type="paragraph" w:customStyle="1" w:styleId="505">
    <w:name w:val="0"/>
    <w:basedOn w:val="1"/>
    <w:autoRedefine/>
    <w:qFormat/>
    <w:uiPriority w:val="0"/>
    <w:pPr>
      <w:widowControl/>
      <w:snapToGrid w:val="0"/>
    </w:pPr>
    <w:rPr>
      <w:kern w:val="0"/>
      <w:szCs w:val="21"/>
    </w:rPr>
  </w:style>
  <w:style w:type="paragraph" w:customStyle="1" w:styleId="506">
    <w:name w:val="font6"/>
    <w:basedOn w:val="1"/>
    <w:autoRedefine/>
    <w:qFormat/>
    <w:uiPriority w:val="0"/>
    <w:pPr>
      <w:widowControl/>
      <w:spacing w:before="100" w:beforeAutospacing="1" w:after="100" w:afterAutospacing="1"/>
      <w:jc w:val="left"/>
    </w:pPr>
    <w:rPr>
      <w:rFonts w:hint="eastAsia" w:ascii="宋体" w:hAnsi="宋体" w:cs="Arial Unicode MS"/>
      <w:kern w:val="0"/>
      <w:sz w:val="18"/>
      <w:szCs w:val="18"/>
      <w:lang w:eastAsia="en-US" w:bidi="en-US"/>
    </w:rPr>
  </w:style>
  <w:style w:type="paragraph" w:customStyle="1" w:styleId="507">
    <w:name w:val="基准标题"/>
    <w:basedOn w:val="29"/>
    <w:next w:val="29"/>
    <w:autoRedefine/>
    <w:qFormat/>
    <w:uiPriority w:val="0"/>
    <w:pPr>
      <w:widowControl w:val="0"/>
      <w:spacing w:after="0" w:line="280" w:lineRule="exact"/>
      <w:jc w:val="both"/>
      <w:outlineLvl w:val="0"/>
    </w:pPr>
    <w:rPr>
      <w:rFonts w:ascii="宋体" w:hAnsi="宋体"/>
      <w:bCs/>
      <w:spacing w:val="-10"/>
      <w:kern w:val="2"/>
      <w:sz w:val="18"/>
      <w:szCs w:val="24"/>
      <w:lang w:eastAsia="zh-CN" w:bidi="ar-SA"/>
    </w:rPr>
  </w:style>
  <w:style w:type="paragraph" w:customStyle="1" w:styleId="508">
    <w:name w:val="表头格式"/>
    <w:basedOn w:val="1"/>
    <w:autoRedefine/>
    <w:qFormat/>
    <w:uiPriority w:val="0"/>
    <w:pPr>
      <w:spacing w:line="360" w:lineRule="auto"/>
      <w:jc w:val="center"/>
    </w:pPr>
    <w:rPr>
      <w:rFonts w:ascii="黑体" w:hAnsi="宋体" w:eastAsia="黑体"/>
      <w:b/>
      <w:sz w:val="24"/>
      <w:szCs w:val="24"/>
    </w:rPr>
  </w:style>
  <w:style w:type="paragraph" w:customStyle="1" w:styleId="509">
    <w:name w:val="注："/>
    <w:next w:val="1"/>
    <w:autoRedefine/>
    <w:qFormat/>
    <w:uiPriority w:val="0"/>
    <w:pPr>
      <w:widowControl w:val="0"/>
      <w:tabs>
        <w:tab w:val="left" w:pos="895"/>
      </w:tabs>
      <w:autoSpaceDE w:val="0"/>
      <w:autoSpaceDN w:val="0"/>
      <w:ind w:left="895" w:hanging="420"/>
      <w:jc w:val="both"/>
    </w:pPr>
    <w:rPr>
      <w:rFonts w:ascii="宋体" w:hAnsi="Times New Roman" w:eastAsia="宋体" w:cs="Times New Roman"/>
      <w:sz w:val="18"/>
      <w:lang w:val="en-US" w:eastAsia="zh-CN" w:bidi="ar-SA"/>
    </w:rPr>
  </w:style>
  <w:style w:type="paragraph" w:customStyle="1" w:styleId="510">
    <w:name w:val="c"/>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2"/>
    </w:rPr>
  </w:style>
  <w:style w:type="paragraph" w:customStyle="1" w:styleId="511">
    <w:name w:val="9"/>
    <w:basedOn w:val="1"/>
    <w:autoRedefine/>
    <w:qFormat/>
    <w:uiPriority w:val="0"/>
    <w:pPr>
      <w:spacing w:line="500" w:lineRule="exact"/>
      <w:ind w:firstLine="720"/>
    </w:pPr>
    <w:rPr>
      <w:sz w:val="28"/>
      <w:szCs w:val="24"/>
    </w:rPr>
  </w:style>
  <w:style w:type="paragraph" w:customStyle="1" w:styleId="512">
    <w:name w:val="表内字"/>
    <w:basedOn w:val="1"/>
    <w:autoRedefine/>
    <w:qFormat/>
    <w:uiPriority w:val="0"/>
    <w:pPr>
      <w:spacing w:line="360" w:lineRule="exact"/>
      <w:jc w:val="center"/>
    </w:pPr>
    <w:rPr>
      <w:kern w:val="0"/>
      <w:sz w:val="24"/>
      <w:szCs w:val="24"/>
    </w:rPr>
  </w:style>
  <w:style w:type="paragraph" w:customStyle="1" w:styleId="513">
    <w:name w:val="样式 四号 黑色 行距: 1.5 倍行距 首行缩进:  2 字符"/>
    <w:basedOn w:val="1"/>
    <w:autoRedefine/>
    <w:qFormat/>
    <w:uiPriority w:val="0"/>
    <w:pPr>
      <w:spacing w:line="360" w:lineRule="auto"/>
      <w:ind w:firstLine="560" w:firstLineChars="200"/>
    </w:pPr>
    <w:rPr>
      <w:rFonts w:eastAsia="仿宋_GB2312" w:cs="宋体"/>
      <w:color w:val="000000"/>
      <w:sz w:val="28"/>
      <w:szCs w:val="20"/>
    </w:rPr>
  </w:style>
  <w:style w:type="paragraph" w:customStyle="1" w:styleId="514">
    <w:name w:val="默认段落字体 Para Char"/>
    <w:basedOn w:val="1"/>
    <w:next w:val="1"/>
    <w:autoRedefine/>
    <w:qFormat/>
    <w:uiPriority w:val="0"/>
    <w:pPr>
      <w:spacing w:line="360" w:lineRule="auto"/>
      <w:ind w:firstLine="200" w:firstLineChars="200"/>
    </w:pPr>
    <w:rPr>
      <w:rFonts w:ascii="宋体" w:hAnsi="宋体"/>
      <w:sz w:val="24"/>
      <w:szCs w:val="20"/>
    </w:rPr>
  </w:style>
  <w:style w:type="paragraph" w:customStyle="1" w:styleId="515">
    <w:name w:val="样式2"/>
    <w:basedOn w:val="1"/>
    <w:next w:val="1"/>
    <w:autoRedefine/>
    <w:qFormat/>
    <w:uiPriority w:val="0"/>
    <w:pPr>
      <w:adjustRightInd w:val="0"/>
      <w:spacing w:before="40" w:line="360" w:lineRule="auto"/>
      <w:textAlignment w:val="baseline"/>
    </w:pPr>
    <w:rPr>
      <w:rFonts w:eastAsia="仿宋_GB2312"/>
      <w:kern w:val="21"/>
      <w:sz w:val="24"/>
      <w:szCs w:val="20"/>
    </w:rPr>
  </w:style>
  <w:style w:type="paragraph" w:customStyle="1" w:styleId="516">
    <w:name w:val="样式 正文样式 + 首行缩进:  0.74 厘米"/>
    <w:basedOn w:val="293"/>
    <w:autoRedefine/>
    <w:qFormat/>
    <w:uiPriority w:val="0"/>
    <w:pPr>
      <w:adjustRightInd/>
      <w:snapToGrid w:val="0"/>
      <w:ind w:firstLine="420" w:firstLineChars="0"/>
      <w:jc w:val="left"/>
    </w:pPr>
    <w:rPr>
      <w:rFonts w:ascii="宋体" w:eastAsia="宋体"/>
      <w:snapToGrid w:val="0"/>
      <w:szCs w:val="20"/>
    </w:rPr>
  </w:style>
  <w:style w:type="paragraph" w:customStyle="1" w:styleId="517">
    <w:name w:val="xl46"/>
    <w:basedOn w:val="1"/>
    <w:autoRedefine/>
    <w:qFormat/>
    <w:uiPriority w:val="0"/>
    <w:pPr>
      <w:widowControl/>
      <w:pBdr>
        <w:top w:val="single" w:color="auto" w:sz="4" w:space="0"/>
        <w:left w:val="single" w:color="auto" w:sz="8"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4"/>
    </w:rPr>
  </w:style>
  <w:style w:type="paragraph" w:customStyle="1" w:styleId="518">
    <w:name w:val="封面4"/>
    <w:basedOn w:val="519"/>
    <w:autoRedefine/>
    <w:qFormat/>
    <w:uiPriority w:val="0"/>
    <w:pPr>
      <w:snapToGrid w:val="0"/>
      <w:spacing w:line="240" w:lineRule="auto"/>
      <w:jc w:val="center"/>
    </w:pPr>
    <w:rPr>
      <w:sz w:val="36"/>
    </w:rPr>
  </w:style>
  <w:style w:type="paragraph" w:customStyle="1" w:styleId="519">
    <w:name w:val="封面1"/>
    <w:basedOn w:val="1"/>
    <w:autoRedefine/>
    <w:qFormat/>
    <w:uiPriority w:val="0"/>
    <w:pPr>
      <w:spacing w:line="300" w:lineRule="auto"/>
      <w:jc w:val="left"/>
    </w:pPr>
    <w:rPr>
      <w:b/>
      <w:bCs/>
      <w:color w:val="000000"/>
      <w:sz w:val="32"/>
      <w:szCs w:val="24"/>
      <w:bdr w:val="single" w:color="auto" w:sz="4" w:space="0"/>
    </w:rPr>
  </w:style>
  <w:style w:type="paragraph" w:customStyle="1" w:styleId="520">
    <w:name w:val="font8"/>
    <w:basedOn w:val="1"/>
    <w:autoRedefine/>
    <w:qFormat/>
    <w:uiPriority w:val="0"/>
    <w:pPr>
      <w:widowControl/>
      <w:spacing w:before="100" w:beforeAutospacing="1" w:after="100" w:afterAutospacing="1"/>
      <w:jc w:val="left"/>
    </w:pPr>
    <w:rPr>
      <w:rFonts w:eastAsia="Arial Unicode MS"/>
      <w:kern w:val="0"/>
      <w:sz w:val="22"/>
      <w:lang w:eastAsia="en-US" w:bidi="en-US"/>
    </w:rPr>
  </w:style>
  <w:style w:type="paragraph" w:customStyle="1" w:styleId="521">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lang w:eastAsia="en-US" w:bidi="en-US"/>
    </w:rPr>
  </w:style>
  <w:style w:type="paragraph" w:customStyle="1" w:styleId="522">
    <w:name w:val="2级标题"/>
    <w:basedOn w:val="3"/>
    <w:autoRedefine/>
    <w:semiHidden/>
    <w:qFormat/>
    <w:uiPriority w:val="0"/>
    <w:pPr>
      <w:keepNext w:val="0"/>
      <w:keepLines w:val="0"/>
      <w:tabs>
        <w:tab w:val="left" w:pos="3564"/>
      </w:tabs>
      <w:spacing w:before="0" w:after="0" w:line="360" w:lineRule="auto"/>
    </w:pPr>
    <w:rPr>
      <w:rFonts w:ascii="黑体" w:hAnsi="Arial" w:eastAsia="黑体"/>
      <w:b w:val="0"/>
      <w:sz w:val="28"/>
      <w:szCs w:val="28"/>
    </w:rPr>
  </w:style>
  <w:style w:type="paragraph" w:customStyle="1" w:styleId="523">
    <w:name w:val="表名"/>
    <w:basedOn w:val="1"/>
    <w:autoRedefine/>
    <w:qFormat/>
    <w:uiPriority w:val="0"/>
    <w:pPr>
      <w:keepNext/>
      <w:overflowPunct w:val="0"/>
      <w:adjustRightInd w:val="0"/>
      <w:spacing w:before="240"/>
      <w:jc w:val="center"/>
      <w:textAlignment w:val="baseline"/>
    </w:pPr>
    <w:rPr>
      <w:rFonts w:ascii="黑体" w:eastAsia="黑体"/>
      <w:kern w:val="24"/>
      <w:sz w:val="24"/>
      <w:szCs w:val="20"/>
    </w:rPr>
  </w:style>
  <w:style w:type="paragraph" w:customStyle="1" w:styleId="524">
    <w:name w:val="3级标题"/>
    <w:basedOn w:val="4"/>
    <w:autoRedefine/>
    <w:semiHidden/>
    <w:qFormat/>
    <w:uiPriority w:val="0"/>
    <w:pPr>
      <w:keepNext w:val="0"/>
      <w:keepLines w:val="0"/>
      <w:spacing w:before="0" w:after="0" w:line="360" w:lineRule="auto"/>
      <w:jc w:val="left"/>
    </w:pPr>
    <w:rPr>
      <w:rFonts w:ascii="黑体" w:eastAsia="黑体"/>
      <w:b w:val="0"/>
      <w:bCs w:val="0"/>
      <w:kern w:val="0"/>
      <w:sz w:val="24"/>
    </w:rPr>
  </w:style>
  <w:style w:type="paragraph" w:customStyle="1" w:styleId="525">
    <w:name w:val="样式 表头 + 首行缩进:  2 字符"/>
    <w:basedOn w:val="1"/>
    <w:autoRedefine/>
    <w:qFormat/>
    <w:uiPriority w:val="0"/>
    <w:pPr>
      <w:keepNext/>
      <w:tabs>
        <w:tab w:val="left" w:pos="3319"/>
        <w:tab w:val="left" w:pos="3600"/>
      </w:tabs>
      <w:jc w:val="center"/>
    </w:pPr>
    <w:rPr>
      <w:rFonts w:eastAsia="仿宋_GB2312"/>
      <w:b/>
      <w:bCs/>
      <w:color w:val="000000"/>
      <w:sz w:val="24"/>
      <w:szCs w:val="20"/>
    </w:rPr>
  </w:style>
  <w:style w:type="paragraph" w:customStyle="1" w:styleId="526">
    <w:name w:val="样式 标题 1 + 加粗"/>
    <w:basedOn w:val="2"/>
    <w:autoRedefine/>
    <w:qFormat/>
    <w:uiPriority w:val="0"/>
    <w:pPr>
      <w:keepNext/>
      <w:keepLines/>
      <w:spacing w:before="100" w:beforeAutospacing="1" w:after="100" w:afterAutospacing="1" w:line="360" w:lineRule="auto"/>
      <w:jc w:val="both"/>
    </w:pPr>
    <w:rPr>
      <w:rFonts w:eastAsia="黑体" w:cs="Arial"/>
      <w:szCs w:val="44"/>
      <w:vertAlign w:val="superscript"/>
    </w:rPr>
  </w:style>
  <w:style w:type="paragraph" w:customStyle="1" w:styleId="527">
    <w:name w:val="样式 纯文本表格内容纯文本 Char普通文字加粗正文普通文字 Char Char普通文字 Char Char Cha...1"/>
    <w:basedOn w:val="40"/>
    <w:autoRedefine/>
    <w:qFormat/>
    <w:uiPriority w:val="0"/>
    <w:pPr>
      <w:widowControl w:val="0"/>
      <w:spacing w:after="0" w:line="500" w:lineRule="exact"/>
      <w:jc w:val="center"/>
    </w:pPr>
    <w:rPr>
      <w:rFonts w:ascii="楷体_GB2312" w:hAnsi="楷体_GB2312" w:eastAsia="楷体_GB2312" w:cs="楷体_GB2312"/>
      <w:b/>
      <w:bCs/>
      <w:kern w:val="2"/>
      <w:sz w:val="24"/>
      <w:szCs w:val="24"/>
      <w:lang w:eastAsia="zh-CN" w:bidi="ar-SA"/>
    </w:rPr>
  </w:style>
  <w:style w:type="paragraph" w:customStyle="1" w:styleId="528">
    <w:name w:val="样式19"/>
    <w:basedOn w:val="3"/>
    <w:autoRedefine/>
    <w:semiHidden/>
    <w:qFormat/>
    <w:uiPriority w:val="0"/>
    <w:pPr>
      <w:keepNext w:val="0"/>
      <w:keepLines w:val="0"/>
      <w:tabs>
        <w:tab w:val="left" w:pos="630"/>
        <w:tab w:val="left" w:pos="840"/>
        <w:tab w:val="left" w:pos="1287"/>
        <w:tab w:val="left" w:pos="3920"/>
        <w:tab w:val="left" w:pos="5670"/>
      </w:tabs>
      <w:spacing w:before="60" w:after="60" w:line="520" w:lineRule="exact"/>
      <w:ind w:firstLine="567"/>
      <w:contextualSpacing/>
    </w:pPr>
    <w:rPr>
      <w:rFonts w:eastAsia="华文行楷"/>
      <w:b w:val="0"/>
      <w:bCs/>
      <w:color w:val="000000"/>
      <w:kern w:val="0"/>
      <w:szCs w:val="30"/>
    </w:rPr>
  </w:style>
  <w:style w:type="paragraph" w:customStyle="1" w:styleId="529">
    <w:name w:val="样式7"/>
    <w:basedOn w:val="8"/>
    <w:autoRedefine/>
    <w:qFormat/>
    <w:uiPriority w:val="0"/>
    <w:pPr>
      <w:widowControl w:val="0"/>
      <w:spacing w:before="0" w:line="360" w:lineRule="auto"/>
      <w:jc w:val="both"/>
    </w:pPr>
    <w:rPr>
      <w:rFonts w:ascii="宋体" w:hAnsi="Times New Roman"/>
      <w:b/>
      <w:i w:val="0"/>
      <w:iCs w:val="0"/>
      <w:color w:val="auto"/>
      <w:kern w:val="2"/>
      <w:sz w:val="24"/>
      <w:szCs w:val="20"/>
      <w:lang w:eastAsia="zh-CN" w:bidi="ar-SA"/>
    </w:rPr>
  </w:style>
  <w:style w:type="paragraph" w:customStyle="1" w:styleId="530">
    <w:name w:val="Char Char Char Char Char Char Char Char 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31">
    <w:name w:val="标题样式3"/>
    <w:basedOn w:val="4"/>
    <w:autoRedefine/>
    <w:qFormat/>
    <w:uiPriority w:val="0"/>
    <w:pPr>
      <w:keepNext w:val="0"/>
      <w:keepLines w:val="0"/>
      <w:spacing w:before="0" w:after="0" w:line="400" w:lineRule="atLeast"/>
      <w:ind w:firstLine="510"/>
    </w:pPr>
    <w:rPr>
      <w:rFonts w:eastAsia="黑体"/>
      <w:b w:val="0"/>
      <w:bCs w:val="0"/>
      <w:snapToGrid w:val="0"/>
      <w:sz w:val="24"/>
      <w:szCs w:val="20"/>
    </w:rPr>
  </w:style>
  <w:style w:type="paragraph" w:customStyle="1" w:styleId="532">
    <w:name w:val="Char Char Char1 Char Char Char Char Char Char Char Char Char Char Char Char Char Char Char Char Char Char Char"/>
    <w:basedOn w:val="1"/>
    <w:autoRedefine/>
    <w:qFormat/>
    <w:uiPriority w:val="0"/>
    <w:rPr>
      <w:szCs w:val="24"/>
    </w:rPr>
  </w:style>
  <w:style w:type="paragraph" w:customStyle="1" w:styleId="533">
    <w:name w:val="简单回函地址"/>
    <w:basedOn w:val="1"/>
    <w:autoRedefine/>
    <w:qFormat/>
    <w:uiPriority w:val="0"/>
    <w:rPr>
      <w:szCs w:val="24"/>
    </w:rPr>
  </w:style>
  <w:style w:type="paragraph" w:customStyle="1" w:styleId="534">
    <w:name w:val="样式 标题 + 两端对齐 左侧:  2.2 厘米1"/>
    <w:basedOn w:val="75"/>
    <w:autoRedefine/>
    <w:qFormat/>
    <w:uiPriority w:val="0"/>
    <w:pPr>
      <w:tabs>
        <w:tab w:val="left" w:pos="0"/>
      </w:tabs>
      <w:spacing w:before="0" w:after="100" w:afterAutospacing="1"/>
      <w:ind w:left="1247" w:hanging="57" w:firstLineChars="0"/>
      <w:jc w:val="both"/>
    </w:pPr>
    <w:rPr>
      <w:rFonts w:ascii="楷体_GB2312" w:hAnsi="Arial" w:eastAsia="隶书" w:cs="宋体"/>
      <w:szCs w:val="20"/>
    </w:rPr>
  </w:style>
  <w:style w:type="paragraph" w:customStyle="1" w:styleId="535">
    <w:name w:val="样式 表格 + 居中"/>
    <w:basedOn w:val="1"/>
    <w:autoRedefine/>
    <w:qFormat/>
    <w:uiPriority w:val="0"/>
    <w:pPr>
      <w:kinsoku w:val="0"/>
      <w:overflowPunct w:val="0"/>
      <w:adjustRightInd w:val="0"/>
      <w:snapToGrid w:val="0"/>
      <w:jc w:val="center"/>
    </w:pPr>
    <w:rPr>
      <w:snapToGrid w:val="0"/>
      <w:color w:val="000000"/>
      <w:kern w:val="0"/>
      <w:sz w:val="24"/>
      <w:szCs w:val="24"/>
    </w:rPr>
  </w:style>
  <w:style w:type="paragraph" w:customStyle="1" w:styleId="536">
    <w:name w:val="内容样式"/>
    <w:basedOn w:val="1"/>
    <w:autoRedefine/>
    <w:qFormat/>
    <w:uiPriority w:val="0"/>
    <w:pPr>
      <w:snapToGrid w:val="0"/>
      <w:spacing w:line="360" w:lineRule="auto"/>
      <w:jc w:val="left"/>
    </w:pPr>
    <w:rPr>
      <w:rFonts w:cs="宋体"/>
      <w:sz w:val="24"/>
      <w:szCs w:val="20"/>
    </w:rPr>
  </w:style>
  <w:style w:type="paragraph" w:customStyle="1" w:styleId="537">
    <w:name w:val="样式 行距: 固定值 25 磅"/>
    <w:basedOn w:val="1"/>
    <w:autoRedefine/>
    <w:qFormat/>
    <w:uiPriority w:val="0"/>
    <w:pPr>
      <w:spacing w:line="500" w:lineRule="exact"/>
      <w:ind w:firstLine="200" w:firstLineChars="200"/>
    </w:pPr>
    <w:rPr>
      <w:rFonts w:ascii="楷体_GB2312" w:hAnsi="楷体_GB2312" w:eastAsia="楷体_GB2312" w:cs="楷体_GB2312"/>
      <w:sz w:val="24"/>
      <w:szCs w:val="24"/>
    </w:rPr>
  </w:style>
  <w:style w:type="paragraph" w:customStyle="1" w:styleId="538">
    <w:name w:val="xl66"/>
    <w:basedOn w:val="1"/>
    <w:autoRedefine/>
    <w:qFormat/>
    <w:uiPriority w:val="0"/>
    <w:pPr>
      <w:widowControl/>
      <w:pBdr>
        <w:left w:val="single" w:color="auto" w:sz="4" w:space="0"/>
        <w:bottom w:val="single" w:color="auto" w:sz="4" w:space="0"/>
        <w:right w:val="single" w:color="auto" w:sz="4" w:space="0"/>
      </w:pBdr>
      <w:tabs>
        <w:tab w:val="left" w:pos="720"/>
      </w:tabs>
      <w:spacing w:before="100" w:beforeAutospacing="1" w:after="100" w:afterAutospacing="1"/>
      <w:ind w:left="720" w:hanging="720"/>
      <w:jc w:val="center"/>
    </w:pPr>
    <w:rPr>
      <w:color w:val="FF0000"/>
      <w:kern w:val="0"/>
      <w:sz w:val="24"/>
      <w:szCs w:val="24"/>
    </w:rPr>
  </w:style>
  <w:style w:type="paragraph" w:customStyle="1" w:styleId="539">
    <w:name w:val="标题5"/>
    <w:basedOn w:val="18"/>
    <w:autoRedefine/>
    <w:qFormat/>
    <w:uiPriority w:val="0"/>
    <w:pPr>
      <w:tabs>
        <w:tab w:val="left" w:pos="900"/>
      </w:tabs>
      <w:ind w:left="900" w:hanging="900" w:firstLineChars="0"/>
    </w:pPr>
    <w:rPr>
      <w:b/>
      <w:spacing w:val="10"/>
      <w:sz w:val="28"/>
      <w:szCs w:val="20"/>
    </w:rPr>
  </w:style>
  <w:style w:type="paragraph" w:customStyle="1" w:styleId="540">
    <w:name w:val="。。。。。。。。。正文格式"/>
    <w:basedOn w:val="1"/>
    <w:autoRedefine/>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宋体" w:eastAsia="宋体" w:cs="Times New Roman"/>
      <w:kern w:val="0"/>
      <w:sz w:val="24"/>
      <w:szCs w:val="20"/>
      <w:lang w:val="en-US" w:eastAsia="zh-CN" w:bidi="ar"/>
    </w:rPr>
  </w:style>
  <w:style w:type="paragraph" w:customStyle="1" w:styleId="541">
    <w:name w:val="正文文本缩进 31"/>
    <w:basedOn w:val="1"/>
    <w:autoRedefine/>
    <w:qFormat/>
    <w:uiPriority w:val="0"/>
    <w:pPr>
      <w:tabs>
        <w:tab w:val="left" w:pos="0"/>
      </w:tabs>
      <w:adjustRightInd w:val="0"/>
      <w:spacing w:line="396" w:lineRule="atLeast"/>
      <w:ind w:firstLine="560"/>
      <w:jc w:val="left"/>
      <w:textAlignment w:val="baseline"/>
    </w:pPr>
    <w:rPr>
      <w:rFonts w:ascii="宋体"/>
      <w:kern w:val="0"/>
      <w:sz w:val="24"/>
      <w:szCs w:val="20"/>
    </w:rPr>
  </w:style>
  <w:style w:type="paragraph" w:customStyle="1" w:styleId="542">
    <w:name w:val="标题二！！！！！"/>
    <w:basedOn w:val="3"/>
    <w:autoRedefine/>
    <w:qFormat/>
    <w:uiPriority w:val="0"/>
    <w:pPr>
      <w:keepNext w:val="0"/>
      <w:keepLines w:val="0"/>
      <w:spacing w:line="500" w:lineRule="exact"/>
    </w:pPr>
    <w:rPr>
      <w:rFonts w:ascii="楷体_GB2312" w:hAnsi="楷体_GB2312" w:eastAsia="楷体_GB2312" w:cs="楷体_GB2312"/>
      <w:bCs/>
      <w:szCs w:val="30"/>
    </w:rPr>
  </w:style>
  <w:style w:type="paragraph" w:customStyle="1" w:styleId="543">
    <w:name w:val="Char Char Char1 Char Char Char Char Char Char Char Char Char Char Char Char Char Char Char Char Char"/>
    <w:basedOn w:val="1"/>
    <w:autoRedefine/>
    <w:qFormat/>
    <w:uiPriority w:val="0"/>
    <w:rPr>
      <w:szCs w:val="24"/>
    </w:rPr>
  </w:style>
  <w:style w:type="paragraph" w:customStyle="1" w:styleId="544">
    <w:name w:val="myformat_content Char"/>
    <w:basedOn w:val="1"/>
    <w:autoRedefine/>
    <w:qFormat/>
    <w:uiPriority w:val="0"/>
    <w:pPr>
      <w:spacing w:beforeLines="50" w:afterLines="50" w:line="360" w:lineRule="exact"/>
      <w:ind w:firstLine="480" w:firstLineChars="200"/>
    </w:pPr>
    <w:rPr>
      <w:sz w:val="24"/>
      <w:szCs w:val="24"/>
    </w:rPr>
  </w:style>
  <w:style w:type="paragraph" w:customStyle="1" w:styleId="545">
    <w:name w:val="三级无标题条"/>
    <w:basedOn w:val="1"/>
    <w:autoRedefine/>
    <w:qFormat/>
    <w:uiPriority w:val="0"/>
    <w:rPr>
      <w:szCs w:val="24"/>
    </w:rPr>
  </w:style>
  <w:style w:type="paragraph" w:customStyle="1" w:styleId="546">
    <w:name w:val="表格内容"/>
    <w:basedOn w:val="547"/>
    <w:next w:val="1"/>
    <w:autoRedefine/>
    <w:qFormat/>
    <w:uiPriority w:val="0"/>
    <w:pPr>
      <w:widowControl/>
      <w:suppressAutoHyphens/>
      <w:spacing w:line="320" w:lineRule="exact"/>
      <w:jc w:val="center"/>
    </w:pPr>
    <w:rPr>
      <w:color w:val="000000"/>
      <w:kern w:val="1"/>
      <w:szCs w:val="20"/>
      <w:lang w:eastAsia="ar-SA"/>
    </w:rPr>
  </w:style>
  <w:style w:type="paragraph" w:customStyle="1" w:styleId="547">
    <w:name w:val="附录 标题"/>
    <w:basedOn w:val="1"/>
    <w:qFormat/>
    <w:uiPriority w:val="0"/>
    <w:pPr>
      <w:ind w:firstLine="0" w:firstLineChars="0"/>
      <w:jc w:val="center"/>
    </w:pPr>
    <w:rPr>
      <w:rFonts w:ascii="Calibri" w:hAnsi="Calibri" w:eastAsia="宋体"/>
      <w:b/>
      <w:sz w:val="30"/>
    </w:rPr>
  </w:style>
  <w:style w:type="paragraph" w:customStyle="1" w:styleId="548">
    <w:name w:val="reader-word-layer reader-word-s1-5"/>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549">
    <w:name w:val="表字"/>
    <w:basedOn w:val="1"/>
    <w:autoRedefine/>
    <w:qFormat/>
    <w:uiPriority w:val="0"/>
    <w:pPr>
      <w:jc w:val="center"/>
    </w:pPr>
    <w:rPr>
      <w:rFonts w:ascii="宋体"/>
      <w:szCs w:val="20"/>
    </w:rPr>
  </w:style>
  <w:style w:type="paragraph" w:customStyle="1" w:styleId="550">
    <w:name w:val="样式 样式 环评正文 + (西文) 仿宋_GB2312 (中文) 宋体 10.5 磅 首行缩进:  2 字符 + 首行缩进:  ..."/>
    <w:basedOn w:val="1"/>
    <w:autoRedefine/>
    <w:qFormat/>
    <w:uiPriority w:val="0"/>
    <w:pPr>
      <w:spacing w:line="400" w:lineRule="exact"/>
      <w:ind w:firstLine="200"/>
    </w:pPr>
    <w:rPr>
      <w:rFonts w:ascii="仿宋_GB2312" w:hAnsi="仿宋_GB2312"/>
      <w:sz w:val="24"/>
      <w:szCs w:val="20"/>
    </w:rPr>
  </w:style>
  <w:style w:type="paragraph" w:customStyle="1" w:styleId="551">
    <w:name w:val="xl42"/>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0"/>
      <w:szCs w:val="20"/>
    </w:rPr>
  </w:style>
  <w:style w:type="paragraph" w:customStyle="1" w:styleId="552">
    <w:name w:val="5"/>
    <w:basedOn w:val="1"/>
    <w:next w:val="18"/>
    <w:autoRedefine/>
    <w:qFormat/>
    <w:uiPriority w:val="0"/>
    <w:pPr>
      <w:snapToGrid w:val="0"/>
      <w:spacing w:before="120" w:line="360" w:lineRule="auto"/>
      <w:ind w:firstLine="510"/>
    </w:pPr>
    <w:rPr>
      <w:kern w:val="0"/>
      <w:sz w:val="24"/>
      <w:szCs w:val="20"/>
    </w:rPr>
  </w:style>
  <w:style w:type="paragraph" w:customStyle="1" w:styleId="553">
    <w:name w:val="6 Char Char Char Char Char Char1 Char"/>
    <w:basedOn w:val="1"/>
    <w:autoRedefine/>
    <w:qFormat/>
    <w:uiPriority w:val="0"/>
    <w:rPr>
      <w:szCs w:val="24"/>
    </w:rPr>
  </w:style>
  <w:style w:type="paragraph" w:customStyle="1" w:styleId="554">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kern w:val="0"/>
      <w:sz w:val="20"/>
      <w:szCs w:val="20"/>
    </w:rPr>
  </w:style>
  <w:style w:type="paragraph" w:customStyle="1" w:styleId="555">
    <w:name w:val="xl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color w:val="000000"/>
      <w:kern w:val="0"/>
      <w:sz w:val="20"/>
      <w:szCs w:val="20"/>
    </w:rPr>
  </w:style>
  <w:style w:type="paragraph" w:customStyle="1" w:styleId="556">
    <w:name w:val="初设正文"/>
    <w:basedOn w:val="1"/>
    <w:autoRedefine/>
    <w:qFormat/>
    <w:uiPriority w:val="0"/>
    <w:pPr>
      <w:spacing w:after="120" w:line="440" w:lineRule="exact"/>
      <w:ind w:left="425" w:firstLine="425"/>
    </w:pPr>
    <w:rPr>
      <w:rFonts w:ascii="Arial" w:hAnsi="Arial"/>
      <w:kern w:val="0"/>
      <w:sz w:val="24"/>
      <w:szCs w:val="20"/>
    </w:rPr>
  </w:style>
  <w:style w:type="paragraph" w:customStyle="1" w:styleId="557">
    <w:name w:val="content"/>
    <w:basedOn w:val="1"/>
    <w:autoRedefine/>
    <w:qFormat/>
    <w:uiPriority w:val="0"/>
    <w:pPr>
      <w:widowControl/>
      <w:spacing w:before="100" w:beforeAutospacing="1" w:after="100" w:afterAutospacing="1"/>
      <w:jc w:val="left"/>
    </w:pPr>
    <w:rPr>
      <w:rFonts w:ascii="宋体" w:hAnsi="宋体" w:cs="宋体"/>
      <w:kern w:val="0"/>
      <w:sz w:val="22"/>
    </w:rPr>
  </w:style>
  <w:style w:type="paragraph" w:customStyle="1" w:styleId="558">
    <w:name w:val="样式 表格 + 首行缩进:  2.19 字符1"/>
    <w:basedOn w:val="428"/>
    <w:autoRedefine/>
    <w:qFormat/>
    <w:uiPriority w:val="0"/>
    <w:pPr>
      <w:widowControl w:val="0"/>
      <w:adjustRightInd w:val="0"/>
      <w:spacing w:line="360" w:lineRule="exact"/>
    </w:pPr>
    <w:rPr>
      <w:rFonts w:ascii="Times New Roman" w:hAnsi="Times New Roman"/>
      <w:spacing w:val="10"/>
      <w:szCs w:val="24"/>
    </w:rPr>
  </w:style>
  <w:style w:type="paragraph" w:customStyle="1" w:styleId="559">
    <w:name w:val="行距"/>
    <w:autoRedefine/>
    <w:qFormat/>
    <w:uiPriority w:val="0"/>
    <w:pPr>
      <w:spacing w:line="520" w:lineRule="exact"/>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560">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561">
    <w:name w:val="正文图小四"/>
    <w:basedOn w:val="1"/>
    <w:autoRedefine/>
    <w:semiHidden/>
    <w:qFormat/>
    <w:uiPriority w:val="0"/>
    <w:pPr>
      <w:adjustRightInd w:val="0"/>
      <w:snapToGrid w:val="0"/>
      <w:jc w:val="center"/>
      <w:textAlignment w:val="baseline"/>
    </w:pPr>
    <w:rPr>
      <w:rFonts w:ascii="宋体"/>
      <w:kern w:val="0"/>
      <w:sz w:val="24"/>
      <w:szCs w:val="24"/>
    </w:rPr>
  </w:style>
  <w:style w:type="paragraph" w:customStyle="1" w:styleId="562">
    <w:name w:val="正文样式3"/>
    <w:basedOn w:val="1"/>
    <w:autoRedefine/>
    <w:qFormat/>
    <w:uiPriority w:val="0"/>
    <w:pPr>
      <w:keepLines/>
      <w:adjustRightInd w:val="0"/>
      <w:spacing w:line="20" w:lineRule="atLeast"/>
      <w:jc w:val="center"/>
      <w:textAlignment w:val="baseline"/>
    </w:pPr>
    <w:rPr>
      <w:kern w:val="0"/>
      <w:sz w:val="24"/>
      <w:szCs w:val="20"/>
    </w:rPr>
  </w:style>
  <w:style w:type="paragraph" w:customStyle="1" w:styleId="563">
    <w:name w:val="_Style 959"/>
    <w:basedOn w:val="1"/>
    <w:next w:val="1"/>
    <w:autoRedefine/>
    <w:qFormat/>
    <w:uiPriority w:val="0"/>
    <w:pPr>
      <w:pBdr>
        <w:top w:val="single" w:color="auto" w:sz="6" w:space="1"/>
      </w:pBdr>
      <w:jc w:val="center"/>
    </w:pPr>
    <w:rPr>
      <w:rFonts w:ascii="Arial" w:eastAsia="宋体"/>
      <w:vanish/>
      <w:sz w:val="16"/>
    </w:rPr>
  </w:style>
  <w:style w:type="paragraph" w:customStyle="1" w:styleId="564">
    <w:name w:val="样式 A3 + 小四 非加粗 段前: 6 磅"/>
    <w:basedOn w:val="1"/>
    <w:qFormat/>
    <w:uiPriority w:val="0"/>
    <w:pPr>
      <w:spacing w:before="120" w:line="360" w:lineRule="auto"/>
      <w:jc w:val="left"/>
      <w:outlineLvl w:val="2"/>
    </w:pPr>
    <w:rPr>
      <w:rFonts w:cs="宋体"/>
      <w:b/>
      <w:sz w:val="24"/>
      <w:szCs w:val="20"/>
    </w:rPr>
  </w:style>
  <w:style w:type="paragraph" w:customStyle="1" w:styleId="565">
    <w:name w:val="文字缩"/>
    <w:basedOn w:val="1"/>
    <w:autoRedefine/>
    <w:qFormat/>
    <w:uiPriority w:val="0"/>
    <w:pPr>
      <w:autoSpaceDE w:val="0"/>
      <w:autoSpaceDN w:val="0"/>
      <w:adjustRightInd w:val="0"/>
      <w:snapToGrid w:val="0"/>
      <w:spacing w:line="480" w:lineRule="atLeast"/>
      <w:ind w:firstLine="200" w:firstLineChars="200"/>
      <w:jc w:val="left"/>
    </w:pPr>
    <w:rPr>
      <w:rFonts w:ascii="宋体"/>
      <w:snapToGrid w:val="0"/>
      <w:spacing w:val="6"/>
      <w:kern w:val="0"/>
      <w:sz w:val="28"/>
      <w:szCs w:val="20"/>
    </w:rPr>
  </w:style>
  <w:style w:type="paragraph" w:customStyle="1" w:styleId="566">
    <w:name w:val="标题1-ls"/>
    <w:basedOn w:val="75"/>
    <w:autoRedefine/>
    <w:qFormat/>
    <w:uiPriority w:val="0"/>
    <w:pPr>
      <w:spacing w:afterLines="100"/>
      <w:ind w:firstLine="0" w:firstLineChars="0"/>
    </w:pPr>
    <w:rPr>
      <w:rFonts w:ascii="Times New Roman" w:hAnsi="Times New Roman" w:eastAsia="黑体" w:cs="Arial"/>
      <w:bCs w:val="0"/>
      <w:sz w:val="36"/>
    </w:rPr>
  </w:style>
  <w:style w:type="paragraph" w:customStyle="1" w:styleId="567">
    <w:name w:val="xl51"/>
    <w:basedOn w:val="1"/>
    <w:autoRedefine/>
    <w:qFormat/>
    <w:uiPriority w:val="0"/>
    <w:pPr>
      <w:widowControl/>
      <w:pBdr>
        <w:bottom w:val="single" w:color="auto" w:sz="8"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8"/>
      <w:szCs w:val="28"/>
    </w:rPr>
  </w:style>
  <w:style w:type="paragraph" w:customStyle="1" w:styleId="568">
    <w:name w:val="正文样式一"/>
    <w:basedOn w:val="1"/>
    <w:autoRedefine/>
    <w:qFormat/>
    <w:uiPriority w:val="0"/>
    <w:pPr>
      <w:adjustRightInd w:val="0"/>
      <w:spacing w:line="400" w:lineRule="atLeast"/>
      <w:ind w:firstLine="510"/>
      <w:textAlignment w:val="baseline"/>
    </w:pPr>
    <w:rPr>
      <w:kern w:val="0"/>
      <w:sz w:val="24"/>
      <w:szCs w:val="20"/>
    </w:rPr>
  </w:style>
  <w:style w:type="paragraph" w:customStyle="1" w:styleId="569">
    <w:name w:val="公式说明"/>
    <w:basedOn w:val="1"/>
    <w:autoRedefine/>
    <w:qFormat/>
    <w:uiPriority w:val="0"/>
    <w:pPr>
      <w:tabs>
        <w:tab w:val="left" w:pos="1920"/>
      </w:tabs>
    </w:pPr>
  </w:style>
  <w:style w:type="paragraph" w:customStyle="1" w:styleId="570">
    <w:name w:val="6"/>
    <w:basedOn w:val="1"/>
    <w:next w:val="58"/>
    <w:autoRedefine/>
    <w:qFormat/>
    <w:uiPriority w:val="0"/>
    <w:pPr>
      <w:spacing w:line="360" w:lineRule="auto"/>
      <w:ind w:firstLine="420"/>
      <w:jc w:val="center"/>
    </w:pPr>
    <w:rPr>
      <w:rFonts w:ascii="黑体" w:hAnsi="Arial" w:eastAsia="黑体"/>
      <w:color w:val="000000"/>
      <w:kern w:val="28"/>
      <w:szCs w:val="28"/>
    </w:rPr>
  </w:style>
  <w:style w:type="paragraph" w:customStyle="1" w:styleId="571">
    <w:name w:val="标准表格"/>
    <w:basedOn w:val="1"/>
    <w:autoRedefine/>
    <w:qFormat/>
    <w:uiPriority w:val="0"/>
    <w:pPr>
      <w:tabs>
        <w:tab w:val="left" w:pos="0"/>
      </w:tabs>
      <w:adjustRightInd w:val="0"/>
      <w:spacing w:line="360" w:lineRule="exact"/>
      <w:jc w:val="center"/>
      <w:textAlignment w:val="center"/>
    </w:pPr>
    <w:rPr>
      <w:rFonts w:ascii="宋体" w:hAnsi="宋体"/>
      <w:snapToGrid w:val="0"/>
      <w:kern w:val="0"/>
      <w:szCs w:val="20"/>
    </w:rPr>
  </w:style>
  <w:style w:type="paragraph" w:customStyle="1" w:styleId="572">
    <w:name w:val="样式 宋体 首行缩进:  2 字符"/>
    <w:basedOn w:val="1"/>
    <w:autoRedefine/>
    <w:qFormat/>
    <w:uiPriority w:val="0"/>
    <w:pPr>
      <w:spacing w:line="360" w:lineRule="auto"/>
      <w:ind w:firstLine="200" w:firstLineChars="200"/>
    </w:pPr>
    <w:rPr>
      <w:rFonts w:ascii="宋体" w:hAnsi="宋体" w:cs="宋体"/>
      <w:sz w:val="24"/>
      <w:szCs w:val="20"/>
    </w:rPr>
  </w:style>
  <w:style w:type="paragraph" w:customStyle="1" w:styleId="573">
    <w:name w:val="样式 图表 + 首行缩进:  2 字符1"/>
    <w:basedOn w:val="1"/>
    <w:autoRedefine/>
    <w:semiHidden/>
    <w:qFormat/>
    <w:uiPriority w:val="0"/>
    <w:pPr>
      <w:adjustRightInd w:val="0"/>
      <w:snapToGrid w:val="0"/>
      <w:spacing w:beforeLines="20" w:afterLines="20"/>
      <w:ind w:left="-102" w:leftChars="-50" w:right="-105" w:rightChars="-50" w:hanging="3"/>
      <w:jc w:val="center"/>
    </w:pPr>
    <w:rPr>
      <w:rFonts w:eastAsia="仿宋_GB2312"/>
      <w:color w:val="000000"/>
      <w:szCs w:val="24"/>
    </w:rPr>
  </w:style>
  <w:style w:type="paragraph" w:customStyle="1" w:styleId="574">
    <w:name w:val="D标三"/>
    <w:basedOn w:val="1"/>
    <w:autoRedefine/>
    <w:qFormat/>
    <w:uiPriority w:val="0"/>
    <w:pPr>
      <w:keepNext/>
      <w:keepLines/>
      <w:spacing w:before="120" w:line="360" w:lineRule="auto"/>
      <w:outlineLvl w:val="2"/>
    </w:pPr>
    <w:rPr>
      <w:rFonts w:eastAsia="黑体"/>
      <w:b/>
      <w:bCs/>
      <w:sz w:val="28"/>
      <w:szCs w:val="26"/>
    </w:rPr>
  </w:style>
  <w:style w:type="paragraph" w:customStyle="1" w:styleId="575">
    <w:name w:val="Char Char Char Char Char Char Char Char Char Char Char1 Char Char Char Char Char Char Char"/>
    <w:basedOn w:val="1"/>
    <w:autoRedefine/>
    <w:qFormat/>
    <w:uiPriority w:val="0"/>
    <w:rPr>
      <w:szCs w:val="24"/>
    </w:rPr>
  </w:style>
  <w:style w:type="paragraph" w:customStyle="1" w:styleId="576">
    <w:name w:val="二级条标题"/>
    <w:basedOn w:val="577"/>
    <w:next w:val="1"/>
    <w:autoRedefine/>
    <w:qFormat/>
    <w:uiPriority w:val="0"/>
    <w:pPr>
      <w:tabs>
        <w:tab w:val="left" w:pos="360"/>
        <w:tab w:val="left" w:pos="903"/>
      </w:tabs>
      <w:outlineLvl w:val="3"/>
    </w:pPr>
  </w:style>
  <w:style w:type="paragraph" w:customStyle="1" w:styleId="577">
    <w:name w:val="一级条标题"/>
    <w:basedOn w:val="578"/>
    <w:next w:val="1"/>
    <w:autoRedefine/>
    <w:qFormat/>
    <w:uiPriority w:val="0"/>
    <w:pPr>
      <w:tabs>
        <w:tab w:val="left" w:pos="360"/>
        <w:tab w:val="left" w:pos="903"/>
      </w:tabs>
      <w:spacing w:before="0" w:after="0"/>
      <w:ind w:left="0" w:firstLine="0"/>
      <w:outlineLvl w:val="2"/>
    </w:pPr>
  </w:style>
  <w:style w:type="paragraph" w:customStyle="1" w:styleId="578">
    <w:name w:val="章标题"/>
    <w:next w:val="1"/>
    <w:autoRedefine/>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579">
    <w:name w:val="日期1"/>
    <w:basedOn w:val="1"/>
    <w:next w:val="1"/>
    <w:autoRedefine/>
    <w:qFormat/>
    <w:uiPriority w:val="0"/>
    <w:pPr>
      <w:adjustRightInd w:val="0"/>
      <w:spacing w:line="240" w:lineRule="atLeast"/>
      <w:jc w:val="left"/>
      <w:textAlignment w:val="baseline"/>
    </w:pPr>
    <w:rPr>
      <w:rFonts w:ascii="宋体"/>
      <w:kern w:val="0"/>
      <w:sz w:val="28"/>
      <w:szCs w:val="20"/>
    </w:rPr>
  </w:style>
  <w:style w:type="paragraph" w:customStyle="1" w:styleId="580">
    <w:name w:val="font7"/>
    <w:basedOn w:val="1"/>
    <w:autoRedefine/>
    <w:qFormat/>
    <w:uiPriority w:val="0"/>
    <w:pPr>
      <w:widowControl/>
      <w:spacing w:before="100" w:beforeAutospacing="1" w:after="100" w:afterAutospacing="1"/>
      <w:jc w:val="left"/>
    </w:pPr>
    <w:rPr>
      <w:rFonts w:eastAsia="Arial Unicode MS"/>
      <w:kern w:val="0"/>
      <w:sz w:val="22"/>
      <w:lang w:eastAsia="en-US" w:bidi="en-US"/>
    </w:rPr>
  </w:style>
  <w:style w:type="paragraph" w:customStyle="1" w:styleId="581">
    <w:name w:val="样式 正文文本缩进 + 宋体 小四 行距: 固定值 24 磅"/>
    <w:basedOn w:val="31"/>
    <w:autoRedefine/>
    <w:qFormat/>
    <w:uiPriority w:val="0"/>
    <w:pPr>
      <w:widowControl w:val="0"/>
      <w:tabs>
        <w:tab w:val="left" w:pos="180"/>
      </w:tabs>
      <w:autoSpaceDE/>
      <w:autoSpaceDN/>
      <w:adjustRightInd/>
      <w:spacing w:after="0" w:line="480" w:lineRule="exact"/>
      <w:ind w:firstLine="384"/>
      <w:jc w:val="both"/>
      <w:textAlignment w:val="auto"/>
    </w:pPr>
    <w:rPr>
      <w:rFonts w:ascii="宋体" w:hAnsi="宋体" w:cs="宋体"/>
      <w:kern w:val="2"/>
      <w:sz w:val="24"/>
      <w:lang w:eastAsia="zh-CN" w:bidi="ar-SA"/>
    </w:rPr>
  </w:style>
  <w:style w:type="paragraph" w:customStyle="1" w:styleId="582">
    <w:name w:val="样式 宋体 居中"/>
    <w:basedOn w:val="1"/>
    <w:autoRedefine/>
    <w:qFormat/>
    <w:uiPriority w:val="0"/>
    <w:pPr>
      <w:jc w:val="center"/>
    </w:pPr>
    <w:rPr>
      <w:rFonts w:ascii="宋体" w:hAnsi="宋体" w:eastAsia="楷体_GB2312" w:cs="宋体"/>
      <w:szCs w:val="20"/>
    </w:rPr>
  </w:style>
  <w:style w:type="paragraph" w:customStyle="1" w:styleId="583">
    <w:name w:val="xl2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84">
    <w:name w:val="行左"/>
    <w:basedOn w:val="1"/>
    <w:autoRedefine/>
    <w:qFormat/>
    <w:uiPriority w:val="0"/>
    <w:pPr>
      <w:spacing w:line="360" w:lineRule="auto"/>
      <w:ind w:firstLine="480" w:firstLineChars="200"/>
      <w:jc w:val="left"/>
    </w:pPr>
    <w:rPr>
      <w:rFonts w:ascii="仿宋_GB2312" w:hAnsi="宋体" w:eastAsia="仿宋_GB2312"/>
      <w:color w:val="000000"/>
      <w:position w:val="-32"/>
      <w:sz w:val="24"/>
      <w:szCs w:val="24"/>
    </w:rPr>
  </w:style>
  <w:style w:type="paragraph" w:customStyle="1" w:styleId="585">
    <w:name w:val="表题"/>
    <w:basedOn w:val="1"/>
    <w:autoRedefine/>
    <w:semiHidden/>
    <w:qFormat/>
    <w:uiPriority w:val="0"/>
    <w:pPr>
      <w:autoSpaceDE w:val="0"/>
      <w:autoSpaceDN w:val="0"/>
      <w:adjustRightInd w:val="0"/>
      <w:spacing w:before="120" w:after="120"/>
      <w:ind w:firstLine="454"/>
      <w:jc w:val="center"/>
      <w:textAlignment w:val="baseline"/>
    </w:pPr>
    <w:rPr>
      <w:rFonts w:ascii="黑体" w:hAnsi="Tms Rmn" w:eastAsia="黑体"/>
      <w:b/>
      <w:color w:val="000000"/>
      <w:kern w:val="0"/>
      <w:szCs w:val="20"/>
    </w:rPr>
  </w:style>
  <w:style w:type="paragraph" w:customStyle="1" w:styleId="586">
    <w:name w:val="表格5"/>
    <w:autoRedefine/>
    <w:qFormat/>
    <w:uiPriority w:val="0"/>
    <w:pPr>
      <w:framePr w:hSpace="180" w:wrap="around" w:vAnchor="text" w:hAnchor="page" w:x="1277" w:y="305"/>
      <w:jc w:val="both"/>
    </w:pPr>
    <w:rPr>
      <w:rFonts w:ascii="宋体" w:hAnsi="宋体" w:eastAsia="宋体" w:cs="Times New Roman"/>
      <w:color w:val="000000"/>
      <w:sz w:val="24"/>
      <w:szCs w:val="24"/>
      <w:lang w:val="en-US" w:eastAsia="zh-CN" w:bidi="ar-SA"/>
    </w:rPr>
  </w:style>
  <w:style w:type="paragraph" w:customStyle="1" w:styleId="587">
    <w:name w:val="Char Char Char Char Char Char Char Char Char"/>
    <w:basedOn w:val="1"/>
    <w:autoRedefine/>
    <w:qFormat/>
    <w:uiPriority w:val="0"/>
    <w:rPr>
      <w:szCs w:val="24"/>
    </w:rPr>
  </w:style>
  <w:style w:type="paragraph" w:customStyle="1" w:styleId="588">
    <w:name w:val="样式 正文文本缩进 + 行距: 多倍行距 1.3 字行 Char"/>
    <w:basedOn w:val="31"/>
    <w:autoRedefine/>
    <w:qFormat/>
    <w:uiPriority w:val="0"/>
    <w:pPr>
      <w:widowControl w:val="0"/>
      <w:snapToGrid w:val="0"/>
      <w:spacing w:after="0" w:line="360" w:lineRule="auto"/>
      <w:ind w:firstLine="0"/>
      <w:jc w:val="both"/>
    </w:pPr>
    <w:rPr>
      <w:rFonts w:ascii="黑体" w:hAnsi="宋体" w:eastAsia="黑体"/>
      <w:b/>
      <w:color w:val="000000"/>
      <w:sz w:val="24"/>
      <w:szCs w:val="24"/>
      <w:lang w:eastAsia="zh-CN" w:bidi="ar-SA"/>
    </w:rPr>
  </w:style>
  <w:style w:type="paragraph" w:customStyle="1" w:styleId="589">
    <w:name w:val="表头！！！"/>
    <w:basedOn w:val="1"/>
    <w:autoRedefine/>
    <w:qFormat/>
    <w:uiPriority w:val="0"/>
    <w:pPr>
      <w:spacing w:line="360" w:lineRule="auto"/>
      <w:jc w:val="center"/>
    </w:pPr>
    <w:rPr>
      <w:rFonts w:ascii="黑体" w:eastAsia="黑体" w:cs="宋体"/>
      <w:b/>
      <w:sz w:val="24"/>
      <w:szCs w:val="20"/>
    </w:rPr>
  </w:style>
  <w:style w:type="paragraph" w:customStyle="1" w:styleId="590">
    <w:name w:val="样式 纯文本表格内容纯文本 Char普通文字加粗正文普通文字 Char Char普通文字 Char Char Cha...2"/>
    <w:basedOn w:val="40"/>
    <w:autoRedefine/>
    <w:qFormat/>
    <w:uiPriority w:val="0"/>
    <w:pPr>
      <w:widowControl w:val="0"/>
      <w:spacing w:after="0" w:line="400" w:lineRule="exact"/>
      <w:jc w:val="center"/>
    </w:pPr>
    <w:rPr>
      <w:rFonts w:hAnsi="宋体" w:eastAsia="楷体_GB2312" w:cs="宋体"/>
      <w:kern w:val="2"/>
      <w:sz w:val="21"/>
      <w:lang w:eastAsia="zh-CN" w:bidi="ar-SA"/>
    </w:rPr>
  </w:style>
  <w:style w:type="paragraph" w:customStyle="1" w:styleId="591">
    <w:name w:val="设计文本"/>
    <w:basedOn w:val="1"/>
    <w:autoRedefine/>
    <w:qFormat/>
    <w:uiPriority w:val="0"/>
    <w:pPr>
      <w:jc w:val="center"/>
    </w:pPr>
    <w:rPr>
      <w:sz w:val="24"/>
      <w:szCs w:val="20"/>
    </w:rPr>
  </w:style>
  <w:style w:type="paragraph" w:customStyle="1" w:styleId="592">
    <w:name w:val="样式 正文文本缩进 + 首行缩进:  1 字符 行距: 固定值 26 磅"/>
    <w:basedOn w:val="1"/>
    <w:autoRedefine/>
    <w:qFormat/>
    <w:uiPriority w:val="0"/>
    <w:pPr>
      <w:spacing w:line="360" w:lineRule="auto"/>
      <w:ind w:firstLine="561"/>
      <w:jc w:val="left"/>
    </w:pPr>
    <w:rPr>
      <w:sz w:val="24"/>
      <w:szCs w:val="20"/>
    </w:rPr>
  </w:style>
  <w:style w:type="paragraph" w:customStyle="1" w:styleId="593">
    <w:name w:val="。。。。。。。。四级标题"/>
    <w:basedOn w:val="5"/>
    <w:autoRedefine/>
    <w:qFormat/>
    <w:uiPriority w:val="0"/>
    <w:pPr>
      <w:keepNext/>
      <w:keepLines/>
      <w:widowControl w:val="0"/>
      <w:suppressLineNumbers w:val="0"/>
      <w:spacing w:before="0" w:beforeAutospacing="0" w:after="0" w:afterAutospacing="0" w:line="360" w:lineRule="auto"/>
      <w:ind w:left="0" w:right="0"/>
      <w:jc w:val="both"/>
      <w:outlineLvl w:val="3"/>
    </w:pPr>
    <w:rPr>
      <w:rFonts w:hint="default" w:ascii="Times New Roman" w:hAnsi="Times New Roman" w:eastAsia="宋体" w:cs="Times New Roman"/>
      <w:kern w:val="2"/>
      <w:sz w:val="24"/>
      <w:szCs w:val="28"/>
      <w:lang w:val="en-US" w:eastAsia="zh-CN" w:bidi="ar"/>
    </w:rPr>
  </w:style>
  <w:style w:type="paragraph" w:customStyle="1" w:styleId="594">
    <w:name w:val="公式样式1"/>
    <w:basedOn w:val="1"/>
    <w:autoRedefine/>
    <w:qFormat/>
    <w:uiPriority w:val="0"/>
    <w:pPr>
      <w:jc w:val="center"/>
    </w:pPr>
    <w:rPr>
      <w:rFonts w:ascii="宋体" w:hAnsi="宋体"/>
      <w:color w:val="FF0000"/>
      <w:szCs w:val="24"/>
    </w:rPr>
  </w:style>
  <w:style w:type="paragraph" w:customStyle="1" w:styleId="595">
    <w:name w:val="标题1"/>
    <w:basedOn w:val="2"/>
    <w:autoRedefine/>
    <w:qFormat/>
    <w:uiPriority w:val="0"/>
    <w:pPr>
      <w:tabs>
        <w:tab w:val="left" w:pos="2100"/>
        <w:tab w:val="center" w:pos="4170"/>
      </w:tabs>
      <w:spacing w:beforeLines="50" w:afterLines="50"/>
      <w:ind w:left="28"/>
      <w:jc w:val="center"/>
    </w:pPr>
    <w:rPr>
      <w:rFonts w:ascii="楷体_GB2312" w:hAnsi="楷体_GB2312" w:eastAsia="楷体_GB2312" w:cs="楷体_GB2312"/>
      <w:color w:val="000000"/>
      <w:spacing w:val="5"/>
      <w:szCs w:val="32"/>
      <w:lang w:val="zh-CN"/>
    </w:rPr>
  </w:style>
  <w:style w:type="paragraph" w:customStyle="1" w:styleId="596">
    <w:name w:val="表格文字2"/>
    <w:basedOn w:val="1"/>
    <w:autoRedefine/>
    <w:qFormat/>
    <w:uiPriority w:val="0"/>
    <w:pPr>
      <w:adjustRightInd w:val="0"/>
      <w:snapToGrid w:val="0"/>
      <w:spacing w:before="20" w:line="400" w:lineRule="exact"/>
      <w:jc w:val="center"/>
      <w:textAlignment w:val="baseline"/>
    </w:pPr>
    <w:rPr>
      <w:kern w:val="0"/>
      <w:szCs w:val="21"/>
    </w:rPr>
  </w:style>
  <w:style w:type="paragraph" w:customStyle="1" w:styleId="597">
    <w:name w:val="列出段落1"/>
    <w:basedOn w:val="1"/>
    <w:autoRedefine/>
    <w:qFormat/>
    <w:uiPriority w:val="0"/>
    <w:pPr>
      <w:widowControl/>
      <w:spacing w:after="200" w:line="276" w:lineRule="auto"/>
      <w:ind w:left="720"/>
      <w:contextualSpacing/>
      <w:jc w:val="left"/>
    </w:pPr>
    <w:rPr>
      <w:rFonts w:ascii="Calibri" w:hAnsi="Calibri"/>
      <w:kern w:val="0"/>
      <w:sz w:val="22"/>
      <w:lang w:eastAsia="en-US" w:bidi="en-US"/>
    </w:rPr>
  </w:style>
  <w:style w:type="paragraph" w:customStyle="1" w:styleId="598">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599">
    <w:name w:val="表头！！！！！！！！！！！！！！！"/>
    <w:basedOn w:val="1"/>
    <w:autoRedefine/>
    <w:qFormat/>
    <w:uiPriority w:val="0"/>
    <w:pPr>
      <w:spacing w:line="500" w:lineRule="exact"/>
      <w:jc w:val="center"/>
    </w:pPr>
    <w:rPr>
      <w:rFonts w:ascii="楷体_GB2312" w:hAnsi="楷体_GB2312" w:eastAsia="楷体_GB2312" w:cs="楷体_GB2312"/>
      <w:b/>
      <w:sz w:val="24"/>
      <w:szCs w:val="24"/>
    </w:rPr>
  </w:style>
  <w:style w:type="paragraph" w:customStyle="1" w:styleId="600">
    <w:name w:val="表格文字居中"/>
    <w:basedOn w:val="1"/>
    <w:autoRedefine/>
    <w:qFormat/>
    <w:uiPriority w:val="0"/>
    <w:pPr>
      <w:widowControl/>
      <w:spacing w:after="50" w:afterLines="50" w:line="400" w:lineRule="exact"/>
      <w:jc w:val="center"/>
    </w:pPr>
    <w:rPr>
      <w:kern w:val="0"/>
      <w:szCs w:val="21"/>
    </w:rPr>
  </w:style>
  <w:style w:type="paragraph" w:customStyle="1" w:styleId="601">
    <w:name w:val="CM7"/>
    <w:basedOn w:val="598"/>
    <w:next w:val="598"/>
    <w:autoRedefine/>
    <w:qFormat/>
    <w:uiPriority w:val="0"/>
    <w:pPr>
      <w:spacing w:line="436" w:lineRule="atLeast"/>
    </w:pPr>
    <w:rPr>
      <w:rFonts w:ascii="宋体" w:eastAsia="宋体" w:cs="Times New Roman"/>
      <w:color w:val="auto"/>
      <w:sz w:val="20"/>
    </w:rPr>
  </w:style>
  <w:style w:type="paragraph" w:customStyle="1" w:styleId="602">
    <w:name w:val="xl33"/>
    <w:basedOn w:val="1"/>
    <w:autoRedefine/>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44"/>
      <w:szCs w:val="44"/>
      <w:lang w:eastAsia="en-US" w:bidi="en-US"/>
    </w:rPr>
  </w:style>
  <w:style w:type="paragraph" w:customStyle="1" w:styleId="603">
    <w:name w:val="xl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right"/>
    </w:pPr>
    <w:rPr>
      <w:rFonts w:ascii="Arial Unicode MS" w:hAnsi="Arial Unicode MS" w:eastAsia="Arial Unicode MS" w:cs="Arial Unicode MS"/>
      <w:kern w:val="0"/>
      <w:sz w:val="24"/>
      <w:szCs w:val="24"/>
    </w:rPr>
  </w:style>
  <w:style w:type="paragraph" w:customStyle="1" w:styleId="604">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05">
    <w:name w:val="标题样式1"/>
    <w:basedOn w:val="29"/>
    <w:autoRedefine/>
    <w:qFormat/>
    <w:uiPriority w:val="0"/>
    <w:pPr>
      <w:widowControl w:val="0"/>
      <w:adjustRightInd w:val="0"/>
      <w:snapToGrid w:val="0"/>
      <w:spacing w:after="0" w:line="360" w:lineRule="atLeast"/>
      <w:textAlignment w:val="baseline"/>
    </w:pPr>
    <w:rPr>
      <w:b/>
      <w:bCs/>
      <w:snapToGrid w:val="0"/>
      <w:sz w:val="24"/>
      <w:szCs w:val="20"/>
      <w:lang w:eastAsia="zh-CN" w:bidi="ar-SA"/>
    </w:rPr>
  </w:style>
  <w:style w:type="paragraph" w:customStyle="1" w:styleId="606">
    <w:name w:val="样式 标题 2 + 段后: 0.5 行"/>
    <w:basedOn w:val="3"/>
    <w:autoRedefine/>
    <w:semiHidden/>
    <w:qFormat/>
    <w:uiPriority w:val="0"/>
    <w:pPr>
      <w:keepNext w:val="0"/>
      <w:keepLines w:val="0"/>
      <w:tabs>
        <w:tab w:val="left" w:pos="630"/>
        <w:tab w:val="left" w:pos="840"/>
        <w:tab w:val="left" w:pos="1287"/>
        <w:tab w:val="left" w:pos="3920"/>
        <w:tab w:val="left" w:pos="5670"/>
      </w:tabs>
      <w:adjustRightInd w:val="0"/>
      <w:spacing w:before="60" w:afterLines="50"/>
      <w:ind w:firstLine="567"/>
      <w:contextualSpacing/>
    </w:pPr>
    <w:rPr>
      <w:rFonts w:eastAsia="仿宋_GB2312"/>
      <w:b w:val="0"/>
      <w:color w:val="000000"/>
      <w:szCs w:val="32"/>
    </w:rPr>
  </w:style>
  <w:style w:type="paragraph" w:customStyle="1" w:styleId="607">
    <w:name w:val="表中文字"/>
    <w:basedOn w:val="1"/>
    <w:next w:val="1"/>
    <w:autoRedefine/>
    <w:qFormat/>
    <w:uiPriority w:val="0"/>
    <w:pPr>
      <w:adjustRightInd w:val="0"/>
      <w:snapToGrid w:val="0"/>
      <w:jc w:val="center"/>
    </w:pPr>
    <w:rPr>
      <w:szCs w:val="24"/>
    </w:rPr>
  </w:style>
  <w:style w:type="paragraph" w:customStyle="1" w:styleId="608">
    <w:name w:val="普通(Web)2"/>
    <w:basedOn w:val="1"/>
    <w:autoRedefine/>
    <w:qFormat/>
    <w:uiPriority w:val="0"/>
    <w:pPr>
      <w:widowControl/>
      <w:spacing w:before="225" w:after="225" w:line="345" w:lineRule="atLeast"/>
      <w:jc w:val="left"/>
    </w:pPr>
    <w:rPr>
      <w:rFonts w:ascii="宋体" w:hAnsi="宋体" w:cs="宋体"/>
      <w:kern w:val="0"/>
      <w:szCs w:val="21"/>
    </w:rPr>
  </w:style>
  <w:style w:type="paragraph" w:customStyle="1" w:styleId="609">
    <w:name w:val="四级条标题"/>
    <w:basedOn w:val="610"/>
    <w:next w:val="1"/>
    <w:autoRedefine/>
    <w:qFormat/>
    <w:uiPriority w:val="0"/>
    <w:pPr>
      <w:tabs>
        <w:tab w:val="left" w:pos="360"/>
        <w:tab w:val="left" w:pos="903"/>
      </w:tabs>
      <w:outlineLvl w:val="5"/>
    </w:pPr>
  </w:style>
  <w:style w:type="paragraph" w:customStyle="1" w:styleId="610">
    <w:name w:val="三级条标题"/>
    <w:basedOn w:val="576"/>
    <w:next w:val="1"/>
    <w:autoRedefine/>
    <w:qFormat/>
    <w:uiPriority w:val="0"/>
    <w:pPr>
      <w:outlineLvl w:val="4"/>
    </w:pPr>
  </w:style>
  <w:style w:type="paragraph" w:customStyle="1" w:styleId="611">
    <w:name w:val="样式 宋体 10 磅 黑色 居中"/>
    <w:basedOn w:val="1"/>
    <w:next w:val="428"/>
    <w:autoRedefine/>
    <w:qFormat/>
    <w:uiPriority w:val="0"/>
    <w:pPr>
      <w:jc w:val="center"/>
    </w:pPr>
    <w:rPr>
      <w:rFonts w:ascii="宋体" w:cs="宋体"/>
      <w:color w:val="000000"/>
      <w:kern w:val="0"/>
      <w:sz w:val="20"/>
      <w:szCs w:val="20"/>
    </w:rPr>
  </w:style>
  <w:style w:type="paragraph" w:customStyle="1" w:styleId="612">
    <w:name w:val="报告一"/>
    <w:autoRedefine/>
    <w:qFormat/>
    <w:uiPriority w:val="0"/>
    <w:pPr>
      <w:keepNext/>
      <w:tabs>
        <w:tab w:val="left" w:pos="3319"/>
        <w:tab w:val="left" w:pos="3600"/>
      </w:tabs>
      <w:ind w:left="560"/>
      <w:outlineLvl w:val="3"/>
    </w:pPr>
    <w:rPr>
      <w:rFonts w:ascii="仿宋_GB2312" w:hAnsi="宋体" w:eastAsia="仿宋_GB2312" w:cs="Times New Roman"/>
      <w:b/>
      <w:bCs/>
      <w:kern w:val="2"/>
      <w:sz w:val="28"/>
      <w:szCs w:val="28"/>
      <w:lang w:val="en-US" w:eastAsia="zh-CN" w:bidi="ar-SA"/>
    </w:rPr>
  </w:style>
  <w:style w:type="paragraph" w:customStyle="1" w:styleId="613">
    <w:name w:val="表格字"/>
    <w:basedOn w:val="1"/>
    <w:autoRedefine/>
    <w:qFormat/>
    <w:uiPriority w:val="0"/>
    <w:pPr>
      <w:jc w:val="center"/>
    </w:pPr>
    <w:rPr>
      <w:rFonts w:ascii="楷体_GB2312" w:eastAsia="楷体_GB2312" w:cs="宋体"/>
      <w:szCs w:val="20"/>
    </w:rPr>
  </w:style>
  <w:style w:type="paragraph" w:customStyle="1" w:styleId="614">
    <w:name w:val="Char Char Char1 Char Char Char Char"/>
    <w:basedOn w:val="1"/>
    <w:autoRedefine/>
    <w:qFormat/>
    <w:uiPriority w:val="0"/>
    <w:rPr>
      <w:szCs w:val="24"/>
    </w:rPr>
  </w:style>
  <w:style w:type="paragraph" w:customStyle="1" w:styleId="615">
    <w:name w:val="二级无标题条"/>
    <w:basedOn w:val="1"/>
    <w:autoRedefine/>
    <w:qFormat/>
    <w:uiPriority w:val="0"/>
    <w:rPr>
      <w:szCs w:val="24"/>
    </w:rPr>
  </w:style>
  <w:style w:type="paragraph" w:customStyle="1" w:styleId="616">
    <w:name w:val="公式"/>
    <w:basedOn w:val="1"/>
    <w:autoRedefine/>
    <w:qFormat/>
    <w:uiPriority w:val="0"/>
    <w:pPr>
      <w:adjustRightInd w:val="0"/>
      <w:spacing w:line="288" w:lineRule="auto"/>
      <w:jc w:val="center"/>
      <w:textAlignment w:val="baseline"/>
    </w:pPr>
    <w:rPr>
      <w:kern w:val="0"/>
      <w:sz w:val="24"/>
      <w:szCs w:val="24"/>
    </w:rPr>
  </w:style>
  <w:style w:type="paragraph" w:customStyle="1" w:styleId="617">
    <w:name w:val="标题四！！！！！！"/>
    <w:basedOn w:val="18"/>
    <w:autoRedefine/>
    <w:qFormat/>
    <w:uiPriority w:val="0"/>
    <w:pPr>
      <w:widowControl/>
      <w:spacing w:line="500" w:lineRule="exact"/>
      <w:ind w:firstLine="0" w:firstLineChars="0"/>
    </w:pPr>
    <w:rPr>
      <w:rFonts w:ascii="楷体_GB2312" w:eastAsia="楷体_GB2312" w:cs="宋体"/>
      <w:b/>
      <w:bCs/>
      <w:kern w:val="0"/>
      <w:sz w:val="24"/>
      <w:szCs w:val="20"/>
    </w:rPr>
  </w:style>
  <w:style w:type="paragraph" w:customStyle="1" w:styleId="618">
    <w:name w:val="reader-word-layer reader-word-s1-2"/>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9">
    <w:name w:val="正文 小四 行距: 1.5 倍行距"/>
    <w:basedOn w:val="1"/>
    <w:autoRedefine/>
    <w:qFormat/>
    <w:uiPriority w:val="0"/>
    <w:pPr>
      <w:spacing w:line="360" w:lineRule="auto"/>
      <w:ind w:firstLine="480" w:firstLineChars="200"/>
    </w:pPr>
    <w:rPr>
      <w:rFonts w:cs="宋体"/>
      <w:sz w:val="24"/>
      <w:szCs w:val="20"/>
    </w:rPr>
  </w:style>
  <w:style w:type="paragraph" w:customStyle="1" w:styleId="620">
    <w:name w:val="纯文本21"/>
    <w:basedOn w:val="1"/>
    <w:autoRedefine/>
    <w:qFormat/>
    <w:uiPriority w:val="0"/>
    <w:pPr>
      <w:adjustRightInd w:val="0"/>
      <w:jc w:val="left"/>
      <w:textAlignment w:val="baseline"/>
    </w:pPr>
    <w:rPr>
      <w:rFonts w:ascii="宋体"/>
      <w:kern w:val="0"/>
      <w:sz w:val="24"/>
      <w:szCs w:val="20"/>
    </w:rPr>
  </w:style>
  <w:style w:type="paragraph" w:customStyle="1" w:styleId="621">
    <w:name w:val="表注"/>
    <w:basedOn w:val="1"/>
    <w:autoRedefine/>
    <w:qFormat/>
    <w:uiPriority w:val="0"/>
    <w:pPr>
      <w:autoSpaceDE w:val="0"/>
      <w:autoSpaceDN w:val="0"/>
      <w:adjustRightInd w:val="0"/>
      <w:spacing w:beforeLines="50" w:afterLines="50"/>
    </w:pPr>
    <w:rPr>
      <w:rFonts w:ascii="Arial" w:hAnsi="Arial" w:cs="Arial"/>
      <w:kern w:val="0"/>
      <w:szCs w:val="21"/>
    </w:rPr>
  </w:style>
  <w:style w:type="paragraph" w:customStyle="1" w:styleId="622">
    <w:name w:val="样式 标题 1 + (中文) 黑体 四号 段前: 7.8 磅 段后: 7.8 磅 行距: 多倍行距 1.25 字行"/>
    <w:basedOn w:val="2"/>
    <w:autoRedefine/>
    <w:qFormat/>
    <w:uiPriority w:val="0"/>
    <w:pPr>
      <w:keepNext/>
      <w:keepLines/>
      <w:tabs>
        <w:tab w:val="left" w:pos="2100"/>
        <w:tab w:val="center" w:pos="4170"/>
      </w:tabs>
      <w:spacing w:beforeLines="50" w:afterLines="50" w:line="480" w:lineRule="auto"/>
      <w:ind w:left="28" w:firstLine="1800"/>
      <w:jc w:val="both"/>
    </w:pPr>
    <w:rPr>
      <w:rFonts w:eastAsia="黑体"/>
      <w:color w:val="000000"/>
      <w:spacing w:val="5"/>
      <w:sz w:val="30"/>
      <w:szCs w:val="30"/>
      <w:lang w:val="zh-CN"/>
    </w:rPr>
  </w:style>
  <w:style w:type="paragraph" w:customStyle="1" w:styleId="623">
    <w:name w:val="标题一！"/>
    <w:basedOn w:val="2"/>
    <w:autoRedefine/>
    <w:qFormat/>
    <w:uiPriority w:val="0"/>
    <w:pPr>
      <w:tabs>
        <w:tab w:val="left" w:pos="2100"/>
        <w:tab w:val="center" w:pos="4170"/>
      </w:tabs>
      <w:spacing w:beforeLines="50" w:afterLines="50" w:line="360" w:lineRule="auto"/>
      <w:ind w:left="28"/>
      <w:jc w:val="center"/>
    </w:pPr>
    <w:rPr>
      <w:rFonts w:ascii="宋体" w:hAnsi="楷体_GB2312" w:cs="宋体"/>
      <w:color w:val="000000"/>
      <w:spacing w:val="5"/>
      <w:szCs w:val="32"/>
      <w:lang w:val="zh-CN"/>
    </w:rPr>
  </w:style>
  <w:style w:type="paragraph" w:customStyle="1" w:styleId="624">
    <w:name w:val="表格内容（中文）"/>
    <w:basedOn w:val="1"/>
    <w:autoRedefine/>
    <w:qFormat/>
    <w:uiPriority w:val="0"/>
    <w:pPr>
      <w:adjustRightInd w:val="0"/>
      <w:spacing w:line="380" w:lineRule="atLeast"/>
      <w:ind w:left="113"/>
      <w:textAlignment w:val="baseline"/>
    </w:pPr>
    <w:rPr>
      <w:rFonts w:eastAsia="楷体_GB2312"/>
      <w:kern w:val="0"/>
      <w:szCs w:val="20"/>
    </w:rPr>
  </w:style>
  <w:style w:type="paragraph" w:customStyle="1" w:styleId="625">
    <w:name w:val="Char Char Char Char Char Char Char Char Char Char Char Char Char Char Char Char1"/>
    <w:basedOn w:val="1"/>
    <w:autoRedefine/>
    <w:qFormat/>
    <w:uiPriority w:val="0"/>
    <w:pPr>
      <w:jc w:val="center"/>
    </w:pPr>
    <w:rPr>
      <w:rFonts w:ascii="楷体_GB2312" w:hAnsi="楷体_GB2312" w:eastAsia="楷体_GB2312" w:cs="楷体_GB2312"/>
      <w:szCs w:val="21"/>
    </w:rPr>
  </w:style>
  <w:style w:type="paragraph" w:customStyle="1" w:styleId="626">
    <w:name w:val="xl4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0"/>
      <w:szCs w:val="20"/>
    </w:rPr>
  </w:style>
  <w:style w:type="paragraph" w:customStyle="1" w:styleId="627">
    <w:name w:val="样式 正文1 + 段前: 0.1 行"/>
    <w:basedOn w:val="1"/>
    <w:autoRedefine/>
    <w:qFormat/>
    <w:uiPriority w:val="0"/>
    <w:pPr>
      <w:snapToGrid w:val="0"/>
      <w:spacing w:beforeLines="10" w:line="440" w:lineRule="atLeast"/>
      <w:ind w:firstLine="510"/>
    </w:pPr>
    <w:rPr>
      <w:rFonts w:cs="宋体"/>
      <w:sz w:val="24"/>
      <w:szCs w:val="20"/>
    </w:rPr>
  </w:style>
  <w:style w:type="paragraph" w:customStyle="1" w:styleId="628">
    <w:name w:val="表左"/>
    <w:basedOn w:val="1"/>
    <w:autoRedefine/>
    <w:semiHidden/>
    <w:qFormat/>
    <w:uiPriority w:val="0"/>
    <w:pPr>
      <w:spacing w:line="280" w:lineRule="exact"/>
      <w:jc w:val="left"/>
    </w:pPr>
    <w:rPr>
      <w:rFonts w:ascii="宋体"/>
      <w:color w:val="000000"/>
      <w:sz w:val="18"/>
      <w:szCs w:val="24"/>
    </w:rPr>
  </w:style>
  <w:style w:type="paragraph" w:customStyle="1" w:styleId="629">
    <w:name w:val="1名"/>
    <w:basedOn w:val="1"/>
    <w:autoRedefine/>
    <w:qFormat/>
    <w:uiPriority w:val="0"/>
    <w:pPr>
      <w:spacing w:before="120"/>
    </w:pPr>
    <w:rPr>
      <w:rFonts w:ascii="宋体"/>
      <w:sz w:val="28"/>
      <w:szCs w:val="20"/>
    </w:rPr>
  </w:style>
  <w:style w:type="paragraph" w:customStyle="1" w:styleId="630">
    <w:name w:val="7"/>
    <w:basedOn w:val="1"/>
    <w:next w:val="46"/>
    <w:autoRedefine/>
    <w:qFormat/>
    <w:uiPriority w:val="0"/>
    <w:pPr>
      <w:spacing w:line="360" w:lineRule="auto"/>
      <w:ind w:firstLine="480" w:firstLineChars="200"/>
    </w:pPr>
    <w:rPr>
      <w:rFonts w:ascii="宋体"/>
      <w:sz w:val="24"/>
      <w:szCs w:val="24"/>
    </w:rPr>
  </w:style>
  <w:style w:type="paragraph" w:customStyle="1" w:styleId="631">
    <w:name w:val="正文首行缩进5"/>
    <w:basedOn w:val="29"/>
    <w:autoRedefine/>
    <w:qFormat/>
    <w:uiPriority w:val="0"/>
    <w:pPr>
      <w:widowControl w:val="0"/>
      <w:adjustRightInd w:val="0"/>
      <w:spacing w:after="0" w:line="312" w:lineRule="auto"/>
      <w:ind w:firstLine="567"/>
      <w:jc w:val="both"/>
    </w:pPr>
    <w:rPr>
      <w:sz w:val="28"/>
      <w:szCs w:val="20"/>
      <w:lang w:eastAsia="zh-CN" w:bidi="ar-SA"/>
    </w:rPr>
  </w:style>
  <w:style w:type="paragraph" w:customStyle="1" w:styleId="632">
    <w:name w:val="样式 宋体 小四 行距: 固定值 25 磅1"/>
    <w:basedOn w:val="1"/>
    <w:autoRedefine/>
    <w:qFormat/>
    <w:uiPriority w:val="0"/>
    <w:pPr>
      <w:spacing w:line="500" w:lineRule="exact"/>
      <w:ind w:firstLine="200" w:firstLineChars="200"/>
    </w:pPr>
    <w:rPr>
      <w:rFonts w:ascii="楷体_GB2312" w:hAnsi="楷体_GB2312" w:eastAsia="楷体_GB2312" w:cs="楷体_GB2312"/>
      <w:sz w:val="24"/>
      <w:szCs w:val="24"/>
    </w:rPr>
  </w:style>
  <w:style w:type="paragraph" w:customStyle="1" w:styleId="633">
    <w:name w:val="Char Char Char1 Char"/>
    <w:basedOn w:val="1"/>
    <w:autoRedefine/>
    <w:qFormat/>
    <w:uiPriority w:val="0"/>
    <w:rPr>
      <w:szCs w:val="24"/>
    </w:rPr>
  </w:style>
  <w:style w:type="paragraph" w:customStyle="1" w:styleId="634">
    <w:name w:val="xl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635">
    <w:name w:val="封面正文"/>
    <w:autoRedefine/>
    <w:qFormat/>
    <w:uiPriority w:val="0"/>
    <w:pPr>
      <w:jc w:val="both"/>
    </w:pPr>
    <w:rPr>
      <w:rFonts w:ascii="Times New Roman" w:hAnsi="Times New Roman" w:eastAsia="宋体" w:cs="Times New Roman"/>
      <w:lang w:val="en-US" w:eastAsia="zh-CN" w:bidi="ar-SA"/>
    </w:rPr>
  </w:style>
  <w:style w:type="paragraph" w:customStyle="1" w:styleId="636">
    <w:name w:val="。。。。。。表头"/>
    <w:basedOn w:val="1"/>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b/>
      <w:kern w:val="2"/>
      <w:sz w:val="21"/>
      <w:szCs w:val="24"/>
      <w:lang w:val="en-US" w:eastAsia="zh-CN" w:bidi="ar"/>
    </w:rPr>
  </w:style>
  <w:style w:type="paragraph" w:customStyle="1" w:styleId="637">
    <w:name w:val="样式 四号 首行缩进:  2 字符"/>
    <w:basedOn w:val="1"/>
    <w:autoRedefine/>
    <w:qFormat/>
    <w:uiPriority w:val="0"/>
    <w:pPr>
      <w:spacing w:line="480" w:lineRule="atLeast"/>
      <w:ind w:firstLine="200" w:firstLineChars="200"/>
    </w:pPr>
    <w:rPr>
      <w:sz w:val="24"/>
      <w:szCs w:val="24"/>
    </w:rPr>
  </w:style>
  <w:style w:type="paragraph" w:customStyle="1" w:styleId="638">
    <w:name w:val="样式 首行缩进:  2 字符 行距: 固定值 23 磅"/>
    <w:basedOn w:val="1"/>
    <w:autoRedefine/>
    <w:qFormat/>
    <w:uiPriority w:val="0"/>
    <w:pPr>
      <w:spacing w:line="460" w:lineRule="exact"/>
      <w:ind w:firstLine="648" w:firstLineChars="200"/>
    </w:pPr>
    <w:rPr>
      <w:rFonts w:cs="宋体"/>
      <w:sz w:val="24"/>
      <w:szCs w:val="24"/>
    </w:rPr>
  </w:style>
  <w:style w:type="paragraph" w:customStyle="1" w:styleId="639">
    <w:name w:val="标题 2 + 行距: 标题2+首行缩进 0倍"/>
    <w:basedOn w:val="3"/>
    <w:autoRedefine/>
    <w:qFormat/>
    <w:uiPriority w:val="0"/>
    <w:pPr>
      <w:tabs>
        <w:tab w:val="left" w:pos="8140"/>
      </w:tabs>
      <w:spacing w:before="0" w:after="0" w:line="360" w:lineRule="auto"/>
    </w:pPr>
    <w:rPr>
      <w:rFonts w:ascii="黑体" w:eastAsia="黑体"/>
      <w:b w:val="0"/>
      <w:kern w:val="0"/>
    </w:rPr>
  </w:style>
  <w:style w:type="paragraph" w:customStyle="1" w:styleId="640">
    <w:name w:val="表后空行"/>
    <w:basedOn w:val="1"/>
    <w:autoRedefine/>
    <w:qFormat/>
    <w:uiPriority w:val="0"/>
    <w:pPr>
      <w:overflowPunct w:val="0"/>
      <w:adjustRightInd w:val="0"/>
      <w:textAlignment w:val="baseline"/>
    </w:pPr>
    <w:rPr>
      <w:kern w:val="28"/>
      <w:sz w:val="10"/>
      <w:szCs w:val="20"/>
    </w:rPr>
  </w:style>
  <w:style w:type="paragraph" w:customStyle="1" w:styleId="641">
    <w:name w:val="样式 标题 3 + 黑色"/>
    <w:basedOn w:val="4"/>
    <w:autoRedefine/>
    <w:qFormat/>
    <w:uiPriority w:val="0"/>
    <w:pPr>
      <w:spacing w:before="100" w:after="100" w:line="240" w:lineRule="auto"/>
    </w:pPr>
    <w:rPr>
      <w:bCs w:val="0"/>
      <w:color w:val="000000"/>
      <w:sz w:val="24"/>
      <w:szCs w:val="24"/>
    </w:rPr>
  </w:style>
  <w:style w:type="paragraph" w:customStyle="1" w:styleId="642">
    <w:name w:val="样式 (西文) 楷体_GB2312 居中"/>
    <w:basedOn w:val="1"/>
    <w:autoRedefine/>
    <w:qFormat/>
    <w:uiPriority w:val="0"/>
    <w:pPr>
      <w:jc w:val="center"/>
    </w:pPr>
    <w:rPr>
      <w:rFonts w:ascii="楷体_GB2312" w:hAnsi="楷体_GB2312" w:eastAsia="楷体_GB2312" w:cs="楷体_GB2312"/>
      <w:szCs w:val="21"/>
    </w:rPr>
  </w:style>
  <w:style w:type="paragraph" w:customStyle="1" w:styleId="643">
    <w:name w:val="样式 标题 2W2 +2"/>
    <w:basedOn w:val="3"/>
    <w:autoRedefine/>
    <w:qFormat/>
    <w:uiPriority w:val="0"/>
    <w:pPr>
      <w:spacing w:beforeLines="50" w:afterLines="50"/>
      <w:ind w:left="-288"/>
    </w:pPr>
    <w:rPr>
      <w:rFonts w:ascii="黑体" w:hAnsi="宋体" w:eastAsia="黑体"/>
    </w:rPr>
  </w:style>
  <w:style w:type="paragraph" w:customStyle="1" w:styleId="644">
    <w:name w:val="样式 标题 2 + 黑色"/>
    <w:basedOn w:val="3"/>
    <w:next w:val="78"/>
    <w:autoRedefine/>
    <w:qFormat/>
    <w:uiPriority w:val="0"/>
    <w:pPr>
      <w:snapToGrid w:val="0"/>
      <w:spacing w:before="100" w:beforeAutospacing="1" w:after="0" w:line="360" w:lineRule="auto"/>
    </w:pPr>
    <w:rPr>
      <w:rFonts w:ascii="黑体" w:hAnsi="Arial" w:eastAsia="黑体"/>
      <w:bCs/>
      <w:color w:val="000000"/>
      <w:kern w:val="18"/>
      <w:szCs w:val="30"/>
    </w:rPr>
  </w:style>
  <w:style w:type="paragraph" w:customStyle="1" w:styleId="645">
    <w:name w:val="第一章章节"/>
    <w:basedOn w:val="2"/>
    <w:autoRedefine/>
    <w:qFormat/>
    <w:uiPriority w:val="0"/>
    <w:pPr>
      <w:widowControl/>
      <w:tabs>
        <w:tab w:val="left" w:pos="360"/>
        <w:tab w:val="left" w:pos="2100"/>
        <w:tab w:val="center" w:pos="4170"/>
      </w:tabs>
      <w:spacing w:beforeLines="50" w:afterLines="50"/>
      <w:ind w:left="360" w:hanging="360" w:hangingChars="200"/>
      <w:jc w:val="center"/>
    </w:pPr>
    <w:rPr>
      <w:rFonts w:eastAsia="隶书"/>
      <w:color w:val="000000"/>
      <w:spacing w:val="5"/>
      <w:kern w:val="2"/>
      <w:sz w:val="44"/>
      <w:szCs w:val="32"/>
      <w:lang w:val="zh-CN"/>
    </w:rPr>
  </w:style>
  <w:style w:type="paragraph" w:customStyle="1" w:styleId="646">
    <w:name w:val="CM90"/>
    <w:basedOn w:val="598"/>
    <w:next w:val="598"/>
    <w:autoRedefine/>
    <w:qFormat/>
    <w:uiPriority w:val="0"/>
    <w:pPr>
      <w:spacing w:after="735"/>
    </w:pPr>
    <w:rPr>
      <w:rFonts w:ascii="宋体" w:eastAsia="宋体" w:cs="Times New Roman"/>
      <w:color w:val="auto"/>
      <w:sz w:val="20"/>
    </w:rPr>
  </w:style>
  <w:style w:type="paragraph" w:customStyle="1" w:styleId="647">
    <w:name w:val="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48">
    <w:name w:val="封面3"/>
    <w:basedOn w:val="649"/>
    <w:autoRedefine/>
    <w:qFormat/>
    <w:uiPriority w:val="0"/>
    <w:rPr>
      <w:rFonts w:ascii="宋体" w:hAnsi="宋体"/>
      <w:sz w:val="96"/>
      <w:szCs w:val="96"/>
    </w:rPr>
  </w:style>
  <w:style w:type="paragraph" w:customStyle="1" w:styleId="649">
    <w:name w:val="封面2"/>
    <w:basedOn w:val="1"/>
    <w:autoRedefine/>
    <w:qFormat/>
    <w:uiPriority w:val="0"/>
    <w:pPr>
      <w:jc w:val="center"/>
    </w:pPr>
    <w:rPr>
      <w:b/>
      <w:sz w:val="44"/>
      <w:szCs w:val="24"/>
    </w:rPr>
  </w:style>
  <w:style w:type="paragraph" w:customStyle="1" w:styleId="650">
    <w:name w:val="样式 正文缩进 + 首行缩进:  2 字符"/>
    <w:basedOn w:val="18"/>
    <w:autoRedefine/>
    <w:qFormat/>
    <w:uiPriority w:val="0"/>
    <w:pPr>
      <w:autoSpaceDE w:val="0"/>
      <w:autoSpaceDN w:val="0"/>
      <w:adjustRightInd w:val="0"/>
      <w:ind w:firstLine="480"/>
    </w:pPr>
    <w:rPr>
      <w:rFonts w:ascii="仿宋_GB2312" w:eastAsia="仿宋_GB2312" w:cs="宋体"/>
      <w:kern w:val="0"/>
      <w:sz w:val="24"/>
      <w:szCs w:val="20"/>
    </w:rPr>
  </w:style>
  <w:style w:type="paragraph" w:customStyle="1" w:styleId="651">
    <w:name w:val="正文2002"/>
    <w:basedOn w:val="1"/>
    <w:autoRedefine/>
    <w:qFormat/>
    <w:uiPriority w:val="0"/>
    <w:pPr>
      <w:spacing w:line="340" w:lineRule="exact"/>
      <w:ind w:firstLine="0" w:firstLineChars="0"/>
      <w:jc w:val="center"/>
    </w:pPr>
    <w:rPr>
      <w:sz w:val="21"/>
    </w:rPr>
  </w:style>
  <w:style w:type="paragraph" w:customStyle="1" w:styleId="652">
    <w:name w:val="样式 标题 1标题1H1PIM 1h1标题 1(章)一、1.标题 1封面大标题W1 CharW1标题 1 ..."/>
    <w:basedOn w:val="2"/>
    <w:next w:val="29"/>
    <w:autoRedefine/>
    <w:qFormat/>
    <w:uiPriority w:val="0"/>
    <w:pPr>
      <w:keepNext/>
      <w:tabs>
        <w:tab w:val="left" w:pos="2100"/>
        <w:tab w:val="center" w:pos="4170"/>
      </w:tabs>
      <w:spacing w:beforeLines="50" w:afterLines="50"/>
      <w:ind w:left="30"/>
      <w:jc w:val="both"/>
    </w:pPr>
    <w:rPr>
      <w:rFonts w:ascii="黑体" w:eastAsia="黑体" w:cs="宋体"/>
      <w:color w:val="000000"/>
      <w:spacing w:val="5"/>
      <w:kern w:val="144"/>
      <w:lang w:val="zh-CN"/>
    </w:rPr>
  </w:style>
  <w:style w:type="paragraph" w:customStyle="1" w:styleId="653">
    <w:name w:val="1.1二级标题"/>
    <w:basedOn w:val="1"/>
    <w:autoRedefine/>
    <w:qFormat/>
    <w:uiPriority w:val="0"/>
    <w:pPr>
      <w:spacing w:beforeLines="50" w:line="360" w:lineRule="auto"/>
      <w:outlineLvl w:val="1"/>
    </w:pPr>
    <w:rPr>
      <w:rFonts w:eastAsia="黑体"/>
      <w:b/>
      <w:sz w:val="30"/>
      <w:szCs w:val="20"/>
    </w:rPr>
  </w:style>
  <w:style w:type="paragraph" w:customStyle="1" w:styleId="654">
    <w:name w:val="正文文本 31"/>
    <w:basedOn w:val="1"/>
    <w:autoRedefine/>
    <w:qFormat/>
    <w:uiPriority w:val="0"/>
    <w:pPr>
      <w:adjustRightInd w:val="0"/>
      <w:jc w:val="center"/>
      <w:textAlignment w:val="baseline"/>
    </w:pPr>
    <w:rPr>
      <w:szCs w:val="20"/>
    </w:rPr>
  </w:style>
  <w:style w:type="paragraph" w:customStyle="1" w:styleId="655">
    <w:name w:val="puce"/>
    <w:basedOn w:val="1"/>
    <w:autoRedefine/>
    <w:qFormat/>
    <w:uiPriority w:val="0"/>
    <w:pPr>
      <w:widowControl/>
      <w:tabs>
        <w:tab w:val="left" w:pos="680"/>
      </w:tabs>
      <w:adjustRightInd w:val="0"/>
      <w:snapToGrid w:val="0"/>
      <w:spacing w:line="360" w:lineRule="auto"/>
      <w:ind w:left="1304" w:hanging="284"/>
    </w:pPr>
    <w:rPr>
      <w:rFonts w:ascii="Arial" w:hAnsi="Arial"/>
      <w:kern w:val="0"/>
      <w:sz w:val="24"/>
      <w:szCs w:val="20"/>
    </w:rPr>
  </w:style>
  <w:style w:type="paragraph" w:customStyle="1" w:styleId="656">
    <w:name w:val="Char Char1"/>
    <w:basedOn w:val="1"/>
    <w:autoRedefine/>
    <w:semiHidden/>
    <w:qFormat/>
    <w:uiPriority w:val="0"/>
    <w:pPr>
      <w:snapToGrid w:val="0"/>
      <w:spacing w:line="440" w:lineRule="atLeast"/>
    </w:pPr>
    <w:rPr>
      <w:rFonts w:ascii="宋体" w:hAnsi="宋体" w:cs="Courier New"/>
      <w:sz w:val="32"/>
      <w:szCs w:val="32"/>
    </w:rPr>
  </w:style>
  <w:style w:type="paragraph" w:customStyle="1" w:styleId="657">
    <w:name w:val="HD4"/>
    <w:basedOn w:val="1"/>
    <w:autoRedefine/>
    <w:qFormat/>
    <w:uiPriority w:val="0"/>
    <w:pPr>
      <w:spacing w:before="240" w:after="120" w:line="520" w:lineRule="exact"/>
    </w:pPr>
    <w:rPr>
      <w:b/>
      <w:sz w:val="28"/>
      <w:szCs w:val="20"/>
    </w:rPr>
  </w:style>
  <w:style w:type="paragraph" w:customStyle="1" w:styleId="658">
    <w:name w:val="样式 正文文本缩进 3 + 行距: 固定值 19 磅"/>
    <w:basedOn w:val="63"/>
    <w:autoRedefine/>
    <w:qFormat/>
    <w:uiPriority w:val="0"/>
    <w:pPr>
      <w:widowControl w:val="0"/>
      <w:spacing w:line="380" w:lineRule="exact"/>
      <w:ind w:left="0" w:leftChars="0"/>
      <w:jc w:val="center"/>
    </w:pPr>
    <w:rPr>
      <w:rFonts w:cs="宋体"/>
      <w:kern w:val="2"/>
      <w:szCs w:val="20"/>
      <w:lang w:eastAsia="zh-CN" w:bidi="ar-SA"/>
    </w:rPr>
  </w:style>
  <w:style w:type="paragraph" w:customStyle="1" w:styleId="659">
    <w:name w:val="xl5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b/>
      <w:bCs/>
      <w:kern w:val="0"/>
      <w:sz w:val="20"/>
      <w:szCs w:val="20"/>
    </w:rPr>
  </w:style>
  <w:style w:type="paragraph" w:customStyle="1" w:styleId="660">
    <w:name w:val="表格式"/>
    <w:basedOn w:val="59"/>
    <w:autoRedefine/>
    <w:qFormat/>
    <w:uiPriority w:val="0"/>
    <w:pPr>
      <w:widowControl w:val="0"/>
      <w:spacing w:beforeLines="50" w:afterLines="50" w:line="200" w:lineRule="exact"/>
      <w:ind w:firstLine="0"/>
      <w:jc w:val="center"/>
      <w:outlineLvl w:val="9"/>
    </w:pPr>
    <w:rPr>
      <w:rFonts w:eastAsia="宋体"/>
      <w:b w:val="0"/>
      <w:color w:val="auto"/>
      <w:kern w:val="2"/>
      <w:sz w:val="21"/>
      <w:lang w:eastAsia="zh-CN" w:bidi="ar-SA"/>
    </w:rPr>
  </w:style>
  <w:style w:type="paragraph" w:customStyle="1" w:styleId="661">
    <w:name w:val="ST20_1"/>
    <w:basedOn w:val="1"/>
    <w:autoRedefine/>
    <w:semiHidden/>
    <w:qFormat/>
    <w:uiPriority w:val="0"/>
    <w:pPr>
      <w:adjustRightInd w:val="0"/>
      <w:jc w:val="center"/>
      <w:textAlignment w:val="baseline"/>
    </w:pPr>
    <w:rPr>
      <w:rFonts w:ascii="宋体"/>
      <w:kern w:val="0"/>
      <w:szCs w:val="20"/>
    </w:rPr>
  </w:style>
  <w:style w:type="paragraph" w:customStyle="1" w:styleId="662">
    <w:name w:val="表居中（中文）"/>
    <w:basedOn w:val="624"/>
    <w:autoRedefine/>
    <w:qFormat/>
    <w:uiPriority w:val="0"/>
    <w:pPr>
      <w:ind w:left="0"/>
      <w:jc w:val="center"/>
    </w:pPr>
  </w:style>
  <w:style w:type="paragraph" w:customStyle="1" w:styleId="663">
    <w:name w:val="表格正文"/>
    <w:basedOn w:val="1"/>
    <w:autoRedefine/>
    <w:qFormat/>
    <w:uiPriority w:val="0"/>
    <w:pPr>
      <w:tabs>
        <w:tab w:val="left" w:pos="1081"/>
        <w:tab w:val="left" w:pos="6037"/>
      </w:tabs>
      <w:snapToGrid w:val="0"/>
      <w:spacing w:line="360" w:lineRule="atLeast"/>
      <w:ind w:right="-28"/>
      <w:jc w:val="left"/>
    </w:pPr>
    <w:rPr>
      <w:spacing w:val="-8"/>
      <w:kern w:val="0"/>
      <w:szCs w:val="21"/>
    </w:rPr>
  </w:style>
  <w:style w:type="paragraph" w:customStyle="1" w:styleId="664">
    <w:name w:val="Char11"/>
    <w:basedOn w:val="1"/>
    <w:autoRedefine/>
    <w:qFormat/>
    <w:uiPriority w:val="0"/>
    <w:rPr>
      <w:szCs w:val="24"/>
    </w:rPr>
  </w:style>
  <w:style w:type="paragraph" w:customStyle="1" w:styleId="665">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22"/>
      <w:lang w:eastAsia="en-US" w:bidi="en-US"/>
    </w:rPr>
  </w:style>
  <w:style w:type="paragraph" w:customStyle="1" w:styleId="666">
    <w:name w:val="标题三 楷体"/>
    <w:basedOn w:val="4"/>
    <w:autoRedefine/>
    <w:qFormat/>
    <w:uiPriority w:val="0"/>
    <w:pPr>
      <w:keepNext w:val="0"/>
      <w:keepLines w:val="0"/>
      <w:adjustRightInd w:val="0"/>
      <w:spacing w:before="0" w:after="0" w:line="500" w:lineRule="exact"/>
    </w:pPr>
    <w:rPr>
      <w:rFonts w:ascii="楷体_GB2312" w:eastAsia="楷体_GB2312"/>
      <w:bCs w:val="0"/>
      <w:snapToGrid w:val="0"/>
      <w:kern w:val="0"/>
      <w:sz w:val="24"/>
      <w:szCs w:val="24"/>
    </w:rPr>
  </w:style>
  <w:style w:type="paragraph" w:customStyle="1" w:styleId="667">
    <w:name w:val="样式 样式 标题 1标题1章节H1一、h11st levelSection Headl1H11H12第A章第*...2 + 加粗..."/>
    <w:basedOn w:val="1"/>
    <w:autoRedefine/>
    <w:qFormat/>
    <w:uiPriority w:val="0"/>
    <w:pPr>
      <w:keepNext/>
      <w:keepLines/>
      <w:spacing w:before="240" w:after="240" w:line="520" w:lineRule="exact"/>
      <w:outlineLvl w:val="0"/>
    </w:pPr>
    <w:rPr>
      <w:rFonts w:ascii="宋体" w:hAnsi="宋体" w:eastAsia="黑体" w:cs="宋体"/>
      <w:b/>
      <w:bCs/>
      <w:color w:val="000000"/>
      <w:sz w:val="32"/>
      <w:szCs w:val="20"/>
    </w:rPr>
  </w:style>
  <w:style w:type="paragraph" w:customStyle="1" w:styleId="668">
    <w:name w:val="样式 标题 2 + 四号 段前: 12 磅"/>
    <w:basedOn w:val="3"/>
    <w:autoRedefine/>
    <w:qFormat/>
    <w:uiPriority w:val="0"/>
    <w:pPr>
      <w:spacing w:before="240" w:after="0" w:line="360" w:lineRule="auto"/>
    </w:pPr>
    <w:rPr>
      <w:rFonts w:ascii="宋体" w:hAnsi="宋体" w:cs="宋体"/>
      <w:b w:val="0"/>
      <w:sz w:val="28"/>
      <w:szCs w:val="28"/>
      <w:lang w:bidi="sa-IN"/>
    </w:rPr>
  </w:style>
  <w:style w:type="paragraph" w:customStyle="1" w:styleId="669">
    <w:name w:val="标准"/>
    <w:basedOn w:val="1"/>
    <w:autoRedefine/>
    <w:qFormat/>
    <w:uiPriority w:val="0"/>
    <w:pPr>
      <w:adjustRightInd w:val="0"/>
      <w:spacing w:line="360" w:lineRule="auto"/>
      <w:textAlignment w:val="baseline"/>
    </w:pPr>
    <w:rPr>
      <w:rFonts w:ascii="宋体"/>
      <w:kern w:val="0"/>
      <w:sz w:val="28"/>
      <w:szCs w:val="20"/>
    </w:rPr>
  </w:style>
  <w:style w:type="paragraph" w:customStyle="1" w:styleId="670">
    <w:name w:val="表格内文字"/>
    <w:autoRedefine/>
    <w:qFormat/>
    <w:uiPriority w:val="0"/>
    <w:pPr>
      <w:keepNext/>
      <w:widowControl w:val="0"/>
      <w:spacing w:line="240" w:lineRule="atLeast"/>
      <w:ind w:left="-105" w:leftChars="-50" w:right="-105" w:rightChars="-50"/>
      <w:jc w:val="center"/>
    </w:pPr>
    <w:rPr>
      <w:rFonts w:ascii="宋体" w:hAnsi="宋体" w:eastAsia="宋体" w:cs="Times New Roman"/>
      <w:w w:val="90"/>
      <w:lang w:val="en-US" w:eastAsia="zh-CN" w:bidi="ar-SA"/>
    </w:rPr>
  </w:style>
  <w:style w:type="paragraph" w:customStyle="1" w:styleId="671">
    <w:name w:val="表格样式1"/>
    <w:basedOn w:val="1"/>
    <w:autoRedefine/>
    <w:qFormat/>
    <w:uiPriority w:val="0"/>
    <w:pPr>
      <w:adjustRightInd w:val="0"/>
      <w:spacing w:line="20" w:lineRule="atLeast"/>
      <w:jc w:val="center"/>
      <w:textAlignment w:val="baseline"/>
    </w:pPr>
    <w:rPr>
      <w:rFonts w:ascii="宋体"/>
      <w:kern w:val="0"/>
      <w:sz w:val="26"/>
      <w:szCs w:val="20"/>
    </w:rPr>
  </w:style>
  <w:style w:type="paragraph" w:customStyle="1" w:styleId="672">
    <w:name w:val="左五"/>
    <w:basedOn w:val="1"/>
    <w:autoRedefine/>
    <w:qFormat/>
    <w:uiPriority w:val="0"/>
    <w:pPr>
      <w:adjustRightInd w:val="0"/>
      <w:snapToGrid w:val="0"/>
      <w:spacing w:line="280" w:lineRule="exact"/>
      <w:jc w:val="left"/>
    </w:pPr>
    <w:rPr>
      <w:rFonts w:ascii="宋体" w:hAnsi="Symusic"/>
      <w:color w:val="000000"/>
      <w:sz w:val="18"/>
      <w:szCs w:val="24"/>
    </w:rPr>
  </w:style>
  <w:style w:type="paragraph" w:customStyle="1" w:styleId="673">
    <w:name w:val="表格名和图名"/>
    <w:basedOn w:val="1"/>
    <w:autoRedefine/>
    <w:qFormat/>
    <w:uiPriority w:val="0"/>
    <w:pPr>
      <w:spacing w:line="360" w:lineRule="auto"/>
      <w:jc w:val="center"/>
    </w:pPr>
    <w:rPr>
      <w:color w:val="000000"/>
      <w:sz w:val="24"/>
      <w:szCs w:val="24"/>
    </w:rPr>
  </w:style>
  <w:style w:type="paragraph" w:customStyle="1" w:styleId="67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lang w:eastAsia="en-US" w:bidi="en-US"/>
    </w:rPr>
  </w:style>
  <w:style w:type="paragraph" w:customStyle="1" w:styleId="675">
    <w:name w:val="样式 正文 首行缩进:  2 字符 + 首行缩进:  2 字符"/>
    <w:basedOn w:val="1"/>
    <w:autoRedefine/>
    <w:qFormat/>
    <w:uiPriority w:val="0"/>
    <w:pPr>
      <w:spacing w:line="240" w:lineRule="exact"/>
      <w:ind w:firstLine="560" w:firstLineChars="200"/>
    </w:pPr>
    <w:rPr>
      <w:sz w:val="28"/>
      <w:szCs w:val="20"/>
    </w:rPr>
  </w:style>
  <w:style w:type="paragraph" w:customStyle="1" w:styleId="676">
    <w:name w:val="自定义正文"/>
    <w:basedOn w:val="1"/>
    <w:autoRedefine/>
    <w:qFormat/>
    <w:uiPriority w:val="0"/>
    <w:pPr>
      <w:adjustRightInd w:val="0"/>
      <w:spacing w:line="360" w:lineRule="auto"/>
      <w:ind w:firstLine="560"/>
    </w:pPr>
    <w:rPr>
      <w:kern w:val="0"/>
      <w:sz w:val="28"/>
      <w:szCs w:val="20"/>
    </w:rPr>
  </w:style>
  <w:style w:type="paragraph" w:customStyle="1" w:styleId="677">
    <w:name w:val="样式 四号2"/>
    <w:basedOn w:val="1"/>
    <w:autoRedefine/>
    <w:qFormat/>
    <w:uiPriority w:val="0"/>
    <w:pPr>
      <w:spacing w:line="440" w:lineRule="exact"/>
      <w:ind w:firstLine="200" w:firstLineChars="200"/>
    </w:pPr>
    <w:rPr>
      <w:kern w:val="0"/>
      <w:sz w:val="28"/>
      <w:szCs w:val="24"/>
    </w:rPr>
  </w:style>
  <w:style w:type="paragraph" w:customStyle="1" w:styleId="678">
    <w:name w:val="正文样式1"/>
    <w:basedOn w:val="1"/>
    <w:autoRedefine/>
    <w:qFormat/>
    <w:uiPriority w:val="0"/>
    <w:pPr>
      <w:adjustRightInd w:val="0"/>
      <w:spacing w:line="480" w:lineRule="atLeast"/>
      <w:ind w:firstLine="567"/>
      <w:jc w:val="left"/>
      <w:textAlignment w:val="baseline"/>
    </w:pPr>
    <w:rPr>
      <w:kern w:val="0"/>
      <w:sz w:val="28"/>
      <w:szCs w:val="20"/>
    </w:rPr>
  </w:style>
  <w:style w:type="paragraph" w:customStyle="1" w:styleId="679">
    <w:name w:val="Table Paragraph"/>
    <w:basedOn w:val="1"/>
    <w:autoRedefine/>
    <w:qFormat/>
    <w:uiPriority w:val="1"/>
    <w:pPr>
      <w:spacing w:before="100" w:beforeAutospacing="1"/>
      <w:jc w:val="left"/>
    </w:pPr>
    <w:rPr>
      <w:rFonts w:ascii="Calibri" w:hAnsi="Calibri"/>
      <w:kern w:val="0"/>
      <w:sz w:val="22"/>
    </w:rPr>
  </w:style>
  <w:style w:type="paragraph" w:customStyle="1" w:styleId="680">
    <w:name w:val="xl41"/>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4"/>
    </w:rPr>
  </w:style>
  <w:style w:type="paragraph" w:customStyle="1" w:styleId="681">
    <w:name w:val="reader-word-layer reader-word-s1-8"/>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82">
    <w:name w:val="1-正文"/>
    <w:basedOn w:val="1"/>
    <w:autoRedefine/>
    <w:qFormat/>
    <w:uiPriority w:val="0"/>
    <w:pPr>
      <w:spacing w:line="360" w:lineRule="auto"/>
      <w:ind w:firstLine="200" w:firstLineChars="200"/>
    </w:pPr>
    <w:rPr>
      <w:rFonts w:ascii="宋体" w:hAnsi="宋体"/>
      <w:sz w:val="24"/>
      <w:szCs w:val="24"/>
    </w:rPr>
  </w:style>
  <w:style w:type="paragraph" w:customStyle="1" w:styleId="683">
    <w:name w:val="样式 标题三！！！！"/>
    <w:basedOn w:val="1"/>
    <w:autoRedefine/>
    <w:qFormat/>
    <w:uiPriority w:val="0"/>
    <w:pPr>
      <w:autoSpaceDE w:val="0"/>
      <w:autoSpaceDN w:val="0"/>
      <w:adjustRightInd w:val="0"/>
      <w:spacing w:line="500" w:lineRule="exact"/>
      <w:outlineLvl w:val="2"/>
    </w:pPr>
    <w:rPr>
      <w:rFonts w:ascii="楷体_GB2312" w:hAnsi="楷体_GB2312" w:eastAsia="楷体_GB2312" w:cs="楷体_GB2312"/>
      <w:b/>
      <w:bCs/>
      <w:kern w:val="0"/>
      <w:sz w:val="28"/>
      <w:szCs w:val="28"/>
      <w:lang w:val="zh-CN"/>
    </w:rPr>
  </w:style>
  <w:style w:type="paragraph" w:customStyle="1" w:styleId="684">
    <w:name w:val="CM34"/>
    <w:basedOn w:val="598"/>
    <w:next w:val="598"/>
    <w:autoRedefine/>
    <w:qFormat/>
    <w:uiPriority w:val="0"/>
    <w:pPr>
      <w:spacing w:line="436" w:lineRule="atLeast"/>
    </w:pPr>
    <w:rPr>
      <w:rFonts w:ascii="宋体" w:eastAsia="宋体" w:cs="Times New Roman"/>
      <w:color w:val="auto"/>
      <w:sz w:val="20"/>
    </w:rPr>
  </w:style>
  <w:style w:type="paragraph" w:customStyle="1" w:styleId="685">
    <w:name w:val="表文字"/>
    <w:basedOn w:val="1"/>
    <w:autoRedefine/>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686">
    <w:name w:val="正文仿宋小四"/>
    <w:basedOn w:val="1"/>
    <w:autoRedefine/>
    <w:semiHidden/>
    <w:qFormat/>
    <w:uiPriority w:val="0"/>
    <w:pPr>
      <w:adjustRightInd w:val="0"/>
      <w:snapToGrid w:val="0"/>
      <w:spacing w:line="360" w:lineRule="auto"/>
      <w:ind w:firstLine="480" w:firstLineChars="200"/>
    </w:pPr>
    <w:rPr>
      <w:rFonts w:eastAsia="仿宋_GB2312"/>
      <w:sz w:val="24"/>
      <w:szCs w:val="24"/>
    </w:rPr>
  </w:style>
  <w:style w:type="paragraph" w:customStyle="1" w:styleId="687">
    <w:name w:val="环正文"/>
    <w:basedOn w:val="1"/>
    <w:autoRedefine/>
    <w:qFormat/>
    <w:uiPriority w:val="0"/>
    <w:pPr>
      <w:widowControl/>
      <w:suppressAutoHyphens/>
      <w:spacing w:line="500" w:lineRule="atLeast"/>
      <w:ind w:firstLine="480" w:firstLineChars="200"/>
      <w:jc w:val="left"/>
      <w:textAlignment w:val="baseline"/>
    </w:pPr>
    <w:rPr>
      <w:rFonts w:ascii="仿宋_GB2312" w:hAnsi="宋体" w:eastAsia="仿宋_GB2312"/>
      <w:color w:val="000000"/>
      <w:kern w:val="0"/>
      <w:sz w:val="24"/>
      <w:szCs w:val="24"/>
    </w:rPr>
  </w:style>
  <w:style w:type="paragraph" w:customStyle="1" w:styleId="688">
    <w:name w:val="标题三！！！！！！！"/>
    <w:basedOn w:val="4"/>
    <w:autoRedefine/>
    <w:qFormat/>
    <w:uiPriority w:val="0"/>
    <w:pPr>
      <w:keepNext w:val="0"/>
      <w:keepLines w:val="0"/>
      <w:spacing w:before="0" w:after="0" w:line="500" w:lineRule="exact"/>
    </w:pPr>
    <w:rPr>
      <w:rFonts w:ascii="楷体_GB2312" w:hAnsi="楷体_GB2312" w:eastAsia="楷体_GB2312" w:cs="楷体_GB2312"/>
      <w:bCs w:val="0"/>
      <w:sz w:val="28"/>
      <w:szCs w:val="28"/>
    </w:rPr>
  </w:style>
  <w:style w:type="paragraph" w:customStyle="1" w:styleId="689">
    <w:name w:val="五级无标题条"/>
    <w:basedOn w:val="1"/>
    <w:autoRedefine/>
    <w:qFormat/>
    <w:uiPriority w:val="0"/>
    <w:pPr>
      <w:tabs>
        <w:tab w:val="left" w:pos="1260"/>
      </w:tabs>
      <w:ind w:left="1260" w:hanging="420"/>
    </w:pPr>
    <w:rPr>
      <w:szCs w:val="24"/>
    </w:rPr>
  </w:style>
  <w:style w:type="paragraph" w:customStyle="1" w:styleId="690">
    <w:name w:val="xl3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4"/>
    </w:rPr>
  </w:style>
  <w:style w:type="paragraph" w:customStyle="1" w:styleId="691">
    <w:name w:val="样式 标题 1副标题 1一、 + 小三"/>
    <w:basedOn w:val="2"/>
    <w:autoRedefine/>
    <w:qFormat/>
    <w:uiPriority w:val="0"/>
    <w:pPr>
      <w:keepNext/>
      <w:keepLines/>
      <w:spacing w:beforeLines="100" w:afterLines="50" w:line="560" w:lineRule="exact"/>
      <w:jc w:val="both"/>
    </w:pPr>
    <w:rPr>
      <w:kern w:val="0"/>
      <w:szCs w:val="32"/>
    </w:rPr>
  </w:style>
  <w:style w:type="paragraph" w:customStyle="1" w:styleId="692">
    <w:name w:val="样式 标题 1 + 楷体_GB2312"/>
    <w:basedOn w:val="2"/>
    <w:autoRedefine/>
    <w:qFormat/>
    <w:uiPriority w:val="0"/>
    <w:pPr>
      <w:tabs>
        <w:tab w:val="left" w:pos="2100"/>
        <w:tab w:val="center" w:pos="4170"/>
      </w:tabs>
      <w:spacing w:beforeLines="50" w:afterLines="50" w:line="578" w:lineRule="auto"/>
      <w:ind w:left="28"/>
      <w:jc w:val="center"/>
    </w:pPr>
    <w:rPr>
      <w:rFonts w:ascii="楷体_GB2312" w:hAnsi="楷体_GB2312" w:eastAsia="楷体_GB2312"/>
      <w:color w:val="000000"/>
      <w:spacing w:val="5"/>
      <w:szCs w:val="32"/>
      <w:lang w:val="zh-CN"/>
    </w:rPr>
  </w:style>
  <w:style w:type="paragraph" w:customStyle="1" w:styleId="693">
    <w:name w:val="标题三！"/>
    <w:basedOn w:val="4"/>
    <w:autoRedefine/>
    <w:qFormat/>
    <w:uiPriority w:val="0"/>
    <w:pPr>
      <w:keepNext w:val="0"/>
      <w:keepLines w:val="0"/>
      <w:spacing w:before="0" w:after="0" w:line="500" w:lineRule="exact"/>
    </w:pPr>
    <w:rPr>
      <w:rFonts w:ascii="宋体" w:hAnsi="宋体" w:cs="宋体"/>
      <w:sz w:val="28"/>
      <w:szCs w:val="28"/>
    </w:rPr>
  </w:style>
  <w:style w:type="paragraph" w:customStyle="1" w:styleId="694">
    <w:name w:val="样式 (西文) 楷体_GB2312 首行缩进:  0.85 厘米1"/>
    <w:basedOn w:val="1"/>
    <w:autoRedefine/>
    <w:qFormat/>
    <w:uiPriority w:val="0"/>
    <w:pPr>
      <w:spacing w:line="500" w:lineRule="exact"/>
      <w:ind w:firstLine="200" w:firstLineChars="200"/>
    </w:pPr>
    <w:rPr>
      <w:rFonts w:ascii="楷体_GB2312" w:hAnsi="楷体_GB2312" w:eastAsia="楷体_GB2312" w:cs="楷体_GB2312"/>
      <w:sz w:val="24"/>
      <w:szCs w:val="24"/>
    </w:rPr>
  </w:style>
  <w:style w:type="paragraph" w:customStyle="1" w:styleId="695">
    <w:name w:val="正文 首行缩进:  2 字符"/>
    <w:basedOn w:val="1"/>
    <w:autoRedefine/>
    <w:qFormat/>
    <w:uiPriority w:val="0"/>
    <w:pPr>
      <w:ind w:firstLine="579" w:firstLineChars="200"/>
    </w:pPr>
    <w:rPr>
      <w:sz w:val="28"/>
      <w:szCs w:val="20"/>
    </w:rPr>
  </w:style>
  <w:style w:type="paragraph" w:customStyle="1" w:styleId="696">
    <w:name w:val="正文文字首航缩2字"/>
    <w:basedOn w:val="1"/>
    <w:autoRedefine/>
    <w:qFormat/>
    <w:uiPriority w:val="0"/>
    <w:pPr>
      <w:spacing w:line="360" w:lineRule="auto"/>
      <w:ind w:firstLine="200" w:firstLineChars="200"/>
    </w:pPr>
    <w:rPr>
      <w:sz w:val="24"/>
      <w:szCs w:val="24"/>
    </w:rPr>
  </w:style>
  <w:style w:type="paragraph" w:customStyle="1" w:styleId="697">
    <w:name w:val="zw"/>
    <w:basedOn w:val="1"/>
    <w:autoRedefine/>
    <w:qFormat/>
    <w:uiPriority w:val="0"/>
    <w:pPr>
      <w:widowControl/>
      <w:spacing w:before="30"/>
      <w:ind w:left="100" w:right="100"/>
    </w:pPr>
    <w:rPr>
      <w:rFonts w:ascii="方正书宋简体" w:hAnsi="宋体" w:eastAsia="方正书宋简体"/>
      <w:color w:val="000000"/>
      <w:kern w:val="0"/>
      <w:szCs w:val="21"/>
    </w:rPr>
  </w:style>
  <w:style w:type="paragraph" w:customStyle="1" w:styleId="698">
    <w:name w:val="表、图名宋旭峰"/>
    <w:basedOn w:val="475"/>
    <w:autoRedefine/>
    <w:qFormat/>
    <w:uiPriority w:val="0"/>
    <w:pPr>
      <w:spacing w:line="360" w:lineRule="auto"/>
    </w:pPr>
    <w:rPr>
      <w:rFonts w:ascii="黑体" w:hAnsi="宋体" w:eastAsia="黑体" w:cs="Times New Roman"/>
      <w:b w:val="0"/>
      <w:color w:val="008080"/>
    </w:rPr>
  </w:style>
  <w:style w:type="paragraph" w:customStyle="1" w:styleId="699">
    <w:name w:val="左侧"/>
    <w:autoRedefine/>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700">
    <w:name w:val="Char Char Char Char Char Char Char Char Char Char Char Char"/>
    <w:basedOn w:val="1"/>
    <w:next w:val="1"/>
    <w:autoRedefine/>
    <w:qFormat/>
    <w:uiPriority w:val="0"/>
    <w:pPr>
      <w:spacing w:line="360" w:lineRule="auto"/>
      <w:ind w:firstLine="200" w:firstLineChars="200"/>
    </w:pPr>
    <w:rPr>
      <w:rFonts w:ascii="宋体" w:hAnsi="宋体" w:cs="宋体"/>
      <w:sz w:val="24"/>
      <w:szCs w:val="24"/>
    </w:rPr>
  </w:style>
  <w:style w:type="paragraph" w:customStyle="1" w:styleId="701">
    <w:name w:val="寄件人地址"/>
    <w:autoRedefine/>
    <w:qFormat/>
    <w:uiPriority w:val="0"/>
    <w:pPr>
      <w:widowControl w:val="0"/>
      <w:adjustRightInd w:val="0"/>
      <w:ind w:left="567"/>
      <w:jc w:val="center"/>
      <w:textAlignment w:val="baseline"/>
    </w:pPr>
    <w:rPr>
      <w:rFonts w:ascii="宋体" w:hAnsi="Times New Roman" w:eastAsia="隶书_GB2312" w:cs="Times New Roman"/>
      <w:b/>
      <w:color w:val="008000"/>
      <w:sz w:val="32"/>
      <w:szCs w:val="22"/>
      <w:lang w:val="en-US" w:eastAsia="zh-CN" w:bidi="ar-SA"/>
    </w:rPr>
  </w:style>
  <w:style w:type="paragraph" w:customStyle="1" w:styleId="702">
    <w:name w:val="样式3"/>
    <w:basedOn w:val="3"/>
    <w:autoRedefine/>
    <w:qFormat/>
    <w:uiPriority w:val="0"/>
    <w:pPr>
      <w:keepNext w:val="0"/>
      <w:keepLines w:val="0"/>
      <w:tabs>
        <w:tab w:val="left" w:pos="3920"/>
        <w:tab w:val="left" w:pos="5670"/>
      </w:tabs>
      <w:adjustRightInd w:val="0"/>
      <w:spacing w:after="60" w:line="312" w:lineRule="auto"/>
      <w:contextualSpacing/>
    </w:pPr>
    <w:rPr>
      <w:b w:val="0"/>
      <w:color w:val="000000"/>
      <w:kern w:val="0"/>
      <w:szCs w:val="24"/>
    </w:rPr>
  </w:style>
  <w:style w:type="paragraph" w:customStyle="1" w:styleId="703">
    <w:name w:val="CM86"/>
    <w:basedOn w:val="598"/>
    <w:next w:val="598"/>
    <w:autoRedefine/>
    <w:qFormat/>
    <w:uiPriority w:val="0"/>
    <w:pPr>
      <w:spacing w:after="480"/>
    </w:pPr>
    <w:rPr>
      <w:rFonts w:ascii="宋体" w:eastAsia="宋体" w:cs="Times New Roman"/>
      <w:color w:val="auto"/>
      <w:sz w:val="20"/>
    </w:rPr>
  </w:style>
  <w:style w:type="paragraph" w:customStyle="1" w:styleId="704">
    <w:name w:val="f12"/>
    <w:basedOn w:val="1"/>
    <w:autoRedefine/>
    <w:qFormat/>
    <w:uiPriority w:val="0"/>
    <w:pPr>
      <w:widowControl/>
      <w:spacing w:before="100" w:beforeAutospacing="1" w:after="100" w:afterAutospacing="1" w:line="300" w:lineRule="atLeast"/>
      <w:jc w:val="left"/>
    </w:pPr>
    <w:rPr>
      <w:rFonts w:ascii="宋体" w:hAnsi="宋体" w:cs="宋体"/>
      <w:kern w:val="0"/>
      <w:sz w:val="18"/>
      <w:szCs w:val="18"/>
    </w:rPr>
  </w:style>
  <w:style w:type="paragraph" w:customStyle="1" w:styleId="705">
    <w:name w:val="封面落款"/>
    <w:basedOn w:val="1"/>
    <w:next w:val="1"/>
    <w:autoRedefine/>
    <w:qFormat/>
    <w:uiPriority w:val="0"/>
    <w:pPr>
      <w:jc w:val="center"/>
    </w:pPr>
    <w:rPr>
      <w:rFonts w:ascii="宋体"/>
      <w:sz w:val="32"/>
      <w:szCs w:val="28"/>
    </w:rPr>
  </w:style>
  <w:style w:type="paragraph" w:customStyle="1" w:styleId="706">
    <w:name w:val="正文！！！"/>
    <w:basedOn w:val="1"/>
    <w:autoRedefine/>
    <w:qFormat/>
    <w:uiPriority w:val="0"/>
    <w:pPr>
      <w:adjustRightInd w:val="0"/>
      <w:snapToGrid w:val="0"/>
      <w:spacing w:line="500" w:lineRule="exact"/>
      <w:ind w:firstLine="200" w:firstLineChars="200"/>
    </w:pPr>
    <w:rPr>
      <w:rFonts w:ascii="楷体_GB2312" w:hAnsi="宋体" w:eastAsia="楷体_GB2312" w:cs="宋体"/>
      <w:kern w:val="0"/>
      <w:sz w:val="24"/>
      <w:szCs w:val="20"/>
    </w:rPr>
  </w:style>
  <w:style w:type="paragraph" w:customStyle="1" w:styleId="707">
    <w:name w:val="密级编号"/>
    <w:basedOn w:val="1"/>
    <w:autoRedefine/>
    <w:qFormat/>
    <w:uiPriority w:val="0"/>
    <w:pPr>
      <w:adjustRightInd w:val="0"/>
      <w:jc w:val="center"/>
      <w:textAlignment w:val="baseline"/>
    </w:pPr>
    <w:rPr>
      <w:rFonts w:ascii="仿宋_GB2312" w:eastAsia="仿宋_GB2312"/>
      <w:kern w:val="0"/>
      <w:sz w:val="24"/>
      <w:szCs w:val="20"/>
    </w:rPr>
  </w:style>
  <w:style w:type="paragraph" w:customStyle="1" w:styleId="708">
    <w:name w:val="四级无标题条"/>
    <w:basedOn w:val="1"/>
    <w:autoRedefine/>
    <w:qFormat/>
    <w:uiPriority w:val="0"/>
    <w:rPr>
      <w:szCs w:val="24"/>
    </w:rPr>
  </w:style>
  <w:style w:type="paragraph" w:customStyle="1" w:styleId="709">
    <w:name w:val="居中"/>
    <w:basedOn w:val="29"/>
    <w:autoRedefine/>
    <w:qFormat/>
    <w:uiPriority w:val="0"/>
    <w:pPr>
      <w:widowControl w:val="0"/>
      <w:spacing w:after="0" w:line="500" w:lineRule="exact"/>
    </w:pPr>
    <w:rPr>
      <w:kern w:val="2"/>
      <w:sz w:val="24"/>
      <w:szCs w:val="24"/>
      <w:lang w:eastAsia="zh-CN" w:bidi="ar-SA"/>
    </w:rPr>
  </w:style>
  <w:style w:type="paragraph" w:customStyle="1" w:styleId="710">
    <w:name w:val="Char Char Char Char Char Char Char Char Char Char Char Char1 Char"/>
    <w:basedOn w:val="1"/>
    <w:next w:val="1"/>
    <w:autoRedefine/>
    <w:qFormat/>
    <w:uiPriority w:val="0"/>
    <w:pPr>
      <w:spacing w:line="360" w:lineRule="auto"/>
      <w:ind w:firstLine="200" w:firstLineChars="200"/>
    </w:pPr>
    <w:rPr>
      <w:rFonts w:ascii="宋体" w:hAnsi="宋体" w:cs="宋体"/>
      <w:sz w:val="24"/>
      <w:szCs w:val="24"/>
    </w:rPr>
  </w:style>
  <w:style w:type="paragraph" w:customStyle="1" w:styleId="711">
    <w:name w:val="样式 内容样式 + 首行缩进:  2 字符"/>
    <w:basedOn w:val="536"/>
    <w:autoRedefine/>
    <w:qFormat/>
    <w:uiPriority w:val="0"/>
    <w:pPr>
      <w:ind w:firstLine="480" w:firstLineChars="200"/>
    </w:pPr>
    <w:rPr>
      <w:rFonts w:ascii="宋体"/>
      <w:szCs w:val="24"/>
    </w:rPr>
  </w:style>
  <w:style w:type="paragraph" w:customStyle="1" w:styleId="712">
    <w:name w:val="正1"/>
    <w:basedOn w:val="1"/>
    <w:autoRedefine/>
    <w:qFormat/>
    <w:uiPriority w:val="0"/>
    <w:pPr>
      <w:spacing w:before="60" w:after="60" w:line="400" w:lineRule="exact"/>
      <w:ind w:right="32" w:firstLine="612"/>
    </w:pPr>
    <w:rPr>
      <w:rFonts w:ascii="宋体"/>
      <w:sz w:val="28"/>
      <w:szCs w:val="20"/>
    </w:rPr>
  </w:style>
  <w:style w:type="paragraph" w:customStyle="1" w:styleId="713">
    <w:name w:val="Char Char Char Char Char Char Char Char Char Char Char"/>
    <w:basedOn w:val="1"/>
    <w:autoRedefine/>
    <w:qFormat/>
    <w:uiPriority w:val="0"/>
    <w:rPr>
      <w:szCs w:val="24"/>
    </w:rPr>
  </w:style>
  <w:style w:type="paragraph" w:customStyle="1" w:styleId="714">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4"/>
    </w:rPr>
  </w:style>
  <w:style w:type="paragraph" w:customStyle="1" w:styleId="715">
    <w:name w:val="body 1"/>
    <w:basedOn w:val="1"/>
    <w:autoRedefine/>
    <w:semiHidden/>
    <w:qFormat/>
    <w:uiPriority w:val="0"/>
    <w:pPr>
      <w:adjustRightInd w:val="0"/>
      <w:spacing w:line="360" w:lineRule="atLeast"/>
      <w:textAlignment w:val="baseline"/>
    </w:pPr>
    <w:rPr>
      <w:rFonts w:ascii="華康中楷體" w:eastAsia="華康中楷體"/>
      <w:spacing w:val="60"/>
      <w:kern w:val="0"/>
      <w:sz w:val="24"/>
      <w:szCs w:val="20"/>
      <w:lang w:eastAsia="zh-TW"/>
    </w:rPr>
  </w:style>
  <w:style w:type="paragraph" w:customStyle="1" w:styleId="716">
    <w:name w:val="xl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Arial Unicode MS" w:hAnsi="Arial Unicode MS" w:eastAsia="Arial Unicode MS" w:cs="Arial Unicode MS"/>
      <w:kern w:val="0"/>
      <w:sz w:val="20"/>
      <w:szCs w:val="20"/>
    </w:rPr>
  </w:style>
  <w:style w:type="paragraph" w:customStyle="1" w:styleId="717">
    <w:name w:val="Char5"/>
    <w:basedOn w:val="1"/>
    <w:autoRedefine/>
    <w:qFormat/>
    <w:uiPriority w:val="0"/>
    <w:rPr>
      <w:sz w:val="24"/>
      <w:szCs w:val="24"/>
    </w:rPr>
  </w:style>
  <w:style w:type="paragraph" w:customStyle="1" w:styleId="718">
    <w:name w:val="样式"/>
    <w:basedOn w:val="1"/>
    <w:next w:val="63"/>
    <w:autoRedefine/>
    <w:qFormat/>
    <w:uiPriority w:val="0"/>
    <w:pPr>
      <w:tabs>
        <w:tab w:val="left" w:pos="6720"/>
      </w:tabs>
      <w:spacing w:line="360" w:lineRule="auto"/>
      <w:ind w:firstLine="480" w:firstLineChars="200"/>
    </w:pPr>
    <w:rPr>
      <w:rFonts w:ascii="楷体_GB2312" w:eastAsia="楷体_GB2312"/>
      <w:sz w:val="24"/>
      <w:szCs w:val="24"/>
    </w:rPr>
  </w:style>
  <w:style w:type="paragraph" w:customStyle="1" w:styleId="719">
    <w:name w:val="表后空行格式"/>
    <w:basedOn w:val="1"/>
    <w:autoRedefine/>
    <w:qFormat/>
    <w:uiPriority w:val="0"/>
    <w:pPr>
      <w:spacing w:line="240" w:lineRule="exact"/>
    </w:pPr>
    <w:rPr>
      <w:rFonts w:ascii="宋体"/>
      <w:sz w:val="18"/>
      <w:szCs w:val="24"/>
    </w:rPr>
  </w:style>
  <w:style w:type="paragraph" w:customStyle="1" w:styleId="720">
    <w:name w:val="样式 仿宋_GB2312 小四1"/>
    <w:basedOn w:val="1"/>
    <w:autoRedefine/>
    <w:semiHidden/>
    <w:qFormat/>
    <w:uiPriority w:val="0"/>
    <w:pPr>
      <w:adjustRightInd w:val="0"/>
      <w:spacing w:line="360" w:lineRule="auto"/>
      <w:ind w:firstLine="480" w:firstLineChars="200"/>
      <w:textAlignment w:val="baseline"/>
    </w:pPr>
    <w:rPr>
      <w:rFonts w:eastAsia="仿宋_GB2312"/>
      <w:kern w:val="0"/>
      <w:sz w:val="24"/>
      <w:szCs w:val="24"/>
    </w:rPr>
  </w:style>
  <w:style w:type="paragraph" w:customStyle="1" w:styleId="721">
    <w:name w:val="图表名"/>
    <w:basedOn w:val="1"/>
    <w:autoRedefine/>
    <w:qFormat/>
    <w:uiPriority w:val="0"/>
    <w:pPr>
      <w:adjustRightInd w:val="0"/>
      <w:snapToGrid w:val="0"/>
      <w:spacing w:line="360" w:lineRule="auto"/>
      <w:jc w:val="center"/>
    </w:pPr>
    <w:rPr>
      <w:rFonts w:eastAsia="黑体"/>
      <w:snapToGrid w:val="0"/>
      <w:color w:val="000000"/>
      <w:kern w:val="0"/>
      <w:sz w:val="28"/>
      <w:szCs w:val="28"/>
    </w:rPr>
  </w:style>
  <w:style w:type="paragraph" w:customStyle="1" w:styleId="722">
    <w:name w:val="样式 纯文本表格内容纯文本 Char普通文字加粗正文普通文字 Char Char普通文字 Char Char Cha..."/>
    <w:basedOn w:val="40"/>
    <w:autoRedefine/>
    <w:qFormat/>
    <w:uiPriority w:val="0"/>
    <w:pPr>
      <w:widowControl w:val="0"/>
      <w:spacing w:after="0" w:line="500" w:lineRule="exact"/>
      <w:ind w:firstLine="200" w:firstLineChars="200"/>
      <w:jc w:val="both"/>
    </w:pPr>
    <w:rPr>
      <w:rFonts w:ascii="楷体_GB2312" w:hAnsi="楷体_GB2312" w:eastAsia="楷体_GB2312" w:cs="楷体_GB2312"/>
      <w:kern w:val="2"/>
      <w:sz w:val="24"/>
      <w:szCs w:val="24"/>
      <w:lang w:eastAsia="zh-CN" w:bidi="ar-SA"/>
    </w:rPr>
  </w:style>
  <w:style w:type="paragraph" w:customStyle="1" w:styleId="723">
    <w:name w:val="报告表正文"/>
    <w:basedOn w:val="1"/>
    <w:autoRedefine/>
    <w:semiHidden/>
    <w:qFormat/>
    <w:uiPriority w:val="0"/>
    <w:pPr>
      <w:adjustRightInd w:val="0"/>
      <w:spacing w:line="312" w:lineRule="auto"/>
      <w:ind w:left="113" w:right="113" w:firstLine="482"/>
    </w:pPr>
    <w:rPr>
      <w:kern w:val="0"/>
      <w:sz w:val="24"/>
      <w:szCs w:val="20"/>
    </w:rPr>
  </w:style>
  <w:style w:type="paragraph" w:customStyle="1" w:styleId="724">
    <w:name w:val="湛江码头表"/>
    <w:basedOn w:val="1"/>
    <w:autoRedefine/>
    <w:semiHidden/>
    <w:qFormat/>
    <w:uiPriority w:val="0"/>
    <w:pPr>
      <w:jc w:val="center"/>
    </w:pPr>
    <w:rPr>
      <w:rFonts w:eastAsia="仿宋_GB2312"/>
      <w:kern w:val="0"/>
      <w:szCs w:val="24"/>
      <w:lang w:eastAsia="zh-TW"/>
    </w:rPr>
  </w:style>
  <w:style w:type="paragraph" w:customStyle="1" w:styleId="725">
    <w:name w:val="Char2"/>
    <w:basedOn w:val="1"/>
    <w:autoRedefine/>
    <w:qFormat/>
    <w:uiPriority w:val="0"/>
    <w:rPr>
      <w:szCs w:val="24"/>
    </w:rPr>
  </w:style>
  <w:style w:type="paragraph" w:customStyle="1" w:styleId="726">
    <w:name w:val="font10"/>
    <w:basedOn w:val="1"/>
    <w:autoRedefine/>
    <w:qFormat/>
    <w:uiPriority w:val="0"/>
    <w:pPr>
      <w:widowControl/>
      <w:spacing w:before="100" w:beforeAutospacing="1" w:after="100" w:afterAutospacing="1"/>
      <w:jc w:val="left"/>
    </w:pPr>
    <w:rPr>
      <w:rFonts w:eastAsia="Arial Unicode MS"/>
      <w:color w:val="000000"/>
      <w:kern w:val="0"/>
      <w:sz w:val="20"/>
      <w:szCs w:val="20"/>
    </w:rPr>
  </w:style>
  <w:style w:type="paragraph" w:customStyle="1" w:styleId="727">
    <w:name w:val="Char Char Char Char Char Char1 Char"/>
    <w:basedOn w:val="1"/>
    <w:autoRedefine/>
    <w:qFormat/>
    <w:uiPriority w:val="0"/>
    <w:rPr>
      <w:szCs w:val="24"/>
    </w:rPr>
  </w:style>
  <w:style w:type="paragraph" w:customStyle="1" w:styleId="728">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lang w:eastAsia="en-US" w:bidi="en-US"/>
    </w:rPr>
  </w:style>
  <w:style w:type="paragraph" w:customStyle="1" w:styleId="729">
    <w:name w:val="Char Char Char Char1"/>
    <w:basedOn w:val="1"/>
    <w:autoRedefine/>
    <w:qFormat/>
    <w:uiPriority w:val="0"/>
    <w:pPr>
      <w:snapToGrid w:val="0"/>
      <w:spacing w:line="440" w:lineRule="atLeast"/>
    </w:pPr>
    <w:rPr>
      <w:rFonts w:ascii="宋体"/>
      <w:sz w:val="24"/>
      <w:szCs w:val="24"/>
    </w:rPr>
  </w:style>
  <w:style w:type="paragraph" w:customStyle="1" w:styleId="730">
    <w:name w:val="样式 样式 标题 2 + 首行缩进： 0磅 + + 段前: 0.1 行 段后: 0.1 行"/>
    <w:basedOn w:val="1"/>
    <w:autoRedefine/>
    <w:qFormat/>
    <w:uiPriority w:val="0"/>
    <w:pPr>
      <w:keepNext/>
      <w:keepLines/>
      <w:tabs>
        <w:tab w:val="left" w:pos="8140"/>
      </w:tabs>
      <w:spacing w:beforeLines="10" w:afterLines="10" w:line="560" w:lineRule="exact"/>
      <w:jc w:val="left"/>
      <w:outlineLvl w:val="1"/>
    </w:pPr>
    <w:rPr>
      <w:rFonts w:ascii="宋体" w:hAnsi="宋体" w:eastAsia="黑体" w:cs="宋体"/>
      <w:color w:val="000000"/>
      <w:sz w:val="30"/>
      <w:szCs w:val="20"/>
    </w:rPr>
  </w:style>
  <w:style w:type="paragraph" w:customStyle="1" w:styleId="731">
    <w:name w:val="图文框"/>
    <w:basedOn w:val="1"/>
    <w:autoRedefine/>
    <w:qFormat/>
    <w:uiPriority w:val="0"/>
    <w:pPr>
      <w:adjustRightInd w:val="0"/>
      <w:snapToGrid w:val="0"/>
      <w:ind w:left="-111" w:leftChars="-53" w:right="-101" w:rightChars="-48"/>
      <w:jc w:val="center"/>
    </w:pPr>
    <w:rPr>
      <w:snapToGrid w:val="0"/>
      <w:kern w:val="0"/>
      <w:szCs w:val="20"/>
    </w:rPr>
  </w:style>
  <w:style w:type="paragraph" w:customStyle="1" w:styleId="732">
    <w:name w:val="项目编号"/>
    <w:basedOn w:val="1"/>
    <w:next w:val="1"/>
    <w:autoRedefine/>
    <w:qFormat/>
    <w:uiPriority w:val="0"/>
    <w:pPr>
      <w:spacing w:before="120" w:after="120" w:line="360" w:lineRule="auto"/>
    </w:pPr>
    <w:rPr>
      <w:sz w:val="24"/>
      <w:szCs w:val="20"/>
    </w:rPr>
  </w:style>
  <w:style w:type="paragraph" w:customStyle="1" w:styleId="733">
    <w:name w:val="Char Char Char Char Char"/>
    <w:basedOn w:val="1"/>
    <w:autoRedefine/>
    <w:qFormat/>
    <w:uiPriority w:val="0"/>
    <w:pPr>
      <w:snapToGrid w:val="0"/>
      <w:spacing w:line="360" w:lineRule="auto"/>
      <w:ind w:firstLine="200" w:firstLineChars="200"/>
    </w:pPr>
    <w:rPr>
      <w:szCs w:val="24"/>
    </w:rPr>
  </w:style>
  <w:style w:type="paragraph" w:customStyle="1" w:styleId="734">
    <w:name w:val="pvc1.1"/>
    <w:basedOn w:val="3"/>
    <w:next w:val="3"/>
    <w:autoRedefine/>
    <w:semiHidden/>
    <w:qFormat/>
    <w:uiPriority w:val="0"/>
    <w:pPr>
      <w:tabs>
        <w:tab w:val="left" w:pos="576"/>
        <w:tab w:val="left" w:pos="768"/>
      </w:tabs>
      <w:adjustRightInd w:val="0"/>
      <w:spacing w:beforeLines="100" w:afterLines="100" w:line="324" w:lineRule="auto"/>
      <w:ind w:left="576" w:hanging="576"/>
    </w:pPr>
    <w:rPr>
      <w:rFonts w:ascii="黑体" w:hAnsi="Arial" w:eastAsia="华文中宋" w:cs="宋体"/>
      <w:b w:val="0"/>
      <w:sz w:val="44"/>
      <w:szCs w:val="44"/>
    </w:rPr>
  </w:style>
  <w:style w:type="paragraph" w:customStyle="1" w:styleId="735">
    <w:name w:val="Char4 Char Char Char"/>
    <w:basedOn w:val="1"/>
    <w:autoRedefine/>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736">
    <w:name w:val="四级标题"/>
    <w:basedOn w:val="1"/>
    <w:autoRedefine/>
    <w:qFormat/>
    <w:uiPriority w:val="0"/>
    <w:pPr>
      <w:spacing w:line="500" w:lineRule="exact"/>
      <w:outlineLvl w:val="3"/>
    </w:pPr>
    <w:rPr>
      <w:rFonts w:ascii="楷体_GB2312" w:hAnsi="楷体_GB2312" w:eastAsia="楷体_GB2312" w:cs="楷体_GB2312"/>
      <w:b/>
      <w:sz w:val="24"/>
      <w:szCs w:val="24"/>
    </w:rPr>
  </w:style>
  <w:style w:type="paragraph" w:customStyle="1" w:styleId="737">
    <w:name w:val="正文缩"/>
    <w:basedOn w:val="1"/>
    <w:autoRedefine/>
    <w:qFormat/>
    <w:uiPriority w:val="0"/>
    <w:pPr>
      <w:adjustRightInd w:val="0"/>
      <w:spacing w:line="480" w:lineRule="atLeast"/>
      <w:ind w:firstLine="567"/>
      <w:textAlignment w:val="baseline"/>
    </w:pPr>
    <w:rPr>
      <w:rFonts w:ascii="宋体"/>
      <w:spacing w:val="6"/>
      <w:kern w:val="0"/>
      <w:sz w:val="28"/>
      <w:szCs w:val="20"/>
    </w:rPr>
  </w:style>
  <w:style w:type="paragraph" w:customStyle="1" w:styleId="738">
    <w:name w:val="小节标题"/>
    <w:basedOn w:val="1"/>
    <w:next w:val="1"/>
    <w:autoRedefine/>
    <w:qFormat/>
    <w:uiPriority w:val="0"/>
    <w:pPr>
      <w:widowControl/>
      <w:spacing w:before="175" w:after="102" w:line="782" w:lineRule="atLeast"/>
      <w:textAlignment w:val="baseline"/>
    </w:pPr>
    <w:rPr>
      <w:rFonts w:eastAsia="黑体"/>
      <w:color w:val="000000"/>
      <w:kern w:val="0"/>
      <w:szCs w:val="20"/>
    </w:rPr>
  </w:style>
  <w:style w:type="paragraph" w:customStyle="1" w:styleId="739">
    <w:name w:val="报告表格"/>
    <w:basedOn w:val="1"/>
    <w:autoRedefine/>
    <w:qFormat/>
    <w:uiPriority w:val="0"/>
    <w:pPr>
      <w:autoSpaceDE w:val="0"/>
      <w:autoSpaceDN w:val="0"/>
      <w:adjustRightInd w:val="0"/>
      <w:spacing w:before="40" w:after="40"/>
      <w:jc w:val="center"/>
      <w:textAlignment w:val="baseline"/>
    </w:pPr>
    <w:rPr>
      <w:kern w:val="0"/>
      <w:szCs w:val="20"/>
    </w:rPr>
  </w:style>
  <w:style w:type="paragraph" w:customStyle="1" w:styleId="740">
    <w:name w:val="表中"/>
    <w:autoRedefine/>
    <w:qFormat/>
    <w:uiPriority w:val="0"/>
    <w:pPr>
      <w:widowControl w:val="0"/>
      <w:adjustRightInd w:val="0"/>
      <w:snapToGrid w:val="0"/>
      <w:spacing w:line="280" w:lineRule="exact"/>
      <w:jc w:val="center"/>
    </w:pPr>
    <w:rPr>
      <w:rFonts w:ascii="宋体" w:hAnsi="宋体" w:eastAsia="宋体" w:cs="Times New Roman"/>
      <w:color w:val="003366"/>
      <w:kern w:val="2"/>
      <w:sz w:val="18"/>
      <w:szCs w:val="18"/>
      <w:lang w:val="en-US" w:eastAsia="zh-CN" w:bidi="ar-SA"/>
    </w:rPr>
  </w:style>
  <w:style w:type="paragraph" w:customStyle="1" w:styleId="741">
    <w:name w:val="5级正文"/>
    <w:basedOn w:val="1"/>
    <w:next w:val="18"/>
    <w:autoRedefine/>
    <w:semiHidden/>
    <w:qFormat/>
    <w:uiPriority w:val="0"/>
    <w:pPr>
      <w:tabs>
        <w:tab w:val="left" w:pos="420"/>
      </w:tabs>
      <w:spacing w:line="360" w:lineRule="auto"/>
      <w:ind w:firstLine="200" w:firstLineChars="200"/>
      <w:outlineLvl w:val="4"/>
    </w:pPr>
    <w:rPr>
      <w:b/>
      <w:sz w:val="24"/>
      <w:szCs w:val="24"/>
    </w:rPr>
  </w:style>
  <w:style w:type="paragraph" w:customStyle="1" w:styleId="742">
    <w:name w:val="正文样式2"/>
    <w:basedOn w:val="1"/>
    <w:next w:val="562"/>
    <w:autoRedefine/>
    <w:qFormat/>
    <w:uiPriority w:val="0"/>
    <w:pPr>
      <w:keepNext/>
      <w:adjustRightInd w:val="0"/>
      <w:spacing w:line="480" w:lineRule="atLeast"/>
      <w:ind w:firstLine="567"/>
      <w:textAlignment w:val="baseline"/>
    </w:pPr>
    <w:rPr>
      <w:rFonts w:ascii="黑体" w:eastAsia="黑体"/>
      <w:kern w:val="0"/>
      <w:sz w:val="28"/>
      <w:szCs w:val="20"/>
    </w:rPr>
  </w:style>
  <w:style w:type="paragraph" w:customStyle="1" w:styleId="743">
    <w:name w:val="样式 标题 1 + 首行缩进:  2 字符"/>
    <w:basedOn w:val="2"/>
    <w:autoRedefine/>
    <w:qFormat/>
    <w:uiPriority w:val="0"/>
    <w:pPr>
      <w:keepNext/>
      <w:tabs>
        <w:tab w:val="left" w:pos="1152"/>
        <w:tab w:val="left" w:pos="2100"/>
        <w:tab w:val="center" w:pos="4170"/>
      </w:tabs>
      <w:spacing w:beforeLines="50" w:afterLines="50" w:line="500" w:lineRule="exact"/>
      <w:ind w:left="28"/>
    </w:pPr>
    <w:rPr>
      <w:b w:val="0"/>
      <w:color w:val="000000"/>
      <w:spacing w:val="5"/>
      <w:kern w:val="2"/>
      <w:sz w:val="30"/>
      <w:szCs w:val="30"/>
      <w:lang w:val="zh-CN"/>
    </w:rPr>
  </w:style>
  <w:style w:type="paragraph" w:customStyle="1" w:styleId="744">
    <w:name w:val="Char2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745">
    <w:name w:val="reader-word-layer reader-word-s1-6"/>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746">
    <w:name w:val="Char1 Char Char Char1"/>
    <w:basedOn w:val="1"/>
    <w:autoRedefine/>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747">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lang w:eastAsia="en-US" w:bidi="en-US"/>
    </w:rPr>
  </w:style>
  <w:style w:type="paragraph" w:customStyle="1" w:styleId="748">
    <w:name w:val="正文居中"/>
    <w:basedOn w:val="77"/>
    <w:autoRedefine/>
    <w:semiHidden/>
    <w:qFormat/>
    <w:uiPriority w:val="0"/>
    <w:pPr>
      <w:tabs>
        <w:tab w:val="left" w:pos="1960"/>
        <w:tab w:val="left" w:pos="2380"/>
        <w:tab w:val="left" w:pos="3080"/>
      </w:tabs>
      <w:adjustRightInd w:val="0"/>
      <w:spacing w:before="48" w:after="0" w:line="360" w:lineRule="auto"/>
      <w:ind w:firstLine="464" w:firstLineChars="200"/>
      <w:textAlignment w:val="baseline"/>
    </w:pPr>
    <w:rPr>
      <w:rFonts w:hAnsi="宋体"/>
      <w:spacing w:val="-4"/>
      <w:kern w:val="0"/>
      <w:sz w:val="24"/>
      <w:lang w:val="zh-CN"/>
    </w:rPr>
  </w:style>
  <w:style w:type="paragraph" w:customStyle="1" w:styleId="749">
    <w:name w:val="标题 C"/>
    <w:basedOn w:val="1"/>
    <w:autoRedefine/>
    <w:qFormat/>
    <w:uiPriority w:val="0"/>
    <w:pPr>
      <w:kinsoku w:val="0"/>
      <w:wordWrap w:val="0"/>
      <w:adjustRightInd w:val="0"/>
      <w:spacing w:before="60" w:after="60" w:line="120" w:lineRule="atLeast"/>
      <w:textAlignment w:val="baseline"/>
    </w:pPr>
    <w:rPr>
      <w:spacing w:val="32"/>
      <w:kern w:val="0"/>
      <w:sz w:val="24"/>
      <w:szCs w:val="20"/>
    </w:rPr>
  </w:style>
  <w:style w:type="paragraph" w:customStyle="1" w:styleId="750">
    <w:name w:val="表格后空行"/>
    <w:basedOn w:val="1"/>
    <w:autoRedefine/>
    <w:qFormat/>
    <w:uiPriority w:val="0"/>
    <w:pPr>
      <w:widowControl/>
      <w:spacing w:line="240" w:lineRule="exact"/>
      <w:textAlignment w:val="baseline"/>
    </w:pPr>
    <w:rPr>
      <w:rFonts w:cs="宋体"/>
      <w:color w:val="000000"/>
      <w:kern w:val="0"/>
      <w:szCs w:val="20"/>
    </w:rPr>
  </w:style>
  <w:style w:type="paragraph" w:customStyle="1" w:styleId="751">
    <w:name w:val="一级无标题条"/>
    <w:basedOn w:val="1"/>
    <w:autoRedefine/>
    <w:qFormat/>
    <w:uiPriority w:val="0"/>
    <w:rPr>
      <w:szCs w:val="24"/>
    </w:rPr>
  </w:style>
  <w:style w:type="paragraph" w:customStyle="1" w:styleId="752">
    <w:name w:val="Char Char Char Char Char Char Char Char Char Char Char Char Char Char Char Char Char Char Char Char Char Char Char Char"/>
    <w:basedOn w:val="1"/>
    <w:autoRedefine/>
    <w:qFormat/>
    <w:uiPriority w:val="0"/>
    <w:rPr>
      <w:szCs w:val="24"/>
    </w:rPr>
  </w:style>
  <w:style w:type="paragraph" w:customStyle="1" w:styleId="753">
    <w:name w:val="样式 正文首行缩进 + 首行缩进:  1 字符"/>
    <w:basedOn w:val="77"/>
    <w:autoRedefine/>
    <w:qFormat/>
    <w:uiPriority w:val="0"/>
    <w:pPr>
      <w:spacing w:after="0" w:line="440" w:lineRule="exact"/>
      <w:ind w:firstLine="200" w:firstLineChars="200"/>
    </w:pPr>
    <w:rPr>
      <w:rFonts w:cs="宋体"/>
      <w:spacing w:val="6"/>
      <w:sz w:val="24"/>
    </w:rPr>
  </w:style>
  <w:style w:type="paragraph" w:customStyle="1" w:styleId="754">
    <w:name w:val="正文表格"/>
    <w:basedOn w:val="1"/>
    <w:autoRedefine/>
    <w:qFormat/>
    <w:uiPriority w:val="0"/>
    <w:pPr>
      <w:keepNext/>
      <w:keepLines/>
      <w:spacing w:before="80"/>
      <w:jc w:val="center"/>
      <w:textAlignment w:val="bottom"/>
    </w:pPr>
    <w:rPr>
      <w:szCs w:val="24"/>
    </w:rPr>
  </w:style>
  <w:style w:type="paragraph" w:customStyle="1" w:styleId="755">
    <w:name w:val="纯文本2"/>
    <w:basedOn w:val="1"/>
    <w:autoRedefine/>
    <w:semiHidden/>
    <w:qFormat/>
    <w:uiPriority w:val="0"/>
    <w:pPr>
      <w:spacing w:line="240" w:lineRule="atLeast"/>
      <w:jc w:val="center"/>
    </w:pPr>
    <w:rPr>
      <w:rFonts w:ascii="宋体" w:hAnsi="宋体"/>
      <w:bCs/>
      <w:iCs/>
      <w:sz w:val="18"/>
      <w:szCs w:val="18"/>
    </w:rPr>
  </w:style>
  <w:style w:type="paragraph" w:customStyle="1" w:styleId="756">
    <w:name w:val="_正文格式"/>
    <w:basedOn w:val="1"/>
    <w:autoRedefine/>
    <w:qFormat/>
    <w:uiPriority w:val="0"/>
    <w:pPr>
      <w:spacing w:line="500" w:lineRule="exact"/>
      <w:ind w:firstLine="567"/>
      <w:jc w:val="left"/>
    </w:pPr>
    <w:rPr>
      <w:sz w:val="24"/>
    </w:rPr>
  </w:style>
  <w:style w:type="paragraph" w:customStyle="1" w:styleId="757">
    <w:name w:val="Char Char Char1"/>
    <w:basedOn w:val="1"/>
    <w:autoRedefine/>
    <w:qFormat/>
    <w:uiPriority w:val="0"/>
    <w:rPr>
      <w:sz w:val="30"/>
      <w:szCs w:val="24"/>
    </w:rPr>
  </w:style>
  <w:style w:type="paragraph" w:customStyle="1" w:styleId="758">
    <w:name w:val="五级条标题"/>
    <w:basedOn w:val="609"/>
    <w:next w:val="1"/>
    <w:autoRedefine/>
    <w:qFormat/>
    <w:uiPriority w:val="0"/>
    <w:pPr>
      <w:outlineLvl w:val="6"/>
    </w:pPr>
  </w:style>
  <w:style w:type="paragraph" w:customStyle="1" w:styleId="759">
    <w:name w:val="xl3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200" w:firstLineChars="200"/>
      <w:jc w:val="left"/>
      <w:textAlignment w:val="center"/>
    </w:pPr>
    <w:rPr>
      <w:rFonts w:ascii="Arial Unicode MS" w:hAnsi="Arial Unicode MS" w:eastAsia="Arial Unicode MS" w:cs="Arial Unicode MS"/>
      <w:kern w:val="0"/>
      <w:sz w:val="24"/>
      <w:szCs w:val="24"/>
    </w:rPr>
  </w:style>
  <w:style w:type="paragraph" w:customStyle="1" w:styleId="760">
    <w:name w:val="正文应用"/>
    <w:basedOn w:val="1"/>
    <w:autoRedefine/>
    <w:qFormat/>
    <w:uiPriority w:val="0"/>
    <w:pPr>
      <w:spacing w:line="360" w:lineRule="auto"/>
      <w:ind w:firstLine="200" w:firstLineChars="200"/>
    </w:pPr>
    <w:rPr>
      <w:sz w:val="24"/>
      <w:szCs w:val="24"/>
    </w:rPr>
  </w:style>
  <w:style w:type="paragraph" w:customStyle="1" w:styleId="761">
    <w:name w:val="正文-GF"/>
    <w:basedOn w:val="1"/>
    <w:next w:val="1"/>
    <w:autoRedefine/>
    <w:qFormat/>
    <w:uiPriority w:val="0"/>
    <w:pPr>
      <w:widowControl/>
      <w:adjustRightInd w:val="0"/>
      <w:snapToGrid w:val="0"/>
      <w:spacing w:line="500" w:lineRule="exact"/>
      <w:ind w:firstLine="480" w:firstLineChars="200"/>
      <w:jc w:val="left"/>
    </w:pPr>
    <w:rPr>
      <w:rFonts w:ascii="宋体"/>
      <w:snapToGrid w:val="0"/>
      <w:kern w:val="0"/>
      <w:sz w:val="24"/>
      <w:szCs w:val="24"/>
    </w:rPr>
  </w:style>
  <w:style w:type="paragraph" w:customStyle="1" w:styleId="762">
    <w:name w:val="样式 小四 黑色 首行缩进:  0.36 厘米 行距: 1.5 倍行距"/>
    <w:basedOn w:val="1"/>
    <w:autoRedefine/>
    <w:qFormat/>
    <w:uiPriority w:val="0"/>
    <w:pPr>
      <w:spacing w:line="360" w:lineRule="auto"/>
    </w:pPr>
    <w:rPr>
      <w:color w:val="000000"/>
      <w:sz w:val="24"/>
      <w:szCs w:val="20"/>
    </w:rPr>
  </w:style>
  <w:style w:type="paragraph" w:customStyle="1" w:styleId="763">
    <w:name w:val="标题2"/>
    <w:basedOn w:val="3"/>
    <w:autoRedefine/>
    <w:qFormat/>
    <w:uiPriority w:val="0"/>
    <w:pPr>
      <w:spacing w:before="240" w:after="240"/>
    </w:pPr>
    <w:rPr>
      <w:bCs/>
      <w:szCs w:val="30"/>
    </w:rPr>
  </w:style>
  <w:style w:type="paragraph" w:customStyle="1" w:styleId="764">
    <w:name w:val="报告1"/>
    <w:basedOn w:val="765"/>
    <w:autoRedefine/>
    <w:semiHidden/>
    <w:qFormat/>
    <w:uiPriority w:val="0"/>
    <w:pPr>
      <w:textAlignment w:val="auto"/>
    </w:pPr>
    <w:rPr>
      <w:rFonts w:ascii="TimesNewRoman" w:hAnsi="TimesNewRoman"/>
      <w:kern w:val="24"/>
    </w:rPr>
  </w:style>
  <w:style w:type="paragraph" w:customStyle="1" w:styleId="765">
    <w:name w:val="报告"/>
    <w:basedOn w:val="1"/>
    <w:autoRedefine/>
    <w:semiHidden/>
    <w:qFormat/>
    <w:uiPriority w:val="0"/>
    <w:pPr>
      <w:adjustRightInd w:val="0"/>
      <w:spacing w:line="360" w:lineRule="auto"/>
      <w:ind w:firstLine="505"/>
      <w:textAlignment w:val="center"/>
    </w:pPr>
    <w:rPr>
      <w:kern w:val="0"/>
      <w:sz w:val="24"/>
      <w:szCs w:val="20"/>
    </w:rPr>
  </w:style>
  <w:style w:type="paragraph" w:customStyle="1" w:styleId="766">
    <w:name w:val="xl3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lang w:eastAsia="en-US" w:bidi="en-US"/>
    </w:rPr>
  </w:style>
  <w:style w:type="paragraph" w:customStyle="1" w:styleId="767">
    <w:name w:val="文档结构图1"/>
    <w:basedOn w:val="1"/>
    <w:autoRedefine/>
    <w:qFormat/>
    <w:uiPriority w:val="0"/>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768">
    <w:name w:val="数字编号列项（二级）"/>
    <w:autoRedefine/>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769">
    <w:name w:val="xl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770">
    <w:name w:val="样式 宋体 小四 加粗 居中 行距: 固定值 25 磅"/>
    <w:basedOn w:val="1"/>
    <w:autoRedefine/>
    <w:qFormat/>
    <w:uiPriority w:val="0"/>
    <w:pPr>
      <w:spacing w:line="500" w:lineRule="exact"/>
      <w:jc w:val="center"/>
    </w:pPr>
    <w:rPr>
      <w:rFonts w:ascii="楷体_GB2312" w:hAnsi="楷体_GB2312" w:eastAsia="楷体_GB2312" w:cs="楷体_GB2312"/>
      <w:b/>
      <w:bCs/>
      <w:sz w:val="24"/>
      <w:szCs w:val="24"/>
    </w:rPr>
  </w:style>
  <w:style w:type="paragraph" w:customStyle="1" w:styleId="771">
    <w:name w:val="表格文字居中 Char"/>
    <w:basedOn w:val="77"/>
    <w:autoRedefine/>
    <w:qFormat/>
    <w:uiPriority w:val="0"/>
    <w:pPr>
      <w:keepNext/>
      <w:tabs>
        <w:tab w:val="left" w:pos="628"/>
        <w:tab w:val="left" w:pos="1727"/>
        <w:tab w:val="left" w:pos="1884"/>
        <w:tab w:val="left" w:pos="2660"/>
        <w:tab w:val="left" w:pos="4200"/>
      </w:tabs>
      <w:snapToGrid w:val="0"/>
      <w:spacing w:before="100" w:beforeAutospacing="1" w:after="0"/>
      <w:ind w:firstLine="0" w:firstLineChars="0"/>
      <w:jc w:val="center"/>
    </w:pPr>
    <w:rPr>
      <w:rFonts w:ascii="宋体"/>
      <w:bCs/>
      <w:color w:val="000000"/>
      <w:kern w:val="0"/>
      <w:sz w:val="24"/>
      <w:szCs w:val="28"/>
    </w:rPr>
  </w:style>
  <w:style w:type="paragraph" w:customStyle="1" w:styleId="772">
    <w:name w:val="Char Char Char1 Char Char Char"/>
    <w:basedOn w:val="1"/>
    <w:autoRedefine/>
    <w:qFormat/>
    <w:uiPriority w:val="0"/>
    <w:rPr>
      <w:szCs w:val="24"/>
    </w:rPr>
  </w:style>
  <w:style w:type="paragraph" w:customStyle="1" w:styleId="773">
    <w:name w:val="tes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774">
    <w:name w:val="CM91"/>
    <w:basedOn w:val="598"/>
    <w:next w:val="598"/>
    <w:autoRedefine/>
    <w:qFormat/>
    <w:uiPriority w:val="0"/>
    <w:pPr>
      <w:spacing w:after="200"/>
    </w:pPr>
    <w:rPr>
      <w:rFonts w:ascii="宋体" w:eastAsia="宋体" w:cs="Times New Roman"/>
      <w:color w:val="auto"/>
      <w:sz w:val="20"/>
    </w:rPr>
  </w:style>
  <w:style w:type="paragraph" w:customStyle="1" w:styleId="775">
    <w:name w:val="无间隔1"/>
    <w:autoRedefine/>
    <w:qFormat/>
    <w:uiPriority w:val="0"/>
    <w:rPr>
      <w:rFonts w:ascii="Times New Roman" w:hAnsi="Times New Roman" w:eastAsia="宋体" w:cs="Times New Roman"/>
      <w:sz w:val="22"/>
      <w:szCs w:val="22"/>
      <w:lang w:val="en-US" w:eastAsia="en-US" w:bidi="en-US"/>
    </w:rPr>
  </w:style>
  <w:style w:type="paragraph" w:customStyle="1" w:styleId="776">
    <w:name w:val="Char Char Char Char Char Char Char Char Char Char Char Char Char Char Char Char Char Char Char Char Char Char Char Char Char Char Char Char Char Char Char Char Char Char Char Char Char Char Char"/>
    <w:basedOn w:val="1"/>
    <w:autoRedefine/>
    <w:qFormat/>
    <w:uiPriority w:val="0"/>
    <w:rPr>
      <w:szCs w:val="24"/>
    </w:rPr>
  </w:style>
  <w:style w:type="paragraph" w:customStyle="1" w:styleId="777">
    <w:name w:val="样式 标题 1副标题 1 + 宋体 行距: 固定值 28 磅"/>
    <w:basedOn w:val="2"/>
    <w:autoRedefine/>
    <w:qFormat/>
    <w:uiPriority w:val="0"/>
    <w:pPr>
      <w:keepNext/>
      <w:keepLines/>
      <w:spacing w:before="120" w:after="120" w:line="560" w:lineRule="exact"/>
      <w:jc w:val="both"/>
    </w:pPr>
    <w:rPr>
      <w:rFonts w:ascii="宋体" w:hAnsi="宋体" w:cs="宋体"/>
      <w:sz w:val="44"/>
    </w:rPr>
  </w:style>
  <w:style w:type="paragraph" w:customStyle="1" w:styleId="778">
    <w:name w:val="15"/>
    <w:basedOn w:val="1"/>
    <w:next w:val="63"/>
    <w:autoRedefine/>
    <w:qFormat/>
    <w:uiPriority w:val="0"/>
    <w:pPr>
      <w:spacing w:after="120"/>
      <w:ind w:left="420" w:leftChars="200"/>
    </w:pPr>
    <w:rPr>
      <w:sz w:val="16"/>
      <w:szCs w:val="16"/>
    </w:rPr>
  </w:style>
  <w:style w:type="paragraph" w:customStyle="1" w:styleId="779">
    <w:name w:val="样式 宋体 四号 行距: 1.5 倍行距"/>
    <w:basedOn w:val="1"/>
    <w:autoRedefine/>
    <w:qFormat/>
    <w:uiPriority w:val="0"/>
    <w:pPr>
      <w:spacing w:line="360" w:lineRule="auto"/>
      <w:ind w:right="-169" w:firstLine="482"/>
    </w:pPr>
    <w:rPr>
      <w:rFonts w:ascii="宋体"/>
      <w:b/>
      <w:sz w:val="24"/>
      <w:szCs w:val="20"/>
    </w:rPr>
  </w:style>
  <w:style w:type="paragraph" w:customStyle="1" w:styleId="780">
    <w:name w:val="右侧"/>
    <w:autoRedefine/>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781">
    <w:name w:val="正文文本缩进 21"/>
    <w:basedOn w:val="1"/>
    <w:autoRedefine/>
    <w:qFormat/>
    <w:uiPriority w:val="0"/>
    <w:pPr>
      <w:adjustRightInd w:val="0"/>
      <w:spacing w:line="360" w:lineRule="atLeast"/>
      <w:ind w:firstLine="425"/>
      <w:jc w:val="left"/>
      <w:textAlignment w:val="baseline"/>
    </w:pPr>
    <w:rPr>
      <w:rFonts w:ascii="宋体"/>
      <w:spacing w:val="20"/>
      <w:kern w:val="0"/>
      <w:sz w:val="24"/>
      <w:szCs w:val="20"/>
    </w:rPr>
  </w:style>
  <w:style w:type="paragraph" w:customStyle="1" w:styleId="782">
    <w:name w:val="样式2 Char"/>
    <w:basedOn w:val="18"/>
    <w:autoRedefine/>
    <w:semiHidden/>
    <w:qFormat/>
    <w:uiPriority w:val="0"/>
    <w:pPr>
      <w:widowControl/>
      <w:adjustRightInd w:val="0"/>
      <w:snapToGrid w:val="0"/>
      <w:spacing w:line="360" w:lineRule="auto"/>
      <w:ind w:firstLine="567" w:firstLineChars="0"/>
      <w:textAlignment w:val="baseline"/>
    </w:pPr>
    <w:rPr>
      <w:snapToGrid w:val="0"/>
      <w:kern w:val="0"/>
      <w:sz w:val="24"/>
    </w:rPr>
  </w:style>
  <w:style w:type="paragraph" w:customStyle="1" w:styleId="783">
    <w:name w:val="样式 第一章章节 + 段后: 0.5 行"/>
    <w:basedOn w:val="645"/>
    <w:autoRedefine/>
    <w:qFormat/>
    <w:uiPriority w:val="0"/>
    <w:pPr>
      <w:widowControl w:val="0"/>
      <w:tabs>
        <w:tab w:val="clear" w:pos="360"/>
      </w:tabs>
      <w:spacing w:before="0" w:after="156"/>
      <w:ind w:left="0" w:firstLine="0" w:firstLineChars="0"/>
    </w:pPr>
    <w:rPr>
      <w:rFonts w:cs="宋体"/>
      <w:bCs w:val="0"/>
      <w:szCs w:val="20"/>
    </w:rPr>
  </w:style>
  <w:style w:type="paragraph" w:customStyle="1" w:styleId="784">
    <w:name w:val="南郊正文"/>
    <w:basedOn w:val="1"/>
    <w:next w:val="1"/>
    <w:autoRedefine/>
    <w:qFormat/>
    <w:uiPriority w:val="0"/>
    <w:rPr>
      <w:rFonts w:eastAsia="仿宋_GB2312" w:cs="宋体"/>
      <w:szCs w:val="21"/>
    </w:rPr>
  </w:style>
  <w:style w:type="paragraph" w:customStyle="1" w:styleId="785">
    <w:name w:val="WPS Plain"/>
    <w:autoRedefine/>
    <w:qFormat/>
    <w:uiPriority w:val="0"/>
    <w:rPr>
      <w:rFonts w:ascii="Times New Roman" w:hAnsi="Times New Roman" w:eastAsia="宋体" w:cs="Times New Roman"/>
      <w:lang w:val="en-US" w:eastAsia="zh-CN" w:bidi="ar-SA"/>
    </w:rPr>
  </w:style>
  <w:style w:type="paragraph" w:customStyle="1" w:styleId="786">
    <w:name w:val="char"/>
    <w:basedOn w:val="1"/>
    <w:autoRedefine/>
    <w:qFormat/>
    <w:uiPriority w:val="0"/>
    <w:pPr>
      <w:widowControl/>
      <w:spacing w:after="160"/>
      <w:jc w:val="left"/>
    </w:pPr>
    <w:rPr>
      <w:rFonts w:ascii="Verdana" w:hAnsi="Verdana" w:eastAsia="仿宋_GB2312" w:cs="”“Times New Roman”“"/>
      <w:kern w:val="0"/>
      <w:sz w:val="28"/>
      <w:szCs w:val="28"/>
      <w:lang w:eastAsia="en-US"/>
    </w:rPr>
  </w:style>
  <w:style w:type="paragraph" w:customStyle="1" w:styleId="787">
    <w:name w:val="TOC 标题1"/>
    <w:basedOn w:val="2"/>
    <w:next w:val="1"/>
    <w:autoRedefine/>
    <w:qFormat/>
    <w:uiPriority w:val="0"/>
    <w:pPr>
      <w:widowControl/>
      <w:tabs>
        <w:tab w:val="left" w:pos="2100"/>
        <w:tab w:val="center" w:pos="4170"/>
      </w:tabs>
      <w:spacing w:beforeLines="50" w:afterLines="50" w:line="276" w:lineRule="auto"/>
      <w:outlineLvl w:val="9"/>
    </w:pPr>
    <w:rPr>
      <w:rFonts w:ascii="Cambria" w:hAnsi="Cambria"/>
      <w:color w:val="365F91"/>
      <w:spacing w:val="5"/>
      <w:kern w:val="0"/>
      <w:sz w:val="28"/>
      <w:szCs w:val="28"/>
      <w:lang w:val="zh-CN" w:eastAsia="en-US" w:bidi="en-US"/>
    </w:rPr>
  </w:style>
  <w:style w:type="paragraph" w:customStyle="1" w:styleId="788">
    <w:name w:val="12"/>
    <w:basedOn w:val="1"/>
    <w:next w:val="58"/>
    <w:autoRedefine/>
    <w:qFormat/>
    <w:uiPriority w:val="0"/>
    <w:pPr>
      <w:spacing w:line="360" w:lineRule="auto"/>
      <w:ind w:firstLine="420"/>
      <w:jc w:val="center"/>
    </w:pPr>
    <w:rPr>
      <w:rFonts w:ascii="黑体" w:hAnsi="Arial" w:eastAsia="黑体"/>
      <w:color w:val="000000"/>
      <w:kern w:val="28"/>
      <w:szCs w:val="28"/>
    </w:rPr>
  </w:style>
  <w:style w:type="paragraph" w:customStyle="1" w:styleId="789">
    <w:name w:val="wg"/>
    <w:basedOn w:val="1"/>
    <w:autoRedefine/>
    <w:qFormat/>
    <w:uiPriority w:val="0"/>
    <w:rPr>
      <w:sz w:val="28"/>
      <w:szCs w:val="20"/>
    </w:rPr>
  </w:style>
  <w:style w:type="paragraph" w:customStyle="1" w:styleId="790">
    <w:name w:val="依据文字"/>
    <w:basedOn w:val="78"/>
    <w:autoRedefine/>
    <w:semiHidden/>
    <w:qFormat/>
    <w:uiPriority w:val="0"/>
    <w:pPr>
      <w:tabs>
        <w:tab w:val="left" w:pos="420"/>
        <w:tab w:val="left" w:pos="870"/>
        <w:tab w:val="left" w:pos="3150"/>
      </w:tabs>
      <w:autoSpaceDE w:val="0"/>
      <w:autoSpaceDN w:val="0"/>
      <w:adjustRightInd w:val="0"/>
      <w:spacing w:before="60" w:after="0" w:line="336" w:lineRule="auto"/>
      <w:ind w:left="0" w:leftChars="0" w:firstLine="527" w:firstLineChars="0"/>
      <w:textAlignment w:val="baseline"/>
    </w:pPr>
    <w:rPr>
      <w:rFonts w:ascii="宋体"/>
      <w:sz w:val="24"/>
      <w:szCs w:val="20"/>
    </w:rPr>
  </w:style>
  <w:style w:type="paragraph" w:customStyle="1" w:styleId="791">
    <w:name w:val="正文（首行缩进两字）m"/>
    <w:basedOn w:val="18"/>
    <w:autoRedefine/>
    <w:qFormat/>
    <w:uiPriority w:val="0"/>
    <w:pPr>
      <w:tabs>
        <w:tab w:val="left" w:pos="1848"/>
        <w:tab w:val="left" w:pos="6061"/>
        <w:tab w:val="left" w:pos="8665"/>
      </w:tabs>
      <w:snapToGrid w:val="0"/>
      <w:spacing w:beforeLines="50" w:line="460" w:lineRule="exact"/>
      <w:ind w:firstLine="480"/>
    </w:pPr>
    <w:rPr>
      <w:rFonts w:ascii="宋体" w:hAnsi="宋体"/>
      <w:sz w:val="24"/>
      <w:szCs w:val="20"/>
    </w:rPr>
  </w:style>
  <w:style w:type="paragraph" w:customStyle="1" w:styleId="792">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793">
    <w:name w:val="样式 化工城正文 + 首行缩进:  2 字符 行距: 多倍行距 1.35 字行"/>
    <w:basedOn w:val="1"/>
    <w:autoRedefine/>
    <w:qFormat/>
    <w:uiPriority w:val="0"/>
    <w:pPr>
      <w:spacing w:line="324" w:lineRule="auto"/>
      <w:ind w:firstLine="480" w:firstLineChars="200"/>
    </w:pPr>
    <w:rPr>
      <w:rFonts w:ascii="宋体" w:hAnsi="宋体" w:cs="宋体"/>
      <w:sz w:val="24"/>
      <w:szCs w:val="20"/>
    </w:rPr>
  </w:style>
  <w:style w:type="paragraph" w:customStyle="1" w:styleId="794">
    <w:name w:val="样式 样式 纯文本表格内容纯文本 Char普通文字加粗正文普通文字 Char Char普通文字 Char Char Cha......"/>
    <w:basedOn w:val="722"/>
    <w:autoRedefine/>
    <w:qFormat/>
    <w:uiPriority w:val="0"/>
    <w:rPr>
      <w:rFonts w:cs="宋体"/>
    </w:rPr>
  </w:style>
  <w:style w:type="paragraph" w:customStyle="1" w:styleId="795">
    <w:name w:val="样式 标题 1 + 段后: 1.5 行"/>
    <w:basedOn w:val="2"/>
    <w:autoRedefine/>
    <w:qFormat/>
    <w:uiPriority w:val="0"/>
    <w:pPr>
      <w:keepNext/>
      <w:keepLines/>
      <w:adjustRightInd w:val="0"/>
      <w:snapToGrid w:val="0"/>
      <w:spacing w:beforeLines="100" w:afterLines="100" w:line="460" w:lineRule="exact"/>
      <w:jc w:val="center"/>
    </w:pPr>
    <w:rPr>
      <w:rFonts w:eastAsia="仿宋_GB2312" w:cs="宋体"/>
      <w:sz w:val="30"/>
    </w:rPr>
  </w:style>
  <w:style w:type="paragraph" w:customStyle="1" w:styleId="796">
    <w:name w:val="_Style 956"/>
    <w:basedOn w:val="1"/>
    <w:next w:val="1"/>
    <w:autoRedefine/>
    <w:qFormat/>
    <w:uiPriority w:val="0"/>
    <w:pPr>
      <w:pBdr>
        <w:bottom w:val="single" w:color="auto" w:sz="6" w:space="1"/>
      </w:pBdr>
      <w:jc w:val="center"/>
    </w:pPr>
    <w:rPr>
      <w:rFonts w:ascii="Arial" w:eastAsia="宋体"/>
      <w:vanish/>
      <w:sz w:val="16"/>
    </w:rPr>
  </w:style>
  <w:style w:type="paragraph" w:customStyle="1" w:styleId="797">
    <w:name w:val="居中正文"/>
    <w:basedOn w:val="18"/>
    <w:next w:val="18"/>
    <w:autoRedefine/>
    <w:qFormat/>
    <w:uiPriority w:val="0"/>
    <w:pPr>
      <w:spacing w:line="540" w:lineRule="exact"/>
      <w:ind w:right="-13" w:rightChars="-6" w:firstLine="200"/>
      <w:jc w:val="center"/>
    </w:pPr>
    <w:rPr>
      <w:rFonts w:eastAsia="仿宋_GB2312"/>
      <w:sz w:val="28"/>
      <w:szCs w:val="20"/>
    </w:rPr>
  </w:style>
  <w:style w:type="paragraph" w:customStyle="1" w:styleId="798">
    <w:name w:val="Char Char Char2 Char Char Char Char Char Char Char Char Char Char"/>
    <w:basedOn w:val="1"/>
    <w:autoRedefine/>
    <w:qFormat/>
    <w:uiPriority w:val="0"/>
    <w:rPr>
      <w:szCs w:val="24"/>
    </w:rPr>
  </w:style>
  <w:style w:type="paragraph" w:customStyle="1" w:styleId="799">
    <w:name w:val="font9"/>
    <w:basedOn w:val="1"/>
    <w:autoRedefine/>
    <w:qFormat/>
    <w:uiPriority w:val="0"/>
    <w:pPr>
      <w:widowControl/>
      <w:spacing w:before="100" w:beforeAutospacing="1" w:after="100" w:afterAutospacing="1"/>
      <w:jc w:val="left"/>
    </w:pPr>
    <w:rPr>
      <w:rFonts w:eastAsia="Arial Unicode MS"/>
      <w:b/>
      <w:bCs/>
      <w:kern w:val="0"/>
      <w:sz w:val="20"/>
      <w:szCs w:val="20"/>
    </w:rPr>
  </w:style>
  <w:style w:type="paragraph" w:customStyle="1" w:styleId="800">
    <w:name w:val="样式 标题 2 + 行距: 固定值 28 磅"/>
    <w:basedOn w:val="3"/>
    <w:autoRedefine/>
    <w:qFormat/>
    <w:uiPriority w:val="0"/>
    <w:pPr>
      <w:adjustRightInd w:val="0"/>
      <w:spacing w:line="560" w:lineRule="exact"/>
    </w:pPr>
    <w:rPr>
      <w:rFonts w:ascii="宋体" w:hAnsi="宋体" w:cs="宋体"/>
      <w:bCs/>
      <w:sz w:val="32"/>
    </w:rPr>
  </w:style>
  <w:style w:type="paragraph" w:customStyle="1" w:styleId="801">
    <w:name w:val="13"/>
    <w:basedOn w:val="1"/>
    <w:next w:val="58"/>
    <w:autoRedefine/>
    <w:qFormat/>
    <w:uiPriority w:val="0"/>
    <w:pPr>
      <w:spacing w:line="360" w:lineRule="auto"/>
      <w:ind w:firstLine="420"/>
      <w:jc w:val="center"/>
    </w:pPr>
    <w:rPr>
      <w:rFonts w:ascii="黑体" w:hAnsi="Arial" w:eastAsia="黑体"/>
      <w:color w:val="000000"/>
      <w:kern w:val="28"/>
      <w:szCs w:val="28"/>
    </w:rPr>
  </w:style>
  <w:style w:type="paragraph" w:customStyle="1" w:styleId="802">
    <w:name w:val="插图"/>
    <w:next w:val="1"/>
    <w:autoRedefine/>
    <w:qFormat/>
    <w:uiPriority w:val="0"/>
    <w:pPr>
      <w:snapToGrid w:val="0"/>
      <w:spacing w:line="240" w:lineRule="exact"/>
      <w:jc w:val="center"/>
    </w:pPr>
    <w:rPr>
      <w:rFonts w:ascii="宋体" w:hAnsi="Times New Roman" w:eastAsia="宋体" w:cs="Times New Roman"/>
      <w:kern w:val="2"/>
      <w:sz w:val="21"/>
      <w:szCs w:val="21"/>
      <w:lang w:val="en-US" w:eastAsia="zh-CN" w:bidi="ar-SA"/>
    </w:rPr>
  </w:style>
  <w:style w:type="paragraph" w:customStyle="1" w:styleId="803">
    <w:name w:val="font0"/>
    <w:basedOn w:val="1"/>
    <w:autoRedefine/>
    <w:qFormat/>
    <w:uiPriority w:val="0"/>
    <w:pPr>
      <w:widowControl/>
      <w:spacing w:before="100" w:beforeAutospacing="1" w:after="100" w:afterAutospacing="1"/>
      <w:jc w:val="left"/>
    </w:pPr>
    <w:rPr>
      <w:rFonts w:hint="eastAsia" w:ascii="宋体" w:hAnsi="宋体" w:cs="Arial Unicode MS"/>
      <w:kern w:val="0"/>
      <w:sz w:val="22"/>
      <w:lang w:eastAsia="en-US" w:bidi="en-US"/>
    </w:rPr>
  </w:style>
  <w:style w:type="paragraph" w:customStyle="1" w:styleId="804">
    <w:name w:val="样式 正文首行缩进 + 首行缩进:  2 字符"/>
    <w:basedOn w:val="77"/>
    <w:autoRedefine/>
    <w:qFormat/>
    <w:uiPriority w:val="0"/>
    <w:pPr>
      <w:tabs>
        <w:tab w:val="left" w:pos="7020"/>
      </w:tabs>
      <w:adjustRightInd w:val="0"/>
      <w:snapToGrid w:val="0"/>
      <w:spacing w:after="0"/>
      <w:ind w:firstLine="0" w:firstLineChars="0"/>
      <w:jc w:val="center"/>
      <w:textAlignment w:val="center"/>
    </w:pPr>
    <w:rPr>
      <w:snapToGrid w:val="0"/>
      <w:spacing w:val="-6"/>
      <w:kern w:val="0"/>
      <w:szCs w:val="21"/>
    </w:rPr>
  </w:style>
  <w:style w:type="paragraph" w:customStyle="1" w:styleId="805">
    <w:name w:val="样式 正文首行缩进 + 首行缩进:  2 字符1"/>
    <w:basedOn w:val="77"/>
    <w:autoRedefine/>
    <w:qFormat/>
    <w:uiPriority w:val="0"/>
    <w:pPr>
      <w:spacing w:after="0" w:line="360" w:lineRule="auto"/>
      <w:ind w:firstLine="480" w:firstLineChars="200"/>
    </w:pPr>
    <w:rPr>
      <w:sz w:val="24"/>
      <w:szCs w:val="20"/>
    </w:rPr>
  </w:style>
  <w:style w:type="paragraph" w:customStyle="1" w:styleId="806">
    <w:name w:val="正文黑体"/>
    <w:basedOn w:val="1"/>
    <w:autoRedefine/>
    <w:qFormat/>
    <w:uiPriority w:val="0"/>
    <w:pPr>
      <w:spacing w:beforeLines="50" w:afterLines="50"/>
      <w:ind w:firstLine="480" w:firstLineChars="200"/>
    </w:pPr>
    <w:rPr>
      <w:rFonts w:ascii="Arial" w:hAnsi="Arial" w:eastAsia="黑体"/>
      <w:sz w:val="24"/>
      <w:szCs w:val="24"/>
    </w:rPr>
  </w:style>
  <w:style w:type="paragraph" w:customStyle="1" w:styleId="807">
    <w:name w:val="样式8"/>
    <w:basedOn w:val="1"/>
    <w:autoRedefine/>
    <w:qFormat/>
    <w:uiPriority w:val="0"/>
    <w:pPr>
      <w:ind w:firstLine="499"/>
    </w:pPr>
    <w:rPr>
      <w:rFonts w:ascii="宋体"/>
      <w:sz w:val="24"/>
      <w:szCs w:val="20"/>
    </w:rPr>
  </w:style>
  <w:style w:type="paragraph" w:customStyle="1" w:styleId="808">
    <w:name w:val="段落1"/>
    <w:basedOn w:val="1"/>
    <w:autoRedefine/>
    <w:semiHidden/>
    <w:qFormat/>
    <w:uiPriority w:val="0"/>
    <w:pPr>
      <w:adjustRightInd w:val="0"/>
      <w:spacing w:line="400" w:lineRule="atLeast"/>
      <w:ind w:firstLine="510"/>
      <w:textAlignment w:val="baseline"/>
    </w:pPr>
    <w:rPr>
      <w:spacing w:val="4"/>
      <w:kern w:val="0"/>
      <w:sz w:val="24"/>
      <w:szCs w:val="20"/>
    </w:rPr>
  </w:style>
  <w:style w:type="paragraph" w:customStyle="1" w:styleId="809">
    <w:name w:val="标题二！"/>
    <w:basedOn w:val="3"/>
    <w:autoRedefine/>
    <w:qFormat/>
    <w:uiPriority w:val="0"/>
    <w:pPr>
      <w:keepNext w:val="0"/>
      <w:keepLines w:val="0"/>
      <w:spacing w:before="60" w:after="60" w:line="500" w:lineRule="exact"/>
    </w:pPr>
    <w:rPr>
      <w:rFonts w:ascii="宋体" w:hAnsi="宋体" w:cs="宋体"/>
      <w:bCs/>
      <w:szCs w:val="30"/>
    </w:rPr>
  </w:style>
  <w:style w:type="paragraph" w:customStyle="1" w:styleId="810">
    <w:name w:val="xl72"/>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811">
    <w:name w:val="10"/>
    <w:basedOn w:val="1"/>
    <w:next w:val="18"/>
    <w:autoRedefine/>
    <w:qFormat/>
    <w:uiPriority w:val="0"/>
    <w:pPr>
      <w:widowControl/>
      <w:ind w:firstLine="420"/>
      <w:jc w:val="left"/>
    </w:pPr>
    <w:rPr>
      <w:kern w:val="0"/>
      <w:sz w:val="28"/>
      <w:szCs w:val="20"/>
    </w:rPr>
  </w:style>
  <w:style w:type="paragraph" w:customStyle="1" w:styleId="812">
    <w:name w:val="正文！"/>
    <w:basedOn w:val="1"/>
    <w:autoRedefine/>
    <w:qFormat/>
    <w:uiPriority w:val="0"/>
    <w:pPr>
      <w:spacing w:line="500" w:lineRule="exact"/>
      <w:ind w:firstLine="482"/>
    </w:pPr>
    <w:rPr>
      <w:rFonts w:ascii="楷体_GB2312" w:cs="宋体"/>
      <w:sz w:val="24"/>
      <w:szCs w:val="20"/>
    </w:rPr>
  </w:style>
  <w:style w:type="paragraph" w:customStyle="1" w:styleId="813">
    <w:name w:val="样式 标题三"/>
    <w:basedOn w:val="814"/>
    <w:autoRedefine/>
    <w:qFormat/>
    <w:uiPriority w:val="0"/>
    <w:rPr>
      <w:bCs/>
      <w:kern w:val="0"/>
    </w:rPr>
  </w:style>
  <w:style w:type="paragraph" w:customStyle="1" w:styleId="814">
    <w:name w:val="标题三"/>
    <w:basedOn w:val="1"/>
    <w:autoRedefine/>
    <w:qFormat/>
    <w:uiPriority w:val="0"/>
    <w:pPr>
      <w:autoSpaceDE w:val="0"/>
      <w:autoSpaceDN w:val="0"/>
      <w:adjustRightInd w:val="0"/>
      <w:spacing w:line="500" w:lineRule="exact"/>
      <w:outlineLvl w:val="2"/>
    </w:pPr>
    <w:rPr>
      <w:rFonts w:ascii="楷体_GB2312" w:hAnsi="楷体_GB2312" w:eastAsia="楷体_GB2312" w:cs="楷体_GB2312"/>
      <w:b/>
      <w:sz w:val="28"/>
      <w:szCs w:val="28"/>
      <w:lang w:val="zh-CN"/>
    </w:rPr>
  </w:style>
  <w:style w:type="paragraph" w:customStyle="1" w:styleId="815">
    <w:name w:val="样式 标题 3 + 段前: 6 磅"/>
    <w:basedOn w:val="4"/>
    <w:autoRedefine/>
    <w:qFormat/>
    <w:uiPriority w:val="0"/>
    <w:pPr>
      <w:keepNext/>
      <w:keepLines/>
      <w:widowControl w:val="0"/>
      <w:suppressLineNumbers w:val="0"/>
      <w:spacing w:before="0" w:beforeAutospacing="0" w:after="0" w:afterAutospacing="0" w:line="412" w:lineRule="auto"/>
      <w:ind w:left="0" w:right="0"/>
      <w:jc w:val="both"/>
      <w:outlineLvl w:val="2"/>
    </w:pPr>
    <w:rPr>
      <w:rFonts w:hint="default" w:ascii="Times New Roman" w:hAnsi="Times New Roman" w:eastAsia="宋体" w:cs="Times New Roman"/>
      <w:kern w:val="2"/>
      <w:sz w:val="28"/>
      <w:szCs w:val="20"/>
      <w:lang w:val="en-US" w:eastAsia="zh-CN" w:bidi="ar"/>
    </w:rPr>
  </w:style>
  <w:style w:type="paragraph" w:customStyle="1" w:styleId="816">
    <w:name w:val="正文3"/>
    <w:basedOn w:val="1"/>
    <w:next w:val="1"/>
    <w:autoRedefine/>
    <w:qFormat/>
    <w:uiPriority w:val="0"/>
    <w:pPr>
      <w:spacing w:line="360" w:lineRule="auto"/>
      <w:ind w:firstLine="480" w:firstLineChars="200"/>
    </w:pPr>
    <w:rPr>
      <w:rFonts w:eastAsia="Times New Roman"/>
      <w:sz w:val="24"/>
      <w:szCs w:val="24"/>
    </w:rPr>
  </w:style>
  <w:style w:type="paragraph" w:customStyle="1" w:styleId="817">
    <w:name w:val="兴化美联正文样式"/>
    <w:basedOn w:val="1"/>
    <w:autoRedefine/>
    <w:qFormat/>
    <w:uiPriority w:val="0"/>
    <w:pPr>
      <w:widowControl/>
      <w:spacing w:line="560" w:lineRule="exact"/>
      <w:ind w:firstLine="480" w:firstLineChars="200"/>
      <w:jc w:val="left"/>
    </w:pPr>
    <w:rPr>
      <w:rFonts w:ascii="宋体" w:hAnsi="宋体" w:cs="宋体"/>
      <w:color w:val="000000"/>
      <w:kern w:val="0"/>
      <w:sz w:val="24"/>
      <w:szCs w:val="24"/>
    </w:rPr>
  </w:style>
  <w:style w:type="paragraph" w:customStyle="1" w:styleId="818">
    <w:name w:val="样式 样式 标题 1 + 楷体_GB2312 +"/>
    <w:basedOn w:val="692"/>
    <w:autoRedefine/>
    <w:qFormat/>
    <w:uiPriority w:val="0"/>
    <w:rPr>
      <w:kern w:val="0"/>
    </w:rPr>
  </w:style>
  <w:style w:type="paragraph" w:customStyle="1" w:styleId="819">
    <w:name w:val="正文-宋4行25"/>
    <w:basedOn w:val="1"/>
    <w:autoRedefine/>
    <w:qFormat/>
    <w:uiPriority w:val="0"/>
    <w:pPr>
      <w:widowControl/>
      <w:adjustRightInd w:val="0"/>
      <w:snapToGrid w:val="0"/>
      <w:spacing w:after="200" w:line="500" w:lineRule="exact"/>
      <w:ind w:firstLine="567"/>
      <w:jc w:val="left"/>
      <w:textAlignment w:val="baseline"/>
    </w:pPr>
    <w:rPr>
      <w:rFonts w:ascii="宋体"/>
      <w:kern w:val="0"/>
      <w:sz w:val="27"/>
      <w:szCs w:val="20"/>
      <w:lang w:eastAsia="en-US" w:bidi="en-US"/>
    </w:rPr>
  </w:style>
  <w:style w:type="paragraph" w:customStyle="1" w:styleId="820">
    <w:name w:val="样式6"/>
    <w:basedOn w:val="7"/>
    <w:autoRedefine/>
    <w:qFormat/>
    <w:uiPriority w:val="0"/>
    <w:pPr>
      <w:widowControl w:val="0"/>
      <w:tabs>
        <w:tab w:val="left" w:pos="1247"/>
      </w:tabs>
      <w:spacing w:before="60" w:after="60" w:line="500" w:lineRule="atLeast"/>
      <w:jc w:val="both"/>
    </w:pPr>
    <w:rPr>
      <w:rFonts w:ascii="Arial" w:hAnsi="Arial"/>
      <w:b/>
      <w:i w:val="0"/>
      <w:iCs w:val="0"/>
      <w:color w:val="000000"/>
      <w:kern w:val="2"/>
      <w:sz w:val="24"/>
      <w:szCs w:val="20"/>
      <w:lang w:eastAsia="zh-CN" w:bidi="ar-SA"/>
    </w:rPr>
  </w:style>
  <w:style w:type="paragraph" w:customStyle="1" w:styleId="821">
    <w:name w:val="pic-info"/>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22">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eastAsia="Arial Unicode MS"/>
      <w:kern w:val="0"/>
      <w:sz w:val="20"/>
      <w:szCs w:val="20"/>
    </w:rPr>
  </w:style>
  <w:style w:type="paragraph" w:customStyle="1" w:styleId="823">
    <w:name w:val="8"/>
    <w:basedOn w:val="1"/>
    <w:next w:val="40"/>
    <w:autoRedefine/>
    <w:qFormat/>
    <w:uiPriority w:val="0"/>
    <w:rPr>
      <w:rFonts w:ascii="宋体" w:hAnsi="Courier New" w:cs="Courier New"/>
      <w:szCs w:val="21"/>
    </w:rPr>
  </w:style>
  <w:style w:type="paragraph" w:customStyle="1" w:styleId="824">
    <w:name w:val="xl10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825">
    <w:name w:val="右五"/>
    <w:basedOn w:val="672"/>
    <w:next w:val="1"/>
    <w:autoRedefine/>
    <w:qFormat/>
    <w:uiPriority w:val="0"/>
    <w:pPr>
      <w:jc w:val="right"/>
    </w:pPr>
  </w:style>
  <w:style w:type="paragraph" w:customStyle="1" w:styleId="826">
    <w:name w:val="HD1"/>
    <w:basedOn w:val="2"/>
    <w:autoRedefine/>
    <w:qFormat/>
    <w:uiPriority w:val="0"/>
    <w:pPr>
      <w:keepNext/>
      <w:keepLines/>
      <w:tabs>
        <w:tab w:val="left" w:pos="2100"/>
        <w:tab w:val="center" w:pos="4170"/>
      </w:tabs>
      <w:spacing w:beforeLines="50" w:afterLines="50"/>
      <w:ind w:left="28"/>
      <w:jc w:val="center"/>
    </w:pPr>
    <w:rPr>
      <w:rFonts w:eastAsia="黑体"/>
      <w:b w:val="0"/>
      <w:color w:val="000000"/>
      <w:spacing w:val="5"/>
      <w:lang w:val="zh-CN"/>
    </w:rPr>
  </w:style>
  <w:style w:type="paragraph" w:customStyle="1" w:styleId="827">
    <w:name w:val="样式 样式 样式 设计正文 + 首行缩进:  2 字符 + 首行缩进:  2 字符 + 首行缩进:  2 字符"/>
    <w:basedOn w:val="1"/>
    <w:autoRedefine/>
    <w:qFormat/>
    <w:uiPriority w:val="0"/>
    <w:pPr>
      <w:keepNext/>
      <w:spacing w:line="360" w:lineRule="auto"/>
      <w:ind w:firstLine="538" w:firstLineChars="192"/>
    </w:pPr>
    <w:rPr>
      <w:rFonts w:ascii="仿宋_GB2312" w:eastAsia="仿宋_GB2312" w:cs="宋体"/>
      <w:sz w:val="28"/>
      <w:szCs w:val="20"/>
    </w:rPr>
  </w:style>
  <w:style w:type="paragraph" w:customStyle="1" w:styleId="828">
    <w:name w:val="样式 标题 3H3B Head标题 3 Char条标题1.1.1三级标题h33rd level第二层条ReH..."/>
    <w:basedOn w:val="4"/>
    <w:autoRedefine/>
    <w:qFormat/>
    <w:uiPriority w:val="0"/>
    <w:pPr>
      <w:keepNext w:val="0"/>
      <w:keepLines w:val="0"/>
      <w:spacing w:before="0" w:after="0" w:line="500" w:lineRule="exact"/>
    </w:pPr>
    <w:rPr>
      <w:rFonts w:ascii="楷体_GB2312" w:hAnsi="楷体_GB2312" w:eastAsia="楷体_GB2312" w:cs="楷体_GB2312"/>
      <w:sz w:val="28"/>
      <w:szCs w:val="28"/>
    </w:rPr>
  </w:style>
  <w:style w:type="paragraph" w:customStyle="1" w:styleId="829">
    <w:name w:val="样式 13 磅 行距: 固定值 23 磅"/>
    <w:basedOn w:val="1"/>
    <w:autoRedefine/>
    <w:qFormat/>
    <w:uiPriority w:val="0"/>
    <w:pPr>
      <w:spacing w:line="460" w:lineRule="exact"/>
      <w:ind w:firstLine="200" w:firstLineChars="200"/>
    </w:pPr>
    <w:rPr>
      <w:rFonts w:eastAsia="仿宋_GB2312"/>
      <w:sz w:val="24"/>
      <w:szCs w:val="20"/>
    </w:rPr>
  </w:style>
  <w:style w:type="paragraph" w:customStyle="1" w:styleId="830">
    <w:name w:val="小四表文左齐"/>
    <w:basedOn w:val="1"/>
    <w:autoRedefine/>
    <w:qFormat/>
    <w:uiPriority w:val="0"/>
    <w:pPr>
      <w:jc w:val="center"/>
    </w:pPr>
    <w:rPr>
      <w:rFonts w:ascii="宋体" w:hAnsi="宋体"/>
      <w:szCs w:val="24"/>
    </w:rPr>
  </w:style>
  <w:style w:type="paragraph" w:customStyle="1" w:styleId="831">
    <w:name w:val="表格字！！！！！！！！！！"/>
    <w:basedOn w:val="257"/>
    <w:autoRedefine/>
    <w:qFormat/>
    <w:uiPriority w:val="0"/>
    <w:pPr>
      <w:tabs>
        <w:tab w:val="clear" w:pos="1119"/>
      </w:tabs>
      <w:snapToGrid w:val="0"/>
      <w:ind w:left="0" w:leftChars="0"/>
      <w:textAlignment w:val="center"/>
    </w:pPr>
    <w:rPr>
      <w:rFonts w:ascii="宋体" w:hAnsi="宋体" w:cs="宋体"/>
      <w:color w:val="auto"/>
      <w:kern w:val="2"/>
      <w:sz w:val="21"/>
      <w:szCs w:val="21"/>
    </w:rPr>
  </w:style>
  <w:style w:type="paragraph" w:customStyle="1" w:styleId="832">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center"/>
    </w:pPr>
    <w:rPr>
      <w:rFonts w:ascii="Arial Unicode MS" w:hAnsi="Arial Unicode MS" w:eastAsia="Arial Unicode MS" w:cs="Arial Unicode MS"/>
      <w:kern w:val="0"/>
      <w:sz w:val="20"/>
      <w:szCs w:val="20"/>
    </w:rPr>
  </w:style>
  <w:style w:type="paragraph" w:customStyle="1" w:styleId="833">
    <w:name w:val="正文(首行缩进两字2)"/>
    <w:basedOn w:val="18"/>
    <w:autoRedefine/>
    <w:qFormat/>
    <w:uiPriority w:val="0"/>
    <w:pPr>
      <w:spacing w:line="480" w:lineRule="exact"/>
      <w:ind w:right="-13" w:rightChars="-6" w:firstLine="560"/>
    </w:pPr>
    <w:rPr>
      <w:rFonts w:eastAsia="仿宋_GB2312"/>
      <w:sz w:val="28"/>
      <w:szCs w:val="20"/>
    </w:rPr>
  </w:style>
  <w:style w:type="paragraph" w:customStyle="1" w:styleId="834">
    <w:name w:val="xl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20"/>
      <w:szCs w:val="20"/>
    </w:rPr>
  </w:style>
  <w:style w:type="paragraph" w:customStyle="1" w:styleId="835">
    <w:name w:val="Char6"/>
    <w:basedOn w:val="1"/>
    <w:autoRedefine/>
    <w:qFormat/>
    <w:uiPriority w:val="0"/>
    <w:rPr>
      <w:szCs w:val="24"/>
    </w:rPr>
  </w:style>
  <w:style w:type="paragraph" w:customStyle="1" w:styleId="836">
    <w:name w:val="Char1 Char Char Char"/>
    <w:basedOn w:val="1"/>
    <w:autoRedefine/>
    <w:qFormat/>
    <w:uiPriority w:val="0"/>
    <w:rPr>
      <w:szCs w:val="24"/>
    </w:rPr>
  </w:style>
  <w:style w:type="paragraph" w:customStyle="1" w:styleId="837">
    <w:name w:val="Char Char Char Char Char Char Char"/>
    <w:basedOn w:val="1"/>
    <w:next w:val="1"/>
    <w:autoRedefine/>
    <w:qFormat/>
    <w:uiPriority w:val="0"/>
    <w:pPr>
      <w:spacing w:line="360" w:lineRule="auto"/>
      <w:ind w:firstLine="200" w:firstLineChars="200"/>
    </w:pPr>
    <w:rPr>
      <w:rFonts w:ascii="宋体" w:hAnsi="宋体" w:cs="宋体"/>
      <w:sz w:val="24"/>
      <w:szCs w:val="24"/>
    </w:rPr>
  </w:style>
  <w:style w:type="paragraph" w:customStyle="1" w:styleId="838">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lang w:eastAsia="en-US" w:bidi="en-US"/>
    </w:rPr>
  </w:style>
  <w:style w:type="paragraph" w:customStyle="1" w:styleId="839">
    <w:name w:val="表格文字5号"/>
    <w:basedOn w:val="1"/>
    <w:autoRedefine/>
    <w:qFormat/>
    <w:uiPriority w:val="0"/>
    <w:pPr>
      <w:jc w:val="center"/>
    </w:pPr>
    <w:rPr>
      <w:rFonts w:ascii="宋体"/>
      <w:szCs w:val="24"/>
    </w:rPr>
  </w:style>
  <w:style w:type="paragraph" w:customStyle="1" w:styleId="840">
    <w:name w:val="样式 正文缩进正文（首行缩进两字）正文2 + 首行缩进:  2 字符"/>
    <w:basedOn w:val="18"/>
    <w:autoRedefine/>
    <w:qFormat/>
    <w:uiPriority w:val="0"/>
    <w:pPr>
      <w:spacing w:line="500" w:lineRule="exact"/>
      <w:ind w:firstLine="200"/>
    </w:pPr>
    <w:rPr>
      <w:rFonts w:cs="宋体"/>
      <w:sz w:val="24"/>
      <w:szCs w:val="20"/>
    </w:rPr>
  </w:style>
  <w:style w:type="paragraph" w:customStyle="1" w:styleId="841">
    <w:name w:val="样式 正文首行缩进 + 黑色 首行缩进:  2 字符1"/>
    <w:basedOn w:val="77"/>
    <w:autoRedefine/>
    <w:qFormat/>
    <w:uiPriority w:val="0"/>
    <w:pPr>
      <w:adjustRightInd w:val="0"/>
      <w:snapToGrid w:val="0"/>
      <w:spacing w:after="0" w:line="300" w:lineRule="auto"/>
      <w:ind w:firstLine="560" w:firstLineChars="200"/>
    </w:pPr>
    <w:rPr>
      <w:color w:val="000000"/>
      <w:sz w:val="28"/>
      <w:szCs w:val="20"/>
    </w:rPr>
  </w:style>
  <w:style w:type="paragraph" w:customStyle="1" w:styleId="842">
    <w:name w:val="表格，五宋"/>
    <w:autoRedefine/>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843">
    <w:name w:val="样式 宋体 小四 行距: 固定值 24 磅"/>
    <w:basedOn w:val="1"/>
    <w:autoRedefine/>
    <w:qFormat/>
    <w:uiPriority w:val="0"/>
    <w:pPr>
      <w:spacing w:line="500" w:lineRule="exact"/>
      <w:ind w:firstLine="200" w:firstLineChars="200"/>
    </w:pPr>
    <w:rPr>
      <w:rFonts w:ascii="楷体_GB2312" w:hAnsi="楷体_GB2312" w:eastAsia="楷体_GB2312" w:cs="楷体_GB2312"/>
      <w:sz w:val="24"/>
      <w:szCs w:val="24"/>
    </w:rPr>
  </w:style>
  <w:style w:type="paragraph" w:customStyle="1" w:styleId="844">
    <w:name w:val="样式 行距: 1.5 倍行距"/>
    <w:basedOn w:val="1"/>
    <w:autoRedefine/>
    <w:qFormat/>
    <w:uiPriority w:val="0"/>
    <w:pPr>
      <w:tabs>
        <w:tab w:val="left" w:pos="630"/>
      </w:tabs>
      <w:spacing w:line="360" w:lineRule="auto"/>
    </w:pPr>
    <w:rPr>
      <w:rFonts w:ascii="宋体" w:hAnsi="宋体"/>
      <w:color w:val="000000"/>
      <w:sz w:val="24"/>
      <w:szCs w:val="20"/>
    </w:rPr>
  </w:style>
  <w:style w:type="paragraph" w:customStyle="1" w:styleId="845">
    <w:name w:val="1 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846">
    <w:name w:val="_Style 260"/>
    <w:basedOn w:val="1"/>
    <w:next w:val="1"/>
    <w:autoRedefine/>
    <w:qFormat/>
    <w:uiPriority w:val="0"/>
    <w:pPr>
      <w:tabs>
        <w:tab w:val="left" w:pos="700"/>
      </w:tabs>
      <w:snapToGrid w:val="0"/>
      <w:spacing w:beforeLines="50" w:line="360" w:lineRule="auto"/>
      <w:ind w:firstLine="424" w:firstLineChars="200"/>
      <w:jc w:val="left"/>
    </w:pPr>
    <w:rPr>
      <w:szCs w:val="20"/>
    </w:rPr>
  </w:style>
  <w:style w:type="paragraph" w:customStyle="1" w:styleId="847">
    <w:name w:val="样式 标题 3条标题1.1.1条标题BSH-3W3 + 仿宋_GB2312 非加粗"/>
    <w:basedOn w:val="4"/>
    <w:autoRedefine/>
    <w:qFormat/>
    <w:uiPriority w:val="0"/>
    <w:pPr>
      <w:tabs>
        <w:tab w:val="left" w:pos="578"/>
      </w:tabs>
      <w:adjustRightInd w:val="0"/>
      <w:snapToGrid w:val="0"/>
      <w:spacing w:before="0" w:after="0" w:line="360" w:lineRule="auto"/>
    </w:pPr>
    <w:rPr>
      <w:rFonts w:ascii="仿宋_GB2312" w:hAnsi="仿宋_GB2312" w:eastAsia="仿宋_GB2312" w:cs="Arial Unicode MS"/>
      <w:bCs w:val="0"/>
      <w:kern w:val="0"/>
      <w:sz w:val="28"/>
    </w:rPr>
  </w:style>
  <w:style w:type="paragraph" w:customStyle="1" w:styleId="848">
    <w:name w:val="CM10"/>
    <w:basedOn w:val="598"/>
    <w:next w:val="598"/>
    <w:autoRedefine/>
    <w:qFormat/>
    <w:uiPriority w:val="0"/>
    <w:pPr>
      <w:spacing w:line="436" w:lineRule="atLeast"/>
    </w:pPr>
    <w:rPr>
      <w:rFonts w:ascii="宋体" w:eastAsia="宋体" w:cs="Times New Roman"/>
      <w:color w:val="auto"/>
      <w:sz w:val="20"/>
    </w:rPr>
  </w:style>
  <w:style w:type="paragraph" w:customStyle="1" w:styleId="849">
    <w:name w:val="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850">
    <w:name w:val="表中文字1"/>
    <w:basedOn w:val="18"/>
    <w:autoRedefine/>
    <w:qFormat/>
    <w:uiPriority w:val="0"/>
    <w:pPr>
      <w:adjustRightInd w:val="0"/>
      <w:snapToGrid w:val="0"/>
      <w:spacing w:line="300" w:lineRule="auto"/>
      <w:ind w:firstLine="0" w:firstLineChars="0"/>
      <w:jc w:val="center"/>
    </w:pPr>
    <w:rPr>
      <w:rFonts w:eastAsia="仿宋_GB2312"/>
      <w:snapToGrid w:val="0"/>
      <w:sz w:val="24"/>
      <w:szCs w:val="20"/>
    </w:rPr>
  </w:style>
  <w:style w:type="paragraph" w:customStyle="1" w:styleId="851">
    <w:name w:val="样式 正文首行缩进 + 段前: 0.5 行"/>
    <w:basedOn w:val="77"/>
    <w:autoRedefine/>
    <w:qFormat/>
    <w:uiPriority w:val="0"/>
    <w:pPr>
      <w:spacing w:beforeLines="50" w:after="0" w:line="360" w:lineRule="auto"/>
      <w:ind w:firstLine="567" w:firstLineChars="0"/>
    </w:pPr>
    <w:rPr>
      <w:sz w:val="28"/>
      <w:szCs w:val="20"/>
    </w:rPr>
  </w:style>
  <w:style w:type="paragraph" w:customStyle="1" w:styleId="852">
    <w:name w:val="hao01-0"/>
    <w:autoRedefine/>
    <w:qFormat/>
    <w:uiPriority w:val="0"/>
    <w:pPr>
      <w:ind w:firstLine="200" w:firstLineChars="200"/>
    </w:pPr>
    <w:rPr>
      <w:rFonts w:ascii="Times New Roman" w:hAnsi="Times New Roman" w:eastAsia="宋体" w:cs="Times New Roman"/>
      <w:kern w:val="2"/>
      <w:sz w:val="24"/>
      <w:szCs w:val="24"/>
      <w:lang w:val="en-US" w:eastAsia="zh-CN" w:bidi="ar-SA"/>
    </w:rPr>
  </w:style>
  <w:style w:type="paragraph" w:customStyle="1" w:styleId="853">
    <w:name w:val="正文表标题"/>
    <w:next w:val="18"/>
    <w:autoRedefine/>
    <w:qFormat/>
    <w:uiPriority w:val="0"/>
    <w:pPr>
      <w:tabs>
        <w:tab w:val="left" w:pos="425"/>
      </w:tabs>
      <w:ind w:left="425" w:hanging="425"/>
      <w:jc w:val="center"/>
    </w:pPr>
    <w:rPr>
      <w:rFonts w:ascii="黑体" w:hAnsi="Times New Roman" w:eastAsia="黑体" w:cs="Times New Roman"/>
      <w:sz w:val="21"/>
      <w:lang w:val="en-US" w:eastAsia="zh-CN" w:bidi="ar-SA"/>
    </w:rPr>
  </w:style>
  <w:style w:type="paragraph" w:customStyle="1" w:styleId="854">
    <w:name w:val="表格——正文"/>
    <w:basedOn w:val="428"/>
    <w:autoRedefine/>
    <w:qFormat/>
    <w:uiPriority w:val="0"/>
    <w:pPr>
      <w:widowControl w:val="0"/>
      <w:kinsoku w:val="0"/>
      <w:wordWrap w:val="0"/>
      <w:overflowPunct w:val="0"/>
      <w:autoSpaceDE w:val="0"/>
      <w:autoSpaceDN w:val="0"/>
      <w:adjustRightInd w:val="0"/>
      <w:spacing w:line="280" w:lineRule="exact"/>
      <w:jc w:val="both"/>
      <w:textAlignment w:val="baseline"/>
    </w:pPr>
    <w:rPr>
      <w:rFonts w:ascii="Times New Roman" w:hAnsi="Times New Roman" w:eastAsia="仿宋_GB2312" w:cs="Times New Roman"/>
      <w:snapToGrid w:val="0"/>
      <w:color w:val="000000"/>
      <w:sz w:val="21"/>
      <w:szCs w:val="20"/>
    </w:rPr>
  </w:style>
  <w:style w:type="paragraph" w:customStyle="1" w:styleId="855">
    <w:name w:val="样式 标题 + 两端对齐 左侧:  2.2 厘米"/>
    <w:basedOn w:val="75"/>
    <w:autoRedefine/>
    <w:qFormat/>
    <w:uiPriority w:val="0"/>
    <w:pPr>
      <w:tabs>
        <w:tab w:val="left" w:pos="0"/>
      </w:tabs>
      <w:spacing w:before="0" w:after="100" w:afterAutospacing="1"/>
      <w:ind w:left="1247" w:hanging="57" w:firstLineChars="0"/>
      <w:jc w:val="left"/>
    </w:pPr>
    <w:rPr>
      <w:rFonts w:ascii="楷体_GB2312" w:hAnsi="Arial" w:eastAsia="隶书" w:cs="宋体"/>
      <w:sz w:val="44"/>
      <w:szCs w:val="20"/>
    </w:rPr>
  </w:style>
  <w:style w:type="paragraph" w:customStyle="1" w:styleId="856">
    <w:name w:val="Char Char Char Char Char Char Char Char Char Char Char1 Char Char Char Char Char Char Char1"/>
    <w:basedOn w:val="1"/>
    <w:autoRedefine/>
    <w:qFormat/>
    <w:uiPriority w:val="0"/>
    <w:rPr>
      <w:szCs w:val="24"/>
    </w:rPr>
  </w:style>
  <w:style w:type="paragraph" w:customStyle="1" w:styleId="857">
    <w:name w:val="xl50"/>
    <w:basedOn w:val="1"/>
    <w:autoRedefine/>
    <w:qFormat/>
    <w:uiPriority w:val="0"/>
    <w:pPr>
      <w:widowControl/>
      <w:pBdr>
        <w:top w:val="single" w:color="auto" w:sz="4" w:space="0"/>
        <w:left w:val="single" w:color="auto" w:sz="4" w:space="0"/>
        <w:right w:val="single" w:color="auto" w:sz="8"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0"/>
      <w:szCs w:val="20"/>
    </w:rPr>
  </w:style>
  <w:style w:type="paragraph" w:customStyle="1" w:styleId="858">
    <w:name w:val="xl4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left"/>
      <w:textAlignment w:val="center"/>
    </w:pPr>
    <w:rPr>
      <w:rFonts w:ascii="Arial Unicode MS" w:hAnsi="Arial Unicode MS" w:eastAsia="Arial Unicode MS" w:cs="Arial Unicode MS"/>
      <w:kern w:val="0"/>
      <w:sz w:val="24"/>
      <w:szCs w:val="24"/>
    </w:rPr>
  </w:style>
  <w:style w:type="paragraph" w:customStyle="1" w:styleId="859">
    <w:name w:val="讲稿"/>
    <w:basedOn w:val="1"/>
    <w:autoRedefine/>
    <w:qFormat/>
    <w:uiPriority w:val="0"/>
    <w:pPr>
      <w:ind w:firstLine="431"/>
    </w:pPr>
    <w:rPr>
      <w:rFonts w:ascii="Arial" w:hAnsi="Arial"/>
      <w:kern w:val="0"/>
      <w:szCs w:val="20"/>
    </w:rPr>
  </w:style>
  <w:style w:type="paragraph" w:customStyle="1" w:styleId="860">
    <w:name w:val="注释标题1"/>
    <w:basedOn w:val="18"/>
    <w:next w:val="18"/>
    <w:autoRedefine/>
    <w:qFormat/>
    <w:uiPriority w:val="0"/>
    <w:pPr>
      <w:tabs>
        <w:tab w:val="left" w:pos="720"/>
      </w:tabs>
      <w:snapToGrid w:val="0"/>
      <w:spacing w:before="120" w:line="360" w:lineRule="auto"/>
      <w:ind w:left="720" w:hanging="720" w:firstLineChars="0"/>
    </w:pPr>
    <w:rPr>
      <w:kern w:val="0"/>
      <w:sz w:val="24"/>
      <w:szCs w:val="20"/>
    </w:rPr>
  </w:style>
  <w:style w:type="paragraph" w:customStyle="1" w:styleId="861">
    <w:name w:val="CM20"/>
    <w:basedOn w:val="598"/>
    <w:next w:val="598"/>
    <w:autoRedefine/>
    <w:qFormat/>
    <w:uiPriority w:val="0"/>
    <w:pPr>
      <w:spacing w:line="436" w:lineRule="atLeast"/>
    </w:pPr>
    <w:rPr>
      <w:rFonts w:ascii="宋体" w:eastAsia="宋体" w:cs="Times New Roman"/>
      <w:color w:val="auto"/>
      <w:sz w:val="20"/>
    </w:rPr>
  </w:style>
  <w:style w:type="paragraph" w:customStyle="1" w:styleId="862">
    <w:name w:val="Char Char Char Char Char Char Char Char Char Char Char Char Char Char Char Char Char Char Char Char Char Char Char"/>
    <w:basedOn w:val="1"/>
    <w:autoRedefine/>
    <w:qFormat/>
    <w:uiPriority w:val="0"/>
    <w:rPr>
      <w:szCs w:val="24"/>
    </w:rPr>
  </w:style>
  <w:style w:type="paragraph" w:customStyle="1" w:styleId="863">
    <w:name w:val="正文文本7"/>
    <w:basedOn w:val="1"/>
    <w:autoRedefine/>
    <w:qFormat/>
    <w:uiPriority w:val="0"/>
    <w:pPr>
      <w:shd w:val="clear" w:color="auto" w:fill="FFFFFF"/>
      <w:spacing w:line="557" w:lineRule="exact"/>
      <w:ind w:hanging="700"/>
      <w:jc w:val="distribute"/>
    </w:pPr>
    <w:rPr>
      <w:rFonts w:ascii="MingLiU" w:hAnsi="MingLiU" w:eastAsia="MingLiU"/>
      <w:spacing w:val="10"/>
      <w:kern w:val="0"/>
      <w:szCs w:val="21"/>
      <w:shd w:val="clear" w:color="auto" w:fill="FFFFFF"/>
    </w:rPr>
  </w:style>
  <w:style w:type="paragraph" w:customStyle="1" w:styleId="864">
    <w:name w:val="字元 字元1"/>
    <w:basedOn w:val="1"/>
    <w:autoRedefine/>
    <w:semiHidden/>
    <w:qFormat/>
    <w:uiPriority w:val="0"/>
    <w:rPr>
      <w:szCs w:val="24"/>
    </w:rPr>
  </w:style>
  <w:style w:type="paragraph" w:customStyle="1" w:styleId="865">
    <w:name w:val="16"/>
    <w:basedOn w:val="1"/>
    <w:autoRedefine/>
    <w:qFormat/>
    <w:uiPriority w:val="0"/>
    <w:rPr>
      <w:szCs w:val="24"/>
    </w:rPr>
  </w:style>
  <w:style w:type="paragraph" w:customStyle="1" w:styleId="866">
    <w:name w:val="正文（首行缩进两字） Char Char Char Char1 Char11"/>
    <w:basedOn w:val="1"/>
    <w:next w:val="18"/>
    <w:autoRedefine/>
    <w:semiHidden/>
    <w:qFormat/>
    <w:uiPriority w:val="0"/>
    <w:pPr>
      <w:spacing w:line="440" w:lineRule="exact"/>
      <w:ind w:firstLine="200" w:firstLineChars="200"/>
    </w:pPr>
    <w:rPr>
      <w:rFonts w:ascii="Arial" w:hAnsi="Arial"/>
      <w:sz w:val="24"/>
      <w:szCs w:val="24"/>
    </w:rPr>
  </w:style>
  <w:style w:type="paragraph" w:customStyle="1" w:styleId="867">
    <w:name w:val="普通段落文字"/>
    <w:basedOn w:val="1"/>
    <w:autoRedefine/>
    <w:qFormat/>
    <w:uiPriority w:val="0"/>
    <w:pPr>
      <w:adjustRightInd w:val="0"/>
      <w:snapToGrid w:val="0"/>
      <w:spacing w:line="300" w:lineRule="auto"/>
      <w:ind w:firstLine="567" w:firstLineChars="200"/>
    </w:pPr>
    <w:rPr>
      <w:rFonts w:ascii="宋体" w:hAnsi="宋体"/>
      <w:sz w:val="28"/>
      <w:szCs w:val="28"/>
    </w:rPr>
  </w:style>
  <w:style w:type="paragraph" w:customStyle="1" w:styleId="868">
    <w:name w:val="_Style 957"/>
    <w:basedOn w:val="1"/>
    <w:next w:val="1"/>
    <w:autoRedefine/>
    <w:qFormat/>
    <w:uiPriority w:val="0"/>
    <w:pPr>
      <w:pBdr>
        <w:top w:val="single" w:color="auto" w:sz="6" w:space="1"/>
      </w:pBdr>
      <w:jc w:val="center"/>
    </w:pPr>
    <w:rPr>
      <w:rFonts w:ascii="Arial" w:eastAsia="宋体"/>
      <w:vanish/>
      <w:sz w:val="16"/>
    </w:rPr>
  </w:style>
  <w:style w:type="paragraph" w:customStyle="1" w:styleId="869">
    <w:name w:val="表格中"/>
    <w:basedOn w:val="1"/>
    <w:autoRedefine/>
    <w:qFormat/>
    <w:uiPriority w:val="0"/>
    <w:pPr>
      <w:spacing w:line="280" w:lineRule="exact"/>
      <w:ind w:left="-84" w:right="-101" w:hanging="42"/>
      <w:jc w:val="center"/>
    </w:pPr>
    <w:rPr>
      <w:rFonts w:hAnsi="宋体"/>
      <w:sz w:val="18"/>
      <w:szCs w:val="18"/>
    </w:rPr>
  </w:style>
  <w:style w:type="paragraph" w:customStyle="1" w:styleId="870">
    <w:name w:val="Indent1"/>
    <w:basedOn w:val="1"/>
    <w:autoRedefine/>
    <w:semiHidden/>
    <w:qFormat/>
    <w:uiPriority w:val="0"/>
    <w:pPr>
      <w:overflowPunct w:val="0"/>
      <w:autoSpaceDE w:val="0"/>
      <w:autoSpaceDN w:val="0"/>
      <w:adjustRightInd w:val="0"/>
      <w:ind w:left="1440" w:hanging="720"/>
      <w:jc w:val="left"/>
      <w:textAlignment w:val="baseline"/>
    </w:pPr>
    <w:rPr>
      <w:rFonts w:ascii="Arial" w:hAnsi="Arial"/>
      <w:kern w:val="0"/>
      <w:sz w:val="22"/>
      <w:szCs w:val="20"/>
    </w:rPr>
  </w:style>
  <w:style w:type="paragraph" w:customStyle="1" w:styleId="871">
    <w:name w:val="Char Char Char Char Char2 Char Char Char Char"/>
    <w:basedOn w:val="1"/>
    <w:autoRedefine/>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872">
    <w:name w:val="xl40"/>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4"/>
    </w:rPr>
  </w:style>
  <w:style w:type="paragraph" w:customStyle="1" w:styleId="873">
    <w:name w:val="xl3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lang w:eastAsia="en-US" w:bidi="en-US"/>
    </w:rPr>
  </w:style>
  <w:style w:type="paragraph" w:customStyle="1" w:styleId="874">
    <w:name w:val="样式4"/>
    <w:basedOn w:val="18"/>
    <w:autoRedefine/>
    <w:qFormat/>
    <w:uiPriority w:val="0"/>
    <w:pPr>
      <w:snapToGrid w:val="0"/>
      <w:spacing w:line="460" w:lineRule="exact"/>
      <w:ind w:firstLine="0" w:firstLineChars="0"/>
    </w:pPr>
    <w:rPr>
      <w:rFonts w:ascii="Arial" w:hAnsi="Arial"/>
      <w:sz w:val="24"/>
    </w:rPr>
  </w:style>
  <w:style w:type="paragraph" w:customStyle="1" w:styleId="875">
    <w:name w:val="xl43"/>
    <w:basedOn w:val="1"/>
    <w:autoRedefine/>
    <w:qFormat/>
    <w:uiPriority w:val="0"/>
    <w:pPr>
      <w:widowControl/>
      <w:pBdr>
        <w:top w:val="single" w:color="auto" w:sz="8" w:space="0"/>
        <w:left w:val="single" w:color="auto" w:sz="4" w:space="0"/>
        <w:bottom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4"/>
    </w:rPr>
  </w:style>
  <w:style w:type="paragraph" w:customStyle="1" w:styleId="876">
    <w:name w:val="右5"/>
    <w:basedOn w:val="1"/>
    <w:autoRedefine/>
    <w:qFormat/>
    <w:uiPriority w:val="0"/>
    <w:pPr>
      <w:adjustRightInd w:val="0"/>
      <w:snapToGrid w:val="0"/>
      <w:spacing w:line="360" w:lineRule="auto"/>
      <w:ind w:left="42"/>
      <w:jc w:val="right"/>
    </w:pPr>
    <w:rPr>
      <w:rFonts w:ascii="宋体" w:hAnsi="宋体"/>
      <w:color w:val="000080"/>
      <w:kern w:val="28"/>
      <w:sz w:val="18"/>
      <w:szCs w:val="18"/>
    </w:rPr>
  </w:style>
  <w:style w:type="paragraph" w:customStyle="1" w:styleId="877">
    <w:name w:val="样式 标题 2节H2节标题 1.1二级标题标题 lxb21.1h2第一层条二级标题 Char表标题单位名...1"/>
    <w:basedOn w:val="3"/>
    <w:autoRedefine/>
    <w:qFormat/>
    <w:uiPriority w:val="0"/>
    <w:pPr>
      <w:spacing w:before="0" w:after="0" w:line="360" w:lineRule="auto"/>
    </w:pPr>
    <w:rPr>
      <w:rFonts w:ascii="黑体" w:hAnsi="Arial" w:eastAsia="黑体" w:cs="宋体"/>
      <w:bCs/>
      <w:color w:val="000000"/>
      <w:sz w:val="28"/>
    </w:rPr>
  </w:style>
  <w:style w:type="paragraph" w:customStyle="1" w:styleId="878">
    <w:name w:val="我的样式（正文）"/>
    <w:basedOn w:val="1"/>
    <w:autoRedefine/>
    <w:qFormat/>
    <w:uiPriority w:val="0"/>
    <w:pPr>
      <w:spacing w:line="440" w:lineRule="exact"/>
    </w:pPr>
    <w:rPr>
      <w:rFonts w:ascii="宋体"/>
      <w:sz w:val="28"/>
      <w:szCs w:val="20"/>
    </w:rPr>
  </w:style>
  <w:style w:type="paragraph" w:customStyle="1" w:styleId="879">
    <w:name w:val="Char Char Char Char Char Char Char Char Char Char"/>
    <w:basedOn w:val="1"/>
    <w:next w:val="1"/>
    <w:autoRedefine/>
    <w:qFormat/>
    <w:uiPriority w:val="0"/>
    <w:pPr>
      <w:spacing w:line="360" w:lineRule="auto"/>
      <w:ind w:firstLine="200" w:firstLineChars="200"/>
    </w:pPr>
    <w:rPr>
      <w:rFonts w:ascii="宋体" w:hAnsi="宋体" w:cs="宋体"/>
      <w:sz w:val="24"/>
      <w:szCs w:val="24"/>
    </w:rPr>
  </w:style>
  <w:style w:type="paragraph" w:customStyle="1" w:styleId="880">
    <w:name w:val="CM9"/>
    <w:basedOn w:val="598"/>
    <w:next w:val="598"/>
    <w:autoRedefine/>
    <w:qFormat/>
    <w:uiPriority w:val="0"/>
    <w:pPr>
      <w:spacing w:line="436" w:lineRule="atLeast"/>
    </w:pPr>
    <w:rPr>
      <w:rFonts w:ascii="宋体" w:eastAsia="宋体" w:cs="Times New Roman"/>
      <w:color w:val="auto"/>
      <w:sz w:val="20"/>
    </w:rPr>
  </w:style>
  <w:style w:type="paragraph" w:customStyle="1" w:styleId="881">
    <w:name w:val="图名"/>
    <w:basedOn w:val="1"/>
    <w:autoRedefine/>
    <w:qFormat/>
    <w:uiPriority w:val="0"/>
    <w:pPr>
      <w:spacing w:line="360" w:lineRule="auto"/>
    </w:pPr>
    <w:rPr>
      <w:rFonts w:ascii="黑体" w:eastAsia="黑体"/>
      <w:color w:val="000000"/>
      <w:sz w:val="24"/>
      <w:szCs w:val="24"/>
    </w:rPr>
  </w:style>
  <w:style w:type="paragraph" w:customStyle="1" w:styleId="882">
    <w:name w:val="表格标题1"/>
    <w:basedOn w:val="1"/>
    <w:autoRedefine/>
    <w:qFormat/>
    <w:uiPriority w:val="0"/>
    <w:pPr>
      <w:spacing w:line="360" w:lineRule="auto"/>
      <w:jc w:val="center"/>
    </w:pPr>
    <w:rPr>
      <w:rFonts w:ascii="黑体" w:hAnsi="宋体" w:eastAsia="黑体"/>
      <w:b/>
      <w:color w:val="000000"/>
      <w:sz w:val="24"/>
      <w:szCs w:val="24"/>
    </w:rPr>
  </w:style>
  <w:style w:type="paragraph" w:customStyle="1" w:styleId="883">
    <w:name w:val="样式 宋体 行距: 固定值 16 磅"/>
    <w:basedOn w:val="1"/>
    <w:autoRedefine/>
    <w:qFormat/>
    <w:uiPriority w:val="0"/>
    <w:pPr>
      <w:spacing w:line="320" w:lineRule="exact"/>
    </w:pPr>
    <w:rPr>
      <w:rFonts w:ascii="宋体" w:hAnsi="宋体" w:eastAsia="楷体_GB2312" w:cs="宋体"/>
      <w:szCs w:val="20"/>
    </w:rPr>
  </w:style>
  <w:style w:type="paragraph" w:customStyle="1" w:styleId="884">
    <w:name w:val="样式 首行缩进:  2 字符3"/>
    <w:basedOn w:val="1"/>
    <w:autoRedefine/>
    <w:qFormat/>
    <w:uiPriority w:val="0"/>
    <w:pPr>
      <w:ind w:firstLine="567" w:firstLineChars="200"/>
    </w:pPr>
    <w:rPr>
      <w:rFonts w:cs="宋体"/>
      <w:sz w:val="24"/>
      <w:szCs w:val="24"/>
    </w:rPr>
  </w:style>
  <w:style w:type="paragraph" w:customStyle="1" w:styleId="885">
    <w:name w:val="样式 正文缩进正文（首行缩进两字）正文（首行缩进两字） Char Char Char Char Char Char Char..."/>
    <w:basedOn w:val="18"/>
    <w:autoRedefine/>
    <w:semiHidden/>
    <w:qFormat/>
    <w:uiPriority w:val="0"/>
    <w:pPr>
      <w:tabs>
        <w:tab w:val="left" w:pos="3360"/>
      </w:tabs>
      <w:adjustRightInd w:val="0"/>
      <w:snapToGrid w:val="0"/>
      <w:spacing w:line="360" w:lineRule="auto"/>
      <w:ind w:firstLine="480"/>
      <w:textAlignment w:val="baseline"/>
    </w:pPr>
    <w:rPr>
      <w:rFonts w:ascii="楷体_GB2312" w:eastAsia="楷体_GB2312"/>
      <w:snapToGrid w:val="0"/>
      <w:kern w:val="0"/>
      <w:sz w:val="24"/>
    </w:rPr>
  </w:style>
  <w:style w:type="paragraph" w:customStyle="1" w:styleId="886">
    <w:name w:val="CM89"/>
    <w:basedOn w:val="598"/>
    <w:next w:val="598"/>
    <w:autoRedefine/>
    <w:qFormat/>
    <w:uiPriority w:val="0"/>
    <w:pPr>
      <w:spacing w:after="113"/>
    </w:pPr>
    <w:rPr>
      <w:rFonts w:ascii="宋体" w:eastAsia="宋体" w:cs="Times New Roman"/>
      <w:color w:val="auto"/>
      <w:sz w:val="20"/>
    </w:rPr>
  </w:style>
  <w:style w:type="paragraph" w:customStyle="1" w:styleId="887">
    <w:name w:val="标题二"/>
    <w:basedOn w:val="1"/>
    <w:autoRedefine/>
    <w:qFormat/>
    <w:uiPriority w:val="0"/>
    <w:pPr>
      <w:spacing w:before="120" w:after="120" w:line="500" w:lineRule="exact"/>
      <w:outlineLvl w:val="1"/>
    </w:pPr>
    <w:rPr>
      <w:rFonts w:ascii="楷体_GB2312" w:hAnsi="楷体_GB2312" w:eastAsia="楷体_GB2312" w:cs="楷体_GB2312"/>
      <w:b/>
      <w:sz w:val="30"/>
      <w:szCs w:val="30"/>
    </w:rPr>
  </w:style>
  <w:style w:type="paragraph" w:customStyle="1" w:styleId="888">
    <w:name w:val="CM87"/>
    <w:basedOn w:val="598"/>
    <w:next w:val="598"/>
    <w:autoRedefine/>
    <w:qFormat/>
    <w:uiPriority w:val="0"/>
    <w:pPr>
      <w:spacing w:after="263"/>
    </w:pPr>
    <w:rPr>
      <w:rFonts w:ascii="宋体" w:eastAsia="宋体" w:cs="Times New Roman"/>
      <w:color w:val="auto"/>
      <w:sz w:val="20"/>
    </w:rPr>
  </w:style>
  <w:style w:type="paragraph" w:customStyle="1" w:styleId="889">
    <w:name w:val="正文楷体"/>
    <w:basedOn w:val="1"/>
    <w:autoRedefine/>
    <w:qFormat/>
    <w:uiPriority w:val="0"/>
    <w:pPr>
      <w:spacing w:line="500" w:lineRule="exact"/>
      <w:ind w:firstLine="200" w:firstLineChars="200"/>
    </w:pPr>
    <w:rPr>
      <w:rFonts w:ascii="宋体" w:hAnsi="宋体" w:eastAsia="楷体_GB2312"/>
      <w:sz w:val="24"/>
      <w:szCs w:val="24"/>
    </w:rPr>
  </w:style>
  <w:style w:type="paragraph" w:customStyle="1" w:styleId="890">
    <w:name w:val="样式 (符号) 宋体 小四 行距: 固定值 26 磅"/>
    <w:basedOn w:val="1"/>
    <w:autoRedefine/>
    <w:qFormat/>
    <w:uiPriority w:val="0"/>
    <w:pPr>
      <w:widowControl/>
      <w:spacing w:line="280" w:lineRule="exact"/>
    </w:pPr>
    <w:rPr>
      <w:bCs/>
      <w:spacing w:val="-8"/>
      <w:kern w:val="0"/>
      <w:sz w:val="18"/>
      <w:szCs w:val="18"/>
    </w:rPr>
  </w:style>
  <w:style w:type="paragraph" w:customStyle="1" w:styleId="891">
    <w:name w:val="表内式样"/>
    <w:autoRedefine/>
    <w:qFormat/>
    <w:uiPriority w:val="0"/>
    <w:pPr>
      <w:keepLines/>
      <w:widowControl w:val="0"/>
      <w:kinsoku w:val="0"/>
      <w:overflowPunct w:val="0"/>
      <w:adjustRightInd w:val="0"/>
      <w:jc w:val="center"/>
    </w:pPr>
    <w:rPr>
      <w:rFonts w:ascii="宋体" w:hAnsi="Times New Roman" w:eastAsia="宋体" w:cs="Times New Roman"/>
      <w:sz w:val="21"/>
      <w:szCs w:val="21"/>
      <w:lang w:val="en-US" w:eastAsia="zh-CN" w:bidi="ar-SA"/>
    </w:rPr>
  </w:style>
  <w:style w:type="paragraph" w:customStyle="1" w:styleId="892">
    <w:name w:val="HD3"/>
    <w:basedOn w:val="1"/>
    <w:autoRedefine/>
    <w:qFormat/>
    <w:uiPriority w:val="0"/>
    <w:pPr>
      <w:keepNext/>
      <w:keepLines/>
      <w:spacing w:before="120" w:after="120" w:line="480" w:lineRule="exact"/>
      <w:outlineLvl w:val="4"/>
    </w:pPr>
    <w:rPr>
      <w:b/>
      <w:sz w:val="28"/>
      <w:szCs w:val="20"/>
    </w:rPr>
  </w:style>
  <w:style w:type="paragraph" w:customStyle="1" w:styleId="893">
    <w:name w:val="样式 标题 3H3B Head标题 3 Char条标题1.1.1三级标题标题3h33rd level第二层条..."/>
    <w:basedOn w:val="4"/>
    <w:autoRedefine/>
    <w:qFormat/>
    <w:uiPriority w:val="0"/>
    <w:pPr>
      <w:keepNext w:val="0"/>
      <w:keepLines w:val="0"/>
      <w:overflowPunct w:val="0"/>
      <w:autoSpaceDE w:val="0"/>
      <w:autoSpaceDN w:val="0"/>
      <w:adjustRightInd w:val="0"/>
      <w:snapToGrid w:val="0"/>
      <w:spacing w:before="31" w:after="31" w:line="360" w:lineRule="auto"/>
      <w:jc w:val="left"/>
      <w:textAlignment w:val="baseline"/>
    </w:pPr>
    <w:rPr>
      <w:rFonts w:ascii="黑体" w:hAnsi="宋体" w:eastAsia="黑体" w:cs="宋体"/>
      <w:b w:val="0"/>
      <w:bCs w:val="0"/>
      <w:snapToGrid w:val="0"/>
      <w:color w:val="000000"/>
      <w:kern w:val="0"/>
      <w:sz w:val="24"/>
      <w:szCs w:val="24"/>
    </w:rPr>
  </w:style>
  <w:style w:type="paragraph" w:customStyle="1" w:styleId="894">
    <w:name w:val="font5"/>
    <w:basedOn w:val="1"/>
    <w:autoRedefine/>
    <w:qFormat/>
    <w:uiPriority w:val="0"/>
    <w:pPr>
      <w:widowControl/>
      <w:spacing w:before="100" w:beforeAutospacing="1" w:after="100" w:afterAutospacing="1"/>
      <w:jc w:val="left"/>
    </w:pPr>
    <w:rPr>
      <w:rFonts w:hint="eastAsia" w:ascii="宋体" w:hAnsi="宋体" w:cs="Arial Unicode MS"/>
      <w:kern w:val="0"/>
      <w:sz w:val="22"/>
      <w:lang w:eastAsia="en-US" w:bidi="en-US"/>
    </w:rPr>
  </w:style>
  <w:style w:type="paragraph" w:customStyle="1" w:styleId="895">
    <w:name w:val="正文999"/>
    <w:basedOn w:val="1"/>
    <w:autoRedefine/>
    <w:semiHidden/>
    <w:qFormat/>
    <w:uiPriority w:val="0"/>
    <w:pPr>
      <w:spacing w:line="360" w:lineRule="auto"/>
      <w:ind w:firstLine="480" w:firstLineChars="200"/>
    </w:pPr>
    <w:rPr>
      <w:rFonts w:ascii="宋体" w:hAnsi="宋体"/>
      <w:sz w:val="24"/>
      <w:szCs w:val="24"/>
    </w:rPr>
  </w:style>
  <w:style w:type="paragraph" w:customStyle="1" w:styleId="896">
    <w:name w:val="标题 2 + 首行缩进： 0磅"/>
    <w:basedOn w:val="639"/>
    <w:autoRedefine/>
    <w:qFormat/>
    <w:uiPriority w:val="0"/>
  </w:style>
  <w:style w:type="paragraph" w:customStyle="1" w:styleId="897">
    <w:name w:val="table"/>
    <w:basedOn w:val="1"/>
    <w:autoRedefine/>
    <w:qFormat/>
    <w:uiPriority w:val="0"/>
    <w:pPr>
      <w:widowControl/>
      <w:overflowPunct w:val="0"/>
      <w:autoSpaceDE w:val="0"/>
      <w:autoSpaceDN w:val="0"/>
      <w:adjustRightInd w:val="0"/>
      <w:spacing w:before="60" w:after="60"/>
      <w:jc w:val="center"/>
      <w:textAlignment w:val="baseline"/>
    </w:pPr>
    <w:rPr>
      <w:rFonts w:ascii="宋体"/>
      <w:kern w:val="0"/>
      <w:sz w:val="24"/>
      <w:szCs w:val="20"/>
    </w:rPr>
  </w:style>
  <w:style w:type="paragraph" w:customStyle="1" w:styleId="898">
    <w:name w:val="xl29"/>
    <w:basedOn w:val="1"/>
    <w:autoRedefine/>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kern w:val="0"/>
      <w:sz w:val="22"/>
      <w:lang w:eastAsia="en-US" w:bidi="en-US"/>
    </w:rPr>
  </w:style>
  <w:style w:type="paragraph" w:customStyle="1" w:styleId="899">
    <w:name w:val="Char Char Char Char Char Char"/>
    <w:basedOn w:val="1"/>
    <w:autoRedefine/>
    <w:qFormat/>
    <w:uiPriority w:val="0"/>
    <w:rPr>
      <w:sz w:val="24"/>
      <w:szCs w:val="24"/>
    </w:rPr>
  </w:style>
  <w:style w:type="paragraph" w:customStyle="1" w:styleId="900">
    <w:name w:val="正文标准样式"/>
    <w:basedOn w:val="1"/>
    <w:autoRedefine/>
    <w:qFormat/>
    <w:uiPriority w:val="0"/>
    <w:pPr>
      <w:adjustRightInd w:val="0"/>
      <w:spacing w:line="300" w:lineRule="auto"/>
      <w:ind w:firstLine="482"/>
      <w:textAlignment w:val="baseline"/>
    </w:pPr>
    <w:rPr>
      <w:kern w:val="0"/>
      <w:sz w:val="24"/>
      <w:szCs w:val="20"/>
    </w:rPr>
  </w:style>
  <w:style w:type="paragraph" w:customStyle="1" w:styleId="901">
    <w:name w:val="样式 标题 + 两端对齐"/>
    <w:basedOn w:val="75"/>
    <w:autoRedefine/>
    <w:qFormat/>
    <w:uiPriority w:val="0"/>
    <w:pPr>
      <w:tabs>
        <w:tab w:val="left" w:pos="0"/>
      </w:tabs>
      <w:spacing w:before="0" w:after="100" w:afterAutospacing="1"/>
      <w:ind w:left="57" w:hanging="57" w:firstLineChars="0"/>
    </w:pPr>
    <w:rPr>
      <w:rFonts w:ascii="隶书" w:hAnsi="Arial" w:eastAsia="隶书" w:cs="宋体"/>
      <w:sz w:val="44"/>
      <w:szCs w:val="44"/>
    </w:rPr>
  </w:style>
  <w:style w:type="paragraph" w:customStyle="1" w:styleId="902">
    <w:name w:val="样式 标题 + 居中"/>
    <w:basedOn w:val="75"/>
    <w:autoRedefine/>
    <w:qFormat/>
    <w:uiPriority w:val="0"/>
    <w:pPr>
      <w:tabs>
        <w:tab w:val="left" w:pos="0"/>
      </w:tabs>
      <w:spacing w:before="0" w:after="100" w:afterAutospacing="1"/>
      <w:ind w:left="57" w:hanging="57" w:firstLineChars="0"/>
    </w:pPr>
    <w:rPr>
      <w:rFonts w:ascii="楷体_GB2312" w:hAnsi="Arial" w:eastAsia="隶书" w:cs="宋体"/>
      <w:sz w:val="36"/>
      <w:szCs w:val="20"/>
    </w:rPr>
  </w:style>
  <w:style w:type="paragraph" w:customStyle="1" w:styleId="903">
    <w:name w:val="D表内1磅"/>
    <w:basedOn w:val="1"/>
    <w:autoRedefine/>
    <w:qFormat/>
    <w:uiPriority w:val="0"/>
    <w:pPr>
      <w:spacing w:before="20" w:after="20"/>
      <w:jc w:val="center"/>
    </w:pPr>
    <w:rPr>
      <w:szCs w:val="21"/>
    </w:rPr>
  </w:style>
  <w:style w:type="paragraph" w:customStyle="1" w:styleId="904">
    <w:name w:val="正文仿宋"/>
    <w:basedOn w:val="1"/>
    <w:autoRedefine/>
    <w:semiHidden/>
    <w:qFormat/>
    <w:uiPriority w:val="0"/>
    <w:pPr>
      <w:adjustRightInd w:val="0"/>
      <w:snapToGrid w:val="0"/>
      <w:spacing w:line="360" w:lineRule="auto"/>
      <w:ind w:firstLine="567"/>
    </w:pPr>
    <w:rPr>
      <w:rFonts w:eastAsia="仿宋_GB2312"/>
      <w:snapToGrid w:val="0"/>
      <w:kern w:val="0"/>
      <w:sz w:val="24"/>
      <w:szCs w:val="20"/>
    </w:rPr>
  </w:style>
  <w:style w:type="paragraph" w:customStyle="1" w:styleId="905">
    <w:name w:val="左齐"/>
    <w:basedOn w:val="1"/>
    <w:autoRedefine/>
    <w:semiHidden/>
    <w:qFormat/>
    <w:uiPriority w:val="0"/>
    <w:pPr>
      <w:spacing w:line="280" w:lineRule="exact"/>
      <w:jc w:val="left"/>
    </w:pPr>
    <w:rPr>
      <w:rFonts w:ascii="宋体"/>
      <w:color w:val="000000"/>
      <w:sz w:val="18"/>
      <w:szCs w:val="30"/>
      <w:lang w:bidi="he-IL"/>
    </w:rPr>
  </w:style>
  <w:style w:type="paragraph" w:customStyle="1" w:styleId="906">
    <w:name w:val="Char Char Char3"/>
    <w:basedOn w:val="1"/>
    <w:autoRedefine/>
    <w:qFormat/>
    <w:uiPriority w:val="0"/>
    <w:rPr>
      <w:szCs w:val="24"/>
    </w:rPr>
  </w:style>
  <w:style w:type="paragraph" w:customStyle="1" w:styleId="907">
    <w:name w:val="列出段落2"/>
    <w:basedOn w:val="1"/>
    <w:autoRedefine/>
    <w:qFormat/>
    <w:uiPriority w:val="34"/>
    <w:pPr>
      <w:ind w:firstLine="420" w:firstLineChars="200"/>
    </w:pPr>
  </w:style>
  <w:style w:type="paragraph" w:customStyle="1" w:styleId="908">
    <w:name w:val="1表格"/>
    <w:basedOn w:val="1"/>
    <w:autoRedefine/>
    <w:qFormat/>
    <w:uiPriority w:val="0"/>
    <w:pPr>
      <w:snapToGrid w:val="0"/>
      <w:spacing w:line="160" w:lineRule="atLeast"/>
      <w:jc w:val="center"/>
    </w:pPr>
    <w:rPr>
      <w:rFonts w:eastAsia="仿宋_GB2312"/>
      <w:szCs w:val="20"/>
    </w:rPr>
  </w:style>
  <w:style w:type="paragraph" w:customStyle="1" w:styleId="909">
    <w:name w:val="前言、引言标题"/>
    <w:next w:val="1"/>
    <w:autoRedefine/>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910">
    <w:name w:val="Char Char1 Char"/>
    <w:basedOn w:val="1"/>
    <w:autoRedefine/>
    <w:qFormat/>
    <w:uiPriority w:val="0"/>
    <w:rPr>
      <w:rFonts w:ascii="宋体" w:hAnsi="宋体" w:cs="Courier New"/>
      <w:sz w:val="32"/>
      <w:szCs w:val="32"/>
    </w:rPr>
  </w:style>
  <w:style w:type="paragraph" w:customStyle="1" w:styleId="911">
    <w:name w:val="Char Char Char Char Char Char Char Char Char Char Char Char Char Char Char Char Char Char Char Char Char Char Char Char Char Char Char Char Char Char Char Char Char Char Char Char Char Char Char Char Char Char"/>
    <w:basedOn w:val="1"/>
    <w:autoRedefine/>
    <w:qFormat/>
    <w:uiPriority w:val="0"/>
    <w:rPr>
      <w:szCs w:val="24"/>
    </w:rPr>
  </w:style>
  <w:style w:type="paragraph" w:customStyle="1" w:styleId="912">
    <w:name w:val="Char3"/>
    <w:basedOn w:val="1"/>
    <w:autoRedefine/>
    <w:qFormat/>
    <w:uiPriority w:val="0"/>
    <w:rPr>
      <w:szCs w:val="24"/>
    </w:rPr>
  </w:style>
  <w:style w:type="paragraph" w:customStyle="1" w:styleId="913">
    <w:name w:val="Char4"/>
    <w:basedOn w:val="1"/>
    <w:autoRedefine/>
    <w:qFormat/>
    <w:uiPriority w:val="0"/>
    <w:rPr>
      <w:szCs w:val="24"/>
    </w:rPr>
  </w:style>
  <w:style w:type="paragraph" w:customStyle="1" w:styleId="914">
    <w:name w:val="样式 标题 3 + 黑体"/>
    <w:basedOn w:val="4"/>
    <w:autoRedefine/>
    <w:qFormat/>
    <w:uiPriority w:val="0"/>
    <w:pPr>
      <w:spacing w:before="120" w:after="120" w:line="240" w:lineRule="auto"/>
    </w:pPr>
    <w:rPr>
      <w:rFonts w:ascii="黑体" w:hAnsi="黑体"/>
      <w:sz w:val="30"/>
    </w:rPr>
  </w:style>
  <w:style w:type="paragraph" w:customStyle="1" w:styleId="915">
    <w:name w:val="样式 样式 正文首行缩进 + 首行缩进:  2 字符 + 首行缩进:  2 字符"/>
    <w:basedOn w:val="1"/>
    <w:autoRedefine/>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916">
    <w:name w:val="样式 样式 标题 2节H2节标题 1.1 + Times New Roman + 段前: 0.5 行"/>
    <w:basedOn w:val="1"/>
    <w:next w:val="29"/>
    <w:autoRedefine/>
    <w:qFormat/>
    <w:uiPriority w:val="0"/>
    <w:pPr>
      <w:keepNext/>
      <w:keepLines/>
      <w:spacing w:beforeLines="50" w:line="360" w:lineRule="auto"/>
      <w:outlineLvl w:val="1"/>
    </w:pPr>
    <w:rPr>
      <w:rFonts w:eastAsia="黑体" w:cs="宋体"/>
      <w:b/>
      <w:bCs/>
      <w:sz w:val="30"/>
      <w:szCs w:val="20"/>
    </w:rPr>
  </w:style>
  <w:style w:type="paragraph" w:customStyle="1" w:styleId="917">
    <w:name w:val="样式 标题 2 + 段前: 1 行 段后: 0.5 行"/>
    <w:basedOn w:val="3"/>
    <w:autoRedefine/>
    <w:qFormat/>
    <w:uiPriority w:val="0"/>
    <w:pPr>
      <w:spacing w:beforeLines="100" w:afterLines="50" w:line="500" w:lineRule="exact"/>
    </w:pPr>
    <w:rPr>
      <w:rFonts w:ascii="Arial" w:hAnsi="Arial" w:eastAsia="黑体" w:cs="宋体"/>
      <w:b w:val="0"/>
      <w:sz w:val="28"/>
    </w:rPr>
  </w:style>
  <w:style w:type="paragraph" w:customStyle="1" w:styleId="918">
    <w:name w:val="。。。。正文格式"/>
    <w:basedOn w:val="1"/>
    <w:autoRedefine/>
    <w:qFormat/>
    <w:uiPriority w:val="0"/>
    <w:pPr>
      <w:keepNext w:val="0"/>
      <w:keepLines w:val="0"/>
      <w:widowControl w:val="0"/>
      <w:suppressLineNumbers w:val="0"/>
      <w:spacing w:before="0" w:beforeAutospacing="0" w:after="0" w:afterAutospacing="0" w:line="360" w:lineRule="auto"/>
      <w:ind w:left="0" w:right="0" w:firstLine="420"/>
      <w:jc w:val="left"/>
    </w:pPr>
    <w:rPr>
      <w:rFonts w:hint="default" w:ascii="Times New Roman" w:hAnsi="Times New Roman" w:eastAsia="宋体" w:cs="Times New Roman"/>
      <w:kern w:val="0"/>
      <w:sz w:val="24"/>
      <w:szCs w:val="20"/>
      <w:lang w:val="en-US" w:eastAsia="zh-CN" w:bidi="ar"/>
    </w:rPr>
  </w:style>
  <w:style w:type="paragraph" w:customStyle="1" w:styleId="919">
    <w:name w:val="样式 标题 3 + 宋体"/>
    <w:basedOn w:val="4"/>
    <w:autoRedefine/>
    <w:qFormat/>
    <w:uiPriority w:val="0"/>
    <w:pPr>
      <w:spacing w:before="200" w:after="0" w:line="360" w:lineRule="auto"/>
    </w:pPr>
    <w:rPr>
      <w:rFonts w:eastAsia="黑体"/>
      <w:b w:val="0"/>
      <w:bCs w:val="0"/>
      <w:color w:val="000000"/>
      <w:sz w:val="28"/>
      <w:szCs w:val="28"/>
    </w:rPr>
  </w:style>
  <w:style w:type="paragraph" w:customStyle="1" w:styleId="920">
    <w:name w:val="样式 样式 标题 3H3B Head标题 3 Char条标题1.1.1三级标题标题3h33rd level第二层条... + 加粗"/>
    <w:basedOn w:val="893"/>
    <w:autoRedefine/>
    <w:qFormat/>
    <w:uiPriority w:val="0"/>
    <w:pPr>
      <w:snapToGrid/>
      <w:spacing w:before="0" w:after="0"/>
    </w:pPr>
    <w:rPr>
      <w:rFonts w:ascii="宋体" w:eastAsia="宋体"/>
      <w:b/>
      <w:bCs/>
      <w:snapToGrid/>
      <w:kern w:val="2"/>
      <w:sz w:val="28"/>
      <w:szCs w:val="28"/>
    </w:rPr>
  </w:style>
  <w:style w:type="paragraph" w:customStyle="1" w:styleId="921">
    <w:name w:val="样式 样式 标题 2标题节标题 2 Char Char + 段前: 2 行 + 左侧:  1 字符 右侧:  1 字符"/>
    <w:basedOn w:val="1"/>
    <w:autoRedefine/>
    <w:qFormat/>
    <w:uiPriority w:val="0"/>
    <w:pPr>
      <w:keepNext/>
      <w:keepLines/>
      <w:adjustRightInd w:val="0"/>
      <w:snapToGrid w:val="0"/>
      <w:spacing w:line="460" w:lineRule="exact"/>
      <w:ind w:firstLine="200" w:firstLineChars="200"/>
      <w:outlineLvl w:val="1"/>
    </w:pPr>
    <w:rPr>
      <w:rFonts w:eastAsia="仿宋_GB2312"/>
      <w:b/>
      <w:bCs/>
      <w:sz w:val="24"/>
      <w:szCs w:val="26"/>
    </w:rPr>
  </w:style>
  <w:style w:type="paragraph" w:customStyle="1" w:styleId="922">
    <w:name w:val="自制表格"/>
    <w:basedOn w:val="1"/>
    <w:next w:val="1"/>
    <w:autoRedefine/>
    <w:qFormat/>
    <w:uiPriority w:val="0"/>
    <w:pPr>
      <w:spacing w:after="120"/>
    </w:pPr>
    <w:rPr>
      <w:rFonts w:ascii="宋体"/>
      <w:kern w:val="10"/>
      <w:sz w:val="28"/>
      <w:szCs w:val="20"/>
    </w:rPr>
  </w:style>
  <w:style w:type="paragraph" w:customStyle="1" w:styleId="923">
    <w:name w:val="图例"/>
    <w:basedOn w:val="1"/>
    <w:autoRedefine/>
    <w:qFormat/>
    <w:uiPriority w:val="0"/>
    <w:pPr>
      <w:spacing w:before="240" w:after="120"/>
      <w:jc w:val="center"/>
    </w:pPr>
    <w:rPr>
      <w:rFonts w:eastAsia="楷体_GB2312"/>
      <w:sz w:val="28"/>
      <w:szCs w:val="24"/>
    </w:rPr>
  </w:style>
  <w:style w:type="paragraph" w:customStyle="1" w:styleId="924">
    <w:name w:val="List Paragraph"/>
    <w:basedOn w:val="1"/>
    <w:autoRedefine/>
    <w:unhideWhenUsed/>
    <w:qFormat/>
    <w:uiPriority w:val="99"/>
    <w:pPr>
      <w:ind w:firstLine="420" w:firstLineChars="200"/>
    </w:pPr>
  </w:style>
  <w:style w:type="paragraph" w:customStyle="1" w:styleId="925">
    <w:name w:val="正文文本 311"/>
    <w:basedOn w:val="1"/>
    <w:autoRedefine/>
    <w:qFormat/>
    <w:uiPriority w:val="0"/>
    <w:pPr>
      <w:adjustRightInd w:val="0"/>
      <w:jc w:val="center"/>
      <w:textAlignment w:val="baseline"/>
    </w:pPr>
    <w:rPr>
      <w:szCs w:val="20"/>
    </w:rPr>
  </w:style>
  <w:style w:type="paragraph" w:customStyle="1" w:styleId="926">
    <w:name w:val="三级标题！！！"/>
    <w:basedOn w:val="1"/>
    <w:autoRedefine/>
    <w:qFormat/>
    <w:uiPriority w:val="0"/>
    <w:pPr>
      <w:spacing w:line="500" w:lineRule="exact"/>
      <w:outlineLvl w:val="2"/>
    </w:pPr>
    <w:rPr>
      <w:rFonts w:ascii="楷体_GB2312" w:hAnsi="宋体" w:eastAsia="楷体_GB2312"/>
      <w:b/>
      <w:sz w:val="24"/>
      <w:szCs w:val="28"/>
    </w:rPr>
  </w:style>
  <w:style w:type="paragraph" w:customStyle="1" w:styleId="927">
    <w:name w:val="标题样式2"/>
    <w:basedOn w:val="3"/>
    <w:autoRedefine/>
    <w:qFormat/>
    <w:uiPriority w:val="0"/>
    <w:pPr>
      <w:keepNext w:val="0"/>
      <w:keepLines w:val="0"/>
      <w:tabs>
        <w:tab w:val="left" w:pos="4142"/>
        <w:tab w:val="left" w:pos="6833"/>
        <w:tab w:val="left" w:pos="9030"/>
        <w:tab w:val="left" w:pos="9287"/>
      </w:tabs>
      <w:overflowPunct w:val="0"/>
      <w:topLinePunct/>
      <w:autoSpaceDE w:val="0"/>
      <w:autoSpaceDN w:val="0"/>
      <w:adjustRightInd w:val="0"/>
      <w:snapToGrid w:val="0"/>
      <w:spacing w:beforeLines="5" w:afterLines="5" w:line="360" w:lineRule="atLeast"/>
      <w:jc w:val="center"/>
      <w:textAlignment w:val="baseline"/>
      <w:outlineLvl w:val="9"/>
    </w:pPr>
    <w:rPr>
      <w:b w:val="0"/>
      <w:bCs/>
      <w:snapToGrid w:val="0"/>
      <w:kern w:val="0"/>
      <w:sz w:val="21"/>
    </w:rPr>
  </w:style>
  <w:style w:type="paragraph" w:customStyle="1" w:styleId="928">
    <w:name w:val="环表头"/>
    <w:basedOn w:val="687"/>
    <w:next w:val="1"/>
    <w:autoRedefine/>
    <w:qFormat/>
    <w:uiPriority w:val="0"/>
    <w:pPr>
      <w:spacing w:before="60" w:after="60"/>
      <w:ind w:right="28" w:firstLine="0" w:firstLineChars="0"/>
      <w:jc w:val="center"/>
    </w:pPr>
    <w:rPr>
      <w:rFonts w:ascii="黑体" w:eastAsia="黑体"/>
      <w:color w:val="auto"/>
    </w:rPr>
  </w:style>
  <w:style w:type="paragraph" w:customStyle="1" w:styleId="929">
    <w:name w:val="表－居中列"/>
    <w:basedOn w:val="1"/>
    <w:autoRedefine/>
    <w:qFormat/>
    <w:uiPriority w:val="0"/>
    <w:pPr>
      <w:suppressLineNumbers/>
      <w:suppressAutoHyphens/>
      <w:spacing w:line="320" w:lineRule="exact"/>
      <w:jc w:val="center"/>
    </w:pPr>
    <w:rPr>
      <w:rFonts w:ascii="楷体_GB2312" w:eastAsia="楷体_GB2312" w:cs="Arial"/>
      <w:spacing w:val="-12"/>
      <w:kern w:val="0"/>
      <w:szCs w:val="21"/>
      <w:lang w:eastAsia="ja-JP"/>
    </w:rPr>
  </w:style>
  <w:style w:type="paragraph" w:customStyle="1" w:styleId="930">
    <w:name w:val="正文单倍行距"/>
    <w:basedOn w:val="1"/>
    <w:autoRedefine/>
    <w:semiHidden/>
    <w:qFormat/>
    <w:uiPriority w:val="0"/>
    <w:pPr>
      <w:tabs>
        <w:tab w:val="left" w:pos="8640"/>
      </w:tabs>
      <w:snapToGrid w:val="0"/>
      <w:ind w:firstLine="200" w:firstLineChars="200"/>
    </w:pPr>
    <w:rPr>
      <w:rFonts w:eastAsia="仿宋_GB2312"/>
      <w:sz w:val="24"/>
      <w:szCs w:val="24"/>
    </w:rPr>
  </w:style>
  <w:style w:type="paragraph" w:customStyle="1" w:styleId="931">
    <w:name w:val="Char Char Char Char Char Char Char Char Char Char Char Char Char Char Char Char"/>
    <w:basedOn w:val="1"/>
    <w:autoRedefine/>
    <w:qFormat/>
    <w:uiPriority w:val="0"/>
    <w:rPr>
      <w:szCs w:val="24"/>
    </w:rPr>
  </w:style>
  <w:style w:type="paragraph" w:customStyle="1" w:styleId="932">
    <w:name w:val="xl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18"/>
      <w:szCs w:val="18"/>
    </w:rPr>
  </w:style>
  <w:style w:type="paragraph" w:customStyle="1" w:styleId="933">
    <w:name w:val="日期2"/>
    <w:basedOn w:val="1"/>
    <w:next w:val="1"/>
    <w:autoRedefine/>
    <w:qFormat/>
    <w:uiPriority w:val="0"/>
    <w:pPr>
      <w:adjustRightInd w:val="0"/>
      <w:textAlignment w:val="baseline"/>
    </w:pPr>
    <w:rPr>
      <w:szCs w:val="20"/>
    </w:rPr>
  </w:style>
  <w:style w:type="paragraph" w:customStyle="1" w:styleId="934">
    <w:name w:val="TAB"/>
    <w:basedOn w:val="29"/>
    <w:autoRedefine/>
    <w:qFormat/>
    <w:uiPriority w:val="0"/>
    <w:pPr>
      <w:spacing w:before="60" w:after="60"/>
      <w:jc w:val="left"/>
    </w:pPr>
    <w:rPr>
      <w:rFonts w:ascii="Arial" w:hAnsi="Arial"/>
      <w:sz w:val="18"/>
      <w:szCs w:val="20"/>
      <w:lang w:eastAsia="fr-FR" w:bidi="ar-SA"/>
    </w:rPr>
  </w:style>
  <w:style w:type="paragraph" w:customStyle="1" w:styleId="935">
    <w:name w:val="正文文字1"/>
    <w:basedOn w:val="1"/>
    <w:autoRedefine/>
    <w:semiHidden/>
    <w:qFormat/>
    <w:uiPriority w:val="0"/>
    <w:pPr>
      <w:spacing w:line="360" w:lineRule="auto"/>
      <w:ind w:firstLine="480" w:firstLineChars="200"/>
    </w:pPr>
    <w:rPr>
      <w:rFonts w:ascii="宋体"/>
      <w:sz w:val="24"/>
      <w:szCs w:val="24"/>
    </w:rPr>
  </w:style>
  <w:style w:type="paragraph" w:customStyle="1" w:styleId="936">
    <w:name w:val="14"/>
    <w:basedOn w:val="1"/>
    <w:next w:val="40"/>
    <w:autoRedefine/>
    <w:qFormat/>
    <w:uiPriority w:val="0"/>
    <w:rPr>
      <w:rFonts w:ascii="宋体" w:hAnsi="Courier New"/>
      <w:szCs w:val="20"/>
    </w:rPr>
  </w:style>
  <w:style w:type="paragraph" w:customStyle="1" w:styleId="937">
    <w:name w:val="表头1111111111111"/>
    <w:basedOn w:val="475"/>
    <w:autoRedefine/>
    <w:qFormat/>
    <w:uiPriority w:val="0"/>
  </w:style>
  <w:style w:type="paragraph" w:customStyle="1" w:styleId="93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lang w:eastAsia="en-US" w:bidi="en-US"/>
    </w:rPr>
  </w:style>
  <w:style w:type="paragraph" w:customStyle="1" w:styleId="939">
    <w:name w:val="正文（表格）"/>
    <w:basedOn w:val="1"/>
    <w:autoRedefine/>
    <w:qFormat/>
    <w:uiPriority w:val="0"/>
    <w:pPr>
      <w:jc w:val="center"/>
    </w:pPr>
    <w:rPr>
      <w:szCs w:val="24"/>
    </w:rPr>
  </w:style>
  <w:style w:type="paragraph" w:customStyle="1" w:styleId="940">
    <w:name w:val="封面5"/>
    <w:basedOn w:val="1"/>
    <w:autoRedefine/>
    <w:qFormat/>
    <w:uiPriority w:val="0"/>
    <w:pPr>
      <w:snapToGrid w:val="0"/>
    </w:pPr>
    <w:rPr>
      <w:szCs w:val="24"/>
    </w:rPr>
  </w:style>
  <w:style w:type="paragraph" w:customStyle="1" w:styleId="941">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942">
    <w:name w:val="样式12"/>
    <w:basedOn w:val="6"/>
    <w:autoRedefine/>
    <w:qFormat/>
    <w:uiPriority w:val="0"/>
    <w:pPr>
      <w:widowControl w:val="0"/>
      <w:adjustRightInd w:val="0"/>
      <w:spacing w:before="0" w:line="500" w:lineRule="exact"/>
      <w:jc w:val="both"/>
    </w:pPr>
    <w:rPr>
      <w:rFonts w:ascii="Times New Roman" w:hAnsi="Times New Roman" w:eastAsia="华文中宋" w:cs="Times New Roman"/>
      <w:b/>
      <w:color w:val="000000"/>
      <w:kern w:val="44"/>
      <w:sz w:val="24"/>
      <w:szCs w:val="30"/>
      <w:lang w:val="en-US" w:eastAsia="zh-CN" w:bidi="ar-SA"/>
    </w:rPr>
  </w:style>
  <w:style w:type="paragraph" w:customStyle="1" w:styleId="943">
    <w:name w:val="默认段落字体 Para"/>
    <w:basedOn w:val="1"/>
    <w:autoRedefine/>
    <w:qFormat/>
    <w:uiPriority w:val="0"/>
    <w:rPr>
      <w:szCs w:val="24"/>
    </w:rPr>
  </w:style>
  <w:style w:type="paragraph" w:customStyle="1" w:styleId="944">
    <w:name w:val="Char Char Char Char Char Char Char Char Char Char Char Char Char Char Char Char Char Char Char"/>
    <w:basedOn w:val="1"/>
    <w:autoRedefine/>
    <w:semiHidden/>
    <w:qFormat/>
    <w:uiPriority w:val="0"/>
    <w:pPr>
      <w:spacing w:line="360" w:lineRule="auto"/>
      <w:ind w:firstLine="200" w:firstLineChars="200"/>
    </w:pPr>
    <w:rPr>
      <w:rFonts w:ascii="宋体" w:hAnsi="宋体" w:cs="宋体"/>
      <w:sz w:val="24"/>
      <w:szCs w:val="26"/>
    </w:rPr>
  </w:style>
  <w:style w:type="paragraph" w:customStyle="1" w:styleId="945">
    <w:name w:val="xl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eastAsia="Arial Unicode MS"/>
      <w:kern w:val="0"/>
      <w:sz w:val="20"/>
      <w:szCs w:val="20"/>
    </w:rPr>
  </w:style>
  <w:style w:type="paragraph" w:customStyle="1" w:styleId="946">
    <w:name w:val="Document Map1"/>
    <w:basedOn w:val="1"/>
    <w:autoRedefine/>
    <w:semiHidden/>
    <w:qFormat/>
    <w:uiPriority w:val="0"/>
    <w:pPr>
      <w:shd w:val="clear" w:color="auto" w:fill="000080"/>
      <w:adjustRightInd w:val="0"/>
      <w:textAlignment w:val="baseline"/>
    </w:pPr>
    <w:rPr>
      <w:rFonts w:ascii="宋体"/>
      <w:kern w:val="0"/>
      <w:szCs w:val="20"/>
    </w:rPr>
  </w:style>
  <w:style w:type="paragraph" w:customStyle="1" w:styleId="947">
    <w:name w:val="HTML 预设格式1"/>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sz w:val="20"/>
      <w:szCs w:val="20"/>
    </w:rPr>
  </w:style>
  <w:style w:type="paragraph" w:customStyle="1" w:styleId="948">
    <w:name w:val="Char Char Char Char Char Char Char Char Char1"/>
    <w:basedOn w:val="1"/>
    <w:autoRedefine/>
    <w:qFormat/>
    <w:uiPriority w:val="0"/>
    <w:rPr>
      <w:szCs w:val="24"/>
    </w:rPr>
  </w:style>
  <w:style w:type="paragraph" w:customStyle="1" w:styleId="949">
    <w:name w:val="Char Char Char Char Char Char Char Char Char Char Char Char Char Char Char Char Char Char Char Char Char Char Char Char Char Char"/>
    <w:basedOn w:val="1"/>
    <w:autoRedefine/>
    <w:qFormat/>
    <w:uiPriority w:val="0"/>
    <w:rPr>
      <w:szCs w:val="24"/>
    </w:rPr>
  </w:style>
  <w:style w:type="paragraph" w:customStyle="1" w:styleId="950">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b/>
      <w:bCs/>
      <w:kern w:val="0"/>
      <w:sz w:val="20"/>
      <w:szCs w:val="20"/>
    </w:rPr>
  </w:style>
  <w:style w:type="paragraph" w:customStyle="1" w:styleId="951">
    <w:name w:val="Char Char Char1 Char Char Char1"/>
    <w:basedOn w:val="1"/>
    <w:autoRedefine/>
    <w:qFormat/>
    <w:uiPriority w:val="0"/>
    <w:rPr>
      <w:szCs w:val="21"/>
    </w:rPr>
  </w:style>
  <w:style w:type="paragraph" w:customStyle="1" w:styleId="952">
    <w:name w:val="标题三！！！"/>
    <w:basedOn w:val="1"/>
    <w:autoRedefine/>
    <w:qFormat/>
    <w:uiPriority w:val="0"/>
    <w:pPr>
      <w:adjustRightInd w:val="0"/>
      <w:snapToGrid w:val="0"/>
      <w:spacing w:line="500" w:lineRule="exact"/>
      <w:outlineLvl w:val="2"/>
    </w:pPr>
    <w:rPr>
      <w:rFonts w:ascii="楷体_GB2312" w:eastAsia="楷体_GB2312" w:cs="宋体"/>
      <w:b/>
      <w:bCs/>
      <w:sz w:val="24"/>
      <w:szCs w:val="20"/>
    </w:rPr>
  </w:style>
  <w:style w:type="paragraph" w:customStyle="1" w:styleId="953">
    <w:name w:val="注×："/>
    <w:autoRedefine/>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954">
    <w:name w:val="样式 纯文本表格内容纯文本 Char普通文字加粗正文普通文字 Char Char普通文字 Char Char Cha...4"/>
    <w:basedOn w:val="40"/>
    <w:autoRedefine/>
    <w:qFormat/>
    <w:uiPriority w:val="0"/>
    <w:pPr>
      <w:widowControl w:val="0"/>
      <w:spacing w:after="0" w:line="500" w:lineRule="exact"/>
      <w:ind w:firstLine="200" w:firstLineChars="200"/>
      <w:jc w:val="both"/>
    </w:pPr>
    <w:rPr>
      <w:rFonts w:hAnsi="宋体" w:eastAsia="楷体_GB2312" w:cs="宋体"/>
      <w:kern w:val="2"/>
      <w:sz w:val="24"/>
      <w:lang w:eastAsia="zh-CN" w:bidi="ar-SA"/>
    </w:rPr>
  </w:style>
  <w:style w:type="paragraph" w:customStyle="1" w:styleId="955">
    <w:name w:val="自定义标题2"/>
    <w:basedOn w:val="1"/>
    <w:next w:val="296"/>
    <w:autoRedefine/>
    <w:qFormat/>
    <w:uiPriority w:val="0"/>
    <w:pPr>
      <w:widowControl/>
      <w:tabs>
        <w:tab w:val="left" w:pos="1009"/>
      </w:tabs>
      <w:adjustRightInd w:val="0"/>
      <w:spacing w:before="200" w:line="480" w:lineRule="atLeast"/>
      <w:ind w:left="1009" w:hanging="1009"/>
      <w:textAlignment w:val="bottom"/>
    </w:pPr>
    <w:rPr>
      <w:b/>
      <w:color w:val="0000FF"/>
      <w:kern w:val="0"/>
      <w:sz w:val="28"/>
    </w:rPr>
  </w:style>
  <w:style w:type="paragraph" w:customStyle="1" w:styleId="956">
    <w:name w:val="表体"/>
    <w:basedOn w:val="475"/>
    <w:autoRedefine/>
    <w:qFormat/>
    <w:uiPriority w:val="0"/>
    <w:pPr>
      <w:spacing w:line="360" w:lineRule="auto"/>
    </w:pPr>
    <w:rPr>
      <w:rFonts w:ascii="黑体" w:hAnsi="Times New Roman" w:eastAsia="黑体" w:cs="Times New Roman"/>
      <w:b w:val="0"/>
      <w:sz w:val="21"/>
    </w:rPr>
  </w:style>
  <w:style w:type="paragraph" w:customStyle="1" w:styleId="957">
    <w:name w:val="表体宋旭峰"/>
    <w:basedOn w:val="1"/>
    <w:autoRedefine/>
    <w:qFormat/>
    <w:uiPriority w:val="0"/>
    <w:pPr>
      <w:overflowPunct w:val="0"/>
      <w:jc w:val="center"/>
      <w:textAlignment w:val="baseline"/>
    </w:pPr>
    <w:rPr>
      <w:rFonts w:ascii="宋体" w:hAnsi="Courier New" w:cs="Courier New"/>
      <w:snapToGrid w:val="0"/>
      <w:kern w:val="24"/>
      <w:szCs w:val="21"/>
    </w:rPr>
  </w:style>
  <w:style w:type="paragraph" w:customStyle="1" w:styleId="958">
    <w:name w:val="表标题"/>
    <w:basedOn w:val="1"/>
    <w:next w:val="1"/>
    <w:autoRedefine/>
    <w:qFormat/>
    <w:uiPriority w:val="0"/>
    <w:pPr>
      <w:keepNext/>
      <w:widowControl/>
      <w:autoSpaceDE w:val="0"/>
      <w:autoSpaceDN w:val="0"/>
      <w:adjustRightInd w:val="0"/>
      <w:spacing w:before="180" w:after="120" w:line="408" w:lineRule="atLeast"/>
      <w:jc w:val="center"/>
      <w:textAlignment w:val="baseline"/>
    </w:pPr>
    <w:rPr>
      <w:b/>
      <w:spacing w:val="2"/>
      <w:kern w:val="0"/>
      <w:sz w:val="28"/>
      <w:szCs w:val="20"/>
    </w:rPr>
  </w:style>
  <w:style w:type="paragraph" w:customStyle="1" w:styleId="959">
    <w:name w:val="默认段落字体 Para Char Char Char Char"/>
    <w:basedOn w:val="1"/>
    <w:autoRedefine/>
    <w:qFormat/>
    <w:uiPriority w:val="0"/>
    <w:pPr>
      <w:widowControl/>
      <w:spacing w:after="200"/>
      <w:jc w:val="left"/>
    </w:pPr>
    <w:rPr>
      <w:kern w:val="0"/>
      <w:lang w:eastAsia="en-US" w:bidi="en-US"/>
    </w:rPr>
  </w:style>
  <w:style w:type="paragraph" w:customStyle="1" w:styleId="960">
    <w:name w:val=" Char Char Char Char Char Char Char Char Char Char Char Char Char Char Char Char Char Char Char Char Char Char Char Char"/>
    <w:basedOn w:val="1"/>
    <w:autoRedefine/>
    <w:qFormat/>
    <w:uiPriority w:val="0"/>
    <w:pPr>
      <w:widowControl/>
      <w:spacing w:line="360" w:lineRule="auto"/>
      <w:jc w:val="left"/>
    </w:pPr>
    <w:rPr>
      <w:szCs w:val="21"/>
    </w:rPr>
  </w:style>
  <w:style w:type="paragraph" w:customStyle="1" w:styleId="961">
    <w:name w:val="表"/>
    <w:basedOn w:val="1"/>
    <w:autoRedefine/>
    <w:qFormat/>
    <w:uiPriority w:val="0"/>
    <w:pPr>
      <w:autoSpaceDE w:val="0"/>
      <w:autoSpaceDN w:val="0"/>
      <w:adjustRightInd w:val="0"/>
      <w:spacing w:line="240" w:lineRule="exact"/>
      <w:jc w:val="center"/>
    </w:pPr>
    <w:rPr>
      <w:rFonts w:ascii="宋体" w:hAnsi="宋体"/>
      <w:sz w:val="24"/>
      <w:szCs w:val="24"/>
    </w:rPr>
  </w:style>
  <w:style w:type="paragraph" w:customStyle="1" w:styleId="962">
    <w:name w:val="！正文"/>
    <w:basedOn w:val="1"/>
    <w:autoRedefine/>
    <w:qFormat/>
    <w:uiPriority w:val="0"/>
    <w:pPr>
      <w:spacing w:line="500" w:lineRule="exact"/>
      <w:ind w:firstLine="200" w:firstLineChars="200"/>
    </w:pPr>
    <w:rPr>
      <w:rFonts w:eastAsia="华文中宋" w:cs="Times New Roman"/>
      <w:sz w:val="24"/>
      <w:szCs w:val="24"/>
    </w:rPr>
  </w:style>
  <w:style w:type="paragraph" w:customStyle="1" w:styleId="963">
    <w:name w:val="_Style 958"/>
    <w:basedOn w:val="1"/>
    <w:next w:val="1"/>
    <w:autoRedefine/>
    <w:qFormat/>
    <w:uiPriority w:val="0"/>
    <w:pPr>
      <w:pBdr>
        <w:bottom w:val="single" w:color="auto" w:sz="6" w:space="1"/>
      </w:pBdr>
      <w:jc w:val="center"/>
    </w:pPr>
    <w:rPr>
      <w:rFonts w:ascii="Arial" w:eastAsia="宋体"/>
      <w:vanish/>
      <w:sz w:val="16"/>
    </w:rPr>
  </w:style>
  <w:style w:type="paragraph" w:customStyle="1" w:styleId="964">
    <w:name w:val="表格2"/>
    <w:autoRedefine/>
    <w:qFormat/>
    <w:uiPriority w:val="0"/>
    <w:pPr>
      <w:spacing w:line="400" w:lineRule="exact"/>
      <w:jc w:val="center"/>
    </w:pPr>
    <w:rPr>
      <w:rFonts w:ascii="Times New Roman" w:hAnsi="Times New Roman" w:eastAsia="宋体" w:cs="Times New Roman"/>
      <w:sz w:val="21"/>
      <w:lang w:val="en-US" w:eastAsia="zh-CN" w:bidi="ar-SA"/>
    </w:rPr>
  </w:style>
  <w:style w:type="paragraph" w:customStyle="1" w:styleId="965">
    <w:name w:val="责任页"/>
    <w:basedOn w:val="1"/>
    <w:autoRedefine/>
    <w:qFormat/>
    <w:uiPriority w:val="0"/>
    <w:pPr>
      <w:spacing w:line="300" w:lineRule="auto"/>
    </w:pPr>
    <w:rPr>
      <w:sz w:val="28"/>
      <w:szCs w:val="24"/>
    </w:rPr>
  </w:style>
  <w:style w:type="paragraph" w:customStyle="1" w:styleId="966">
    <w:name w:val="样式 正文文本缩进 3 + 小四"/>
    <w:basedOn w:val="63"/>
    <w:autoRedefine/>
    <w:qFormat/>
    <w:uiPriority w:val="0"/>
    <w:pPr>
      <w:widowControl w:val="0"/>
      <w:spacing w:after="0"/>
      <w:ind w:left="0" w:leftChars="0"/>
      <w:jc w:val="both"/>
    </w:pPr>
    <w:rPr>
      <w:w w:val="90"/>
      <w:kern w:val="2"/>
      <w:sz w:val="24"/>
      <w:lang w:eastAsia="zh-CN" w:bidi="ar-SA"/>
    </w:rPr>
  </w:style>
  <w:style w:type="paragraph" w:customStyle="1" w:styleId="967">
    <w:name w:val="列出段落11"/>
    <w:basedOn w:val="1"/>
    <w:autoRedefine/>
    <w:qFormat/>
    <w:uiPriority w:val="0"/>
    <w:pPr>
      <w:ind w:firstLine="420" w:firstLineChars="200"/>
    </w:pPr>
    <w:rPr>
      <w:rFonts w:ascii="Calibri" w:hAnsi="Calibri"/>
    </w:rPr>
  </w:style>
  <w:style w:type="paragraph" w:customStyle="1" w:styleId="968">
    <w:name w:val="Char Char Char Char Char Char Char Char Char1 Char Char Char Char"/>
    <w:basedOn w:val="1"/>
    <w:autoRedefine/>
    <w:semiHidden/>
    <w:qFormat/>
    <w:uiPriority w:val="0"/>
    <w:pPr>
      <w:spacing w:line="360" w:lineRule="auto"/>
      <w:ind w:firstLine="200" w:firstLineChars="200"/>
    </w:pPr>
    <w:rPr>
      <w:rFonts w:ascii="宋体" w:hAnsi="宋体" w:cs="宋体"/>
      <w:sz w:val="24"/>
      <w:szCs w:val="26"/>
    </w:rPr>
  </w:style>
  <w:style w:type="paragraph" w:customStyle="1" w:styleId="969">
    <w:name w:val="a01"/>
    <w:basedOn w:val="1"/>
    <w:autoRedefine/>
    <w:qFormat/>
    <w:uiPriority w:val="0"/>
    <w:pPr>
      <w:widowControl/>
      <w:spacing w:before="100" w:beforeAutospacing="1" w:after="100" w:afterAutospacing="1" w:line="345" w:lineRule="atLeast"/>
      <w:jc w:val="left"/>
    </w:pPr>
    <w:rPr>
      <w:rFonts w:ascii="宋体" w:hAnsi="宋体" w:cs="宋体"/>
      <w:color w:val="000000"/>
      <w:kern w:val="0"/>
      <w:sz w:val="23"/>
      <w:szCs w:val="23"/>
    </w:rPr>
  </w:style>
  <w:style w:type="paragraph" w:customStyle="1" w:styleId="970">
    <w:name w:val="报告节"/>
    <w:next w:val="1"/>
    <w:autoRedefine/>
    <w:qFormat/>
    <w:uiPriority w:val="0"/>
    <w:pPr>
      <w:keepNext/>
      <w:tabs>
        <w:tab w:val="left" w:pos="3319"/>
        <w:tab w:val="left" w:pos="3600"/>
      </w:tabs>
      <w:spacing w:line="720" w:lineRule="auto"/>
      <w:jc w:val="center"/>
      <w:outlineLvl w:val="1"/>
    </w:pPr>
    <w:rPr>
      <w:rFonts w:ascii="仿宋_GB2312" w:hAnsi="Times New Roman" w:eastAsia="仿宋_GB2312" w:cs="Times New Roman"/>
      <w:b/>
      <w:snapToGrid w:val="0"/>
      <w:kern w:val="2"/>
      <w:sz w:val="32"/>
      <w:szCs w:val="32"/>
      <w:lang w:val="en-US" w:eastAsia="zh-CN" w:bidi="ar-SA"/>
    </w:rPr>
  </w:style>
  <w:style w:type="paragraph" w:customStyle="1" w:styleId="971">
    <w:name w:val="样式 首行缩进:  0.85 厘米8"/>
    <w:basedOn w:val="1"/>
    <w:autoRedefine/>
    <w:qFormat/>
    <w:uiPriority w:val="0"/>
    <w:pPr>
      <w:adjustRightInd w:val="0"/>
      <w:snapToGrid w:val="0"/>
      <w:spacing w:line="288" w:lineRule="auto"/>
      <w:ind w:firstLine="482" w:firstLineChars="200"/>
    </w:pPr>
    <w:rPr>
      <w:rFonts w:eastAsia="仿宋_GB2312" w:cs="宋体"/>
      <w:sz w:val="24"/>
      <w:szCs w:val="26"/>
    </w:rPr>
  </w:style>
  <w:style w:type="paragraph" w:customStyle="1" w:styleId="972">
    <w:name w:val="无间隔11"/>
    <w:autoRedefine/>
    <w:qFormat/>
    <w:uiPriority w:val="0"/>
    <w:pPr>
      <w:jc w:val="center"/>
    </w:pPr>
    <w:rPr>
      <w:rFonts w:ascii="宋体" w:hAnsi="宋体" w:eastAsia="宋体" w:cs="宋体"/>
      <w:sz w:val="21"/>
      <w:szCs w:val="24"/>
      <w:lang w:val="en-US" w:eastAsia="zh-CN" w:bidi="ar-SA"/>
    </w:rPr>
  </w:style>
  <w:style w:type="paragraph" w:customStyle="1" w:styleId="973">
    <w:name w:val="标题一"/>
    <w:basedOn w:val="1"/>
    <w:autoRedefine/>
    <w:qFormat/>
    <w:uiPriority w:val="0"/>
    <w:pPr>
      <w:spacing w:line="360" w:lineRule="auto"/>
    </w:pPr>
    <w:rPr>
      <w:rFonts w:eastAsia="仿宋_GB2312"/>
      <w:sz w:val="24"/>
      <w:szCs w:val="24"/>
    </w:rPr>
  </w:style>
  <w:style w:type="paragraph" w:customStyle="1" w:styleId="974">
    <w:name w:val="xl70"/>
    <w:basedOn w:val="1"/>
    <w:autoRedefine/>
    <w:qFormat/>
    <w:uiPriority w:val="0"/>
    <w:pPr>
      <w:widowControl/>
      <w:spacing w:before="100" w:beforeAutospacing="1" w:after="100" w:afterAutospacing="1"/>
      <w:jc w:val="center"/>
    </w:pPr>
    <w:rPr>
      <w:kern w:val="0"/>
      <w:sz w:val="24"/>
      <w:szCs w:val="24"/>
    </w:rPr>
  </w:style>
  <w:style w:type="paragraph" w:customStyle="1" w:styleId="975">
    <w:name w:val="xl52"/>
    <w:basedOn w:val="1"/>
    <w:autoRedefine/>
    <w:qFormat/>
    <w:uiPriority w:val="0"/>
    <w:pPr>
      <w:widowControl/>
      <w:pBdr>
        <w:top w:val="single" w:color="auto" w:sz="8" w:space="0"/>
      </w:pBdr>
      <w:spacing w:before="100" w:beforeAutospacing="1" w:after="100" w:afterAutospacing="1" w:line="360" w:lineRule="auto"/>
      <w:ind w:firstLine="200" w:firstLineChars="200"/>
      <w:jc w:val="left"/>
      <w:textAlignment w:val="center"/>
    </w:pPr>
    <w:rPr>
      <w:rFonts w:ascii="Arial Unicode MS" w:hAnsi="Arial Unicode MS" w:eastAsia="Arial Unicode MS" w:cs="Arial Unicode MS"/>
      <w:kern w:val="0"/>
      <w:sz w:val="24"/>
      <w:szCs w:val="24"/>
    </w:rPr>
  </w:style>
  <w:style w:type="paragraph" w:customStyle="1" w:styleId="976">
    <w:name w:val="xl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kern w:val="0"/>
      <w:sz w:val="18"/>
      <w:szCs w:val="18"/>
    </w:rPr>
  </w:style>
  <w:style w:type="paragraph" w:customStyle="1" w:styleId="977">
    <w:name w:val="样式 图表标题 + 两端对齐"/>
    <w:basedOn w:val="18"/>
    <w:autoRedefine/>
    <w:qFormat/>
    <w:uiPriority w:val="0"/>
    <w:pPr>
      <w:widowControl/>
      <w:spacing w:line="260" w:lineRule="exact"/>
      <w:ind w:firstLine="0" w:firstLineChars="0"/>
    </w:pPr>
    <w:rPr>
      <w:rFonts w:eastAsia="黑体"/>
      <w:spacing w:val="-10"/>
      <w:kern w:val="0"/>
      <w:sz w:val="24"/>
    </w:rPr>
  </w:style>
  <w:style w:type="paragraph" w:customStyle="1" w:styleId="978">
    <w:name w:val="默认段落字体 Para Char Char Char Char Char"/>
    <w:basedOn w:val="1"/>
    <w:autoRedefine/>
    <w:qFormat/>
    <w:uiPriority w:val="0"/>
    <w:rPr>
      <w:szCs w:val="24"/>
    </w:rPr>
  </w:style>
  <w:style w:type="table" w:customStyle="1" w:styleId="979">
    <w:name w:val="Table Normal"/>
    <w:basedOn w:val="79"/>
    <w:autoRedefine/>
    <w:semiHidden/>
    <w:qFormat/>
    <w:uiPriority w:val="0"/>
    <w:pPr>
      <w:keepNext w:val="0"/>
      <w:keepLines w:val="0"/>
      <w:widowControl w:val="0"/>
      <w:suppressLineNumbers w:val="0"/>
      <w:spacing w:before="0" w:beforeAutospacing="0" w:after="0" w:afterAutospacing="0"/>
      <w:ind w:left="0" w:right="0"/>
    </w:pPr>
    <w:rPr>
      <w:rFonts w:hint="default" w:ascii="Calibri" w:hAnsi="Calibri" w:cs="Calibri"/>
      <w:sz w:val="22"/>
      <w:szCs w:val="22"/>
      <w:lang w:eastAsia="en-US"/>
    </w:rPr>
    <w:tblPr>
      <w:tblCellMar>
        <w:top w:w="0" w:type="dxa"/>
        <w:left w:w="0" w:type="dxa"/>
        <w:bottom w:w="0" w:type="dxa"/>
        <w:right w:w="0" w:type="dxa"/>
      </w:tblCellMar>
    </w:tblPr>
  </w:style>
  <w:style w:type="table" w:customStyle="1" w:styleId="980">
    <w:name w:val="自定义"/>
    <w:basedOn w:val="85"/>
    <w:autoRedefine/>
    <w:qFormat/>
    <w:uiPriority w:val="0"/>
    <w:pPr>
      <w:jc w:val="center"/>
    </w:pPr>
    <w:rPr>
      <w:sz w:val="21"/>
    </w:rPr>
    <w:tblPr>
      <w:tblBorders>
        <w:top w:val="thinThickSmallGap" w:color="auto" w:sz="12" w:space="0"/>
        <w:left w:val="thinThickSmallGap" w:color="auto" w:sz="12" w:space="0"/>
        <w:bottom w:val="thickThinSmallGap" w:color="auto" w:sz="12" w:space="0"/>
        <w:right w:val="thickThinSmallGap" w:color="auto" w:sz="12" w:space="0"/>
        <w:insideH w:val="single" w:color="000000" w:sz="6" w:space="0"/>
        <w:insideV w:val="single" w:color="000000" w:sz="6" w:space="0"/>
      </w:tblBorders>
      <w:tblCellMar>
        <w:top w:w="0" w:type="dxa"/>
        <w:left w:w="0" w:type="dxa"/>
        <w:bottom w:w="0" w:type="dxa"/>
        <w:right w:w="0" w:type="dxa"/>
      </w:tblCellMar>
    </w:tblPr>
    <w:tcPr>
      <w:shd w:val="clear" w:color="auto" w:fill="auto"/>
      <w:vAlign w:val="center"/>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81">
    <w:name w:val="张涛"/>
    <w:basedOn w:val="81"/>
    <w:autoRedefine/>
    <w:qFormat/>
    <w:uiPriority w:val="0"/>
    <w:rPr>
      <w:rFonts w:ascii="宋体"/>
      <w:sz w:val="21"/>
    </w:rPr>
    <w:tblPr>
      <w:tblBorders>
        <w:top w:val="single" w:color="008080" w:sz="12" w:space="0"/>
        <w:left w:val="single" w:color="008080" w:sz="12" w:space="0"/>
        <w:bottom w:val="single" w:color="008080" w:sz="12" w:space="0"/>
        <w:right w:val="single" w:color="008080" w:sz="12" w:space="0"/>
        <w:insideH w:val="single" w:color="008080" w:sz="6" w:space="0"/>
        <w:insideV w:val="single" w:color="008080" w:sz="6" w:space="0"/>
      </w:tblBorders>
      <w:tblCellMar>
        <w:top w:w="0" w:type="dxa"/>
        <w:left w:w="108" w:type="dxa"/>
        <w:bottom w:w="0" w:type="dxa"/>
        <w:right w:w="108" w:type="dxa"/>
      </w:tblCellMar>
    </w:tblPr>
    <w:tcPr>
      <w:shd w:val="clear" w:color="auto" w:fill="auto"/>
    </w:tcPr>
  </w:style>
  <w:style w:type="table" w:customStyle="1" w:styleId="982">
    <w:name w:val="普通表格1"/>
    <w:autoRedefine/>
    <w:unhideWhenUsed/>
    <w:qFormat/>
    <w:uiPriority w:val="0"/>
    <w:rPr>
      <w:lang w:val="en-US" w:eastAsia="zh-CN" w:bidi="ar-SA"/>
    </w:rPr>
    <w:tblPr>
      <w:tblCellMar>
        <w:top w:w="0" w:type="dxa"/>
        <w:left w:w="108" w:type="dxa"/>
        <w:bottom w:w="0" w:type="dxa"/>
        <w:right w:w="108" w:type="dxa"/>
      </w:tblCellMar>
    </w:tblPr>
  </w:style>
  <w:style w:type="table" w:customStyle="1" w:styleId="983">
    <w:name w:val="自定义1"/>
    <w:basedOn w:val="116"/>
    <w:autoRedefine/>
    <w:qFormat/>
    <w:uiPriority w:val="0"/>
    <w:pPr>
      <w:spacing w:line="240" w:lineRule="auto"/>
      <w:ind w:firstLine="0" w:firstLineChars="0"/>
      <w:jc w:val="center"/>
    </w:pPr>
    <w:rPr>
      <w:sz w:val="21"/>
      <w:szCs w:val="21"/>
    </w:rPr>
    <w:tblPr>
      <w:tblBorders>
        <w:top w:val="thinThickSmallGap" w:color="auto" w:sz="12" w:space="0"/>
        <w:left w:val="thinThickSmallGap" w:color="auto" w:sz="12" w:space="0"/>
        <w:bottom w:val="thickThinSmallGap" w:color="auto" w:sz="12" w:space="0"/>
        <w:right w:val="thickThinSmallGap" w:color="auto" w:sz="12" w:space="0"/>
        <w:insideH w:val="single" w:color="000000" w:sz="6" w:space="0"/>
        <w:insideV w:val="single" w:color="000000" w:sz="6" w:space="0"/>
      </w:tblBorders>
      <w:tblCellMar>
        <w:top w:w="0" w:type="dxa"/>
        <w:left w:w="0" w:type="dxa"/>
        <w:bottom w:w="0" w:type="dxa"/>
        <w:right w:w="0" w:type="dxa"/>
      </w:tblCellMar>
    </w:tblPr>
    <w:tcPr>
      <w:shd w:val="clear" w:color="auto" w:fill="auto"/>
      <w:vAlign w:val="center"/>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84">
    <w:name w:val="表格样式2"/>
    <w:basedOn w:val="985"/>
    <w:autoRedefine/>
    <w:qFormat/>
    <w:uiPriority w:val="0"/>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tblStylePr w:type="firstRow">
      <w:pPr>
        <w:jc w:val="center"/>
      </w:pPr>
      <w:rPr>
        <w:rFonts w:eastAsia="Arial Unicode MS" w:cs="Times New Roman"/>
        <w:b w:val="0"/>
        <w:bCs/>
        <w:color w:val="auto"/>
        <w:sz w:val="21"/>
      </w:r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985">
    <w:name w:val="表格样式11"/>
    <w:basedOn w:val="106"/>
    <w:autoRedefine/>
    <w:qFormat/>
    <w:uiPriority w:val="0"/>
    <w:pPr>
      <w:adjustRightInd w:val="0"/>
      <w:spacing w:line="360" w:lineRule="exact"/>
      <w:textAlignment w:val="center"/>
    </w:pPr>
    <w:rPr>
      <w:rFonts w:ascii="宋体"/>
      <w:szCs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
    <w:tcPr>
      <w:shd w:val="clear" w:color="auto" w:fill="F3F3F3"/>
      <w:vAlign w:val="center"/>
    </w:tcPr>
    <w:tblStylePr w:type="firstRow">
      <w:pPr>
        <w:jc w:val="center"/>
      </w:pPr>
      <w:rPr>
        <w:rFonts w:eastAsia="Arial Unicode MS" w:cs="Times New Roman"/>
        <w:b w:val="0"/>
        <w:bCs/>
        <w:color w:val="auto"/>
        <w:sz w:val="21"/>
      </w:r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cPr>
        <w:tcBorders>
          <w:top w:val="nil"/>
          <w:left w:val="nil"/>
          <w:bottom w:val="nil"/>
          <w:right w:val="nil"/>
          <w:insideH w:val="nil"/>
          <w:insideV w:val="nil"/>
          <w:tl2br w:val="nil"/>
          <w:tr2bl w:val="nil"/>
        </w:tcBorders>
        <w:shd w:val="pct20" w:color="000000" w:fill="FFFFFF"/>
      </w:tcPr>
    </w:tblStylePr>
  </w:style>
  <w:style w:type="table" w:customStyle="1" w:styleId="986">
    <w:name w:val="表格样式-ls"/>
    <w:basedOn w:val="79"/>
    <w:autoRedefine/>
    <w:qFormat/>
    <w:uiPriority w:val="0"/>
    <w:pPr>
      <w:widowControl w:val="0"/>
      <w:adjustRightInd w:val="0"/>
      <w:spacing w:line="360" w:lineRule="exact"/>
      <w:jc w:val="center"/>
      <w:textAlignment w:val="center"/>
    </w:pPr>
    <w:rPr>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Arial Unicode MS"/>
        <w:b w:val="0"/>
        <w:bCs/>
        <w:color w:val="auto"/>
        <w:sz w:val="21"/>
      </w:rPr>
      <w:tcPr>
        <w:tcBorders>
          <w:top w:val="nil"/>
          <w:left w:val="nil"/>
          <w:bottom w:val="nil"/>
          <w:right w:val="nil"/>
          <w:insideH w:val="nil"/>
          <w:insideV w:val="nil"/>
          <w:tl2br w:val="nil"/>
          <w:tr2bl w:val="nil"/>
        </w:tcBorders>
        <w:shd w:val="pct20" w:color="000000" w:fill="FFFFFF"/>
      </w:tcPr>
    </w:tblStylePr>
  </w:style>
  <w:style w:type="table" w:customStyle="1" w:styleId="987">
    <w:name w:val="表格样式-ls1"/>
    <w:basedOn w:val="79"/>
    <w:autoRedefine/>
    <w:qFormat/>
    <w:uiPriority w:val="0"/>
    <w:pPr>
      <w:widowControl w:val="0"/>
      <w:adjustRightInd w:val="0"/>
      <w:spacing w:line="360" w:lineRule="exact"/>
      <w:jc w:val="center"/>
      <w:textAlignment w:val="center"/>
    </w:pPr>
    <w:rPr>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Arial Unicode MS"/>
        <w:b w:val="0"/>
        <w:bCs/>
        <w:color w:val="auto"/>
        <w:sz w:val="21"/>
      </w:rPr>
      <w:tcPr>
        <w:tcBorders>
          <w:top w:val="nil"/>
          <w:left w:val="nil"/>
          <w:bottom w:val="nil"/>
          <w:right w:val="nil"/>
          <w:insideH w:val="nil"/>
          <w:insideV w:val="nil"/>
          <w:tl2br w:val="nil"/>
          <w:tr2bl w:val="nil"/>
        </w:tcBorders>
        <w:shd w:val="pct20" w:color="000000" w:fill="FFFFFF"/>
      </w:tcPr>
    </w:tblStylePr>
  </w:style>
  <w:style w:type="table" w:customStyle="1" w:styleId="988">
    <w:name w:val="表格88888888"/>
    <w:basedOn w:val="79"/>
    <w:autoRedefine/>
    <w:qFormat/>
    <w:uiPriority w:val="0"/>
    <w:pPr>
      <w:widowControl w:val="0"/>
      <w:spacing w:line="320" w:lineRule="exact"/>
      <w:jc w:val="center"/>
    </w:pPr>
    <w:rPr>
      <w:rFonts w:ascii="楷体_GB2312" w:hAnsi="楷体_GB2312" w:eastAsia="楷体_GB2312" w:cs="楷体_GB231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style>
  <w:style w:type="table" w:customStyle="1" w:styleId="989">
    <w:name w:val="网格型2"/>
    <w:basedOn w:val="7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0">
    <w:name w:val="出报告用"/>
    <w:basedOn w:val="81"/>
    <w:autoRedefine/>
    <w:qFormat/>
    <w:uiPriority w:val="0"/>
    <w:rPr>
      <w:rFonts w:ascii="宋体"/>
      <w:sz w:val="21"/>
    </w:rPr>
    <w:tblPr>
      <w:jc w:val="center"/>
      <w:tblBorders>
        <w:top w:val="single" w:color="008080" w:sz="12" w:space="0"/>
        <w:left w:val="single" w:color="008080" w:sz="12" w:space="0"/>
        <w:bottom w:val="single" w:color="008080" w:sz="12" w:space="0"/>
        <w:right w:val="single" w:color="008080" w:sz="12" w:space="0"/>
        <w:insideH w:val="single" w:color="008080" w:sz="6" w:space="0"/>
        <w:insideV w:val="single" w:color="008080" w:sz="6" w:space="0"/>
      </w:tblBorders>
      <w:tblCellMar>
        <w:top w:w="0" w:type="dxa"/>
        <w:left w:w="108" w:type="dxa"/>
        <w:bottom w:w="0" w:type="dxa"/>
        <w:right w:w="108" w:type="dxa"/>
      </w:tblCellMar>
    </w:tblPr>
    <w:trPr>
      <w:jc w:val="center"/>
    </w:trPr>
    <w:tcPr>
      <w:shd w:val="clear" w:color="auto" w:fill="auto"/>
      <w:vAlign w:val="center"/>
    </w:tcPr>
  </w:style>
  <w:style w:type="character" w:customStyle="1" w:styleId="991">
    <w:name w:val="标题 1 Char2"/>
    <w:autoRedefine/>
    <w:qFormat/>
    <w:uiPriority w:val="0"/>
    <w:rPr>
      <w:rFonts w:ascii="Times New Roman" w:hAnsi="Times New Roman" w:eastAsia="宋体"/>
      <w:b/>
      <w:bCs/>
      <w:kern w:val="44"/>
      <w:sz w:val="36"/>
      <w:szCs w:val="44"/>
      <w:lang w:val="en-US" w:eastAsia="zh-CN" w:bidi="ar-SA"/>
    </w:rPr>
  </w:style>
  <w:style w:type="character" w:customStyle="1" w:styleId="992">
    <w:name w:val="不明显强调2"/>
    <w:autoRedefine/>
    <w:qFormat/>
    <w:uiPriority w:val="0"/>
    <w:rPr>
      <w:sz w:val="21"/>
      <w:szCs w:val="21"/>
    </w:rPr>
  </w:style>
  <w:style w:type="character" w:customStyle="1" w:styleId="993">
    <w:name w:val="正文首行缩进 2 Char1"/>
    <w:autoRedefine/>
    <w:semiHidden/>
    <w:qFormat/>
    <w:locked/>
    <w:uiPriority w:val="0"/>
    <w:rPr>
      <w:rFonts w:ascii="Times New Roman" w:hAnsi="Times New Roman" w:eastAsia="宋体" w:cs="Times New Roman"/>
      <w:kern w:val="0"/>
      <w:sz w:val="28"/>
      <w:szCs w:val="24"/>
      <w:lang w:eastAsia="en-US" w:bidi="en-US"/>
    </w:rPr>
  </w:style>
  <w:style w:type="paragraph" w:customStyle="1" w:styleId="994">
    <w:name w:val="CBW正文"/>
    <w:autoRedefine/>
    <w:qFormat/>
    <w:uiPriority w:val="0"/>
    <w:pPr>
      <w:widowControl w:val="0"/>
      <w:overflowPunct w:val="0"/>
      <w:autoSpaceDE w:val="0"/>
      <w:autoSpaceDN w:val="0"/>
      <w:adjustRightInd w:val="0"/>
      <w:spacing w:line="360" w:lineRule="auto"/>
      <w:ind w:firstLine="200" w:firstLineChars="200"/>
      <w:jc w:val="both"/>
      <w:textAlignment w:val="bottom"/>
    </w:pPr>
    <w:rPr>
      <w:rFonts w:ascii="仿宋" w:hAnsi="宋体" w:eastAsia="仿宋" w:cs="Times New Roman"/>
      <w:kern w:val="2"/>
      <w:sz w:val="28"/>
      <w:szCs w:val="24"/>
      <w:lang w:val="en-US" w:eastAsia="zh-CN" w:bidi="ar-SA"/>
    </w:rPr>
  </w:style>
  <w:style w:type="paragraph" w:customStyle="1" w:styleId="995">
    <w:name w:val="图头"/>
    <w:basedOn w:val="475"/>
    <w:next w:val="476"/>
    <w:autoRedefine/>
    <w:qFormat/>
    <w:uiPriority w:val="0"/>
    <w:rPr>
      <w:color w:val="FF00FF"/>
    </w:rPr>
  </w:style>
  <w:style w:type="paragraph" w:customStyle="1" w:styleId="996">
    <w:name w:val="中封面"/>
    <w:autoRedefine/>
    <w:qFormat/>
    <w:uiPriority w:val="0"/>
    <w:pPr>
      <w:jc w:val="center"/>
    </w:pPr>
    <w:rPr>
      <w:rFonts w:ascii="微软雅黑" w:hAnsi="宋体" w:eastAsia="微软雅黑" w:cs="Times New Roman"/>
      <w:kern w:val="2"/>
      <w:sz w:val="52"/>
      <w:szCs w:val="52"/>
      <w:lang w:val="en-US" w:eastAsia="zh-CN" w:bidi="ar-SA"/>
    </w:rPr>
  </w:style>
  <w:style w:type="paragraph" w:customStyle="1" w:styleId="997">
    <w:name w:val="@正文HJX"/>
    <w:basedOn w:val="1"/>
    <w:next w:val="1"/>
    <w:autoRedefine/>
    <w:qFormat/>
    <w:uiPriority w:val="0"/>
    <w:pPr>
      <w:widowControl w:val="0"/>
      <w:adjustRightInd/>
      <w:spacing w:line="560" w:lineRule="exact"/>
      <w:ind w:firstLine="200" w:firstLineChars="200"/>
      <w:jc w:val="both"/>
      <w:textAlignment w:val="auto"/>
    </w:pPr>
    <w:rPr>
      <w:rFonts w:ascii="宋体" w:hAnsi="Calibri"/>
      <w:kern w:val="2"/>
      <w:sz w:val="28"/>
      <w:szCs w:val="20"/>
    </w:rPr>
  </w:style>
  <w:style w:type="paragraph" w:customStyle="1" w:styleId="998">
    <w:name w:val="表格小四"/>
    <w:basedOn w:val="1"/>
    <w:autoRedefine/>
    <w:qFormat/>
    <w:uiPriority w:val="0"/>
    <w:pPr>
      <w:widowControl/>
      <w:spacing w:line="240" w:lineRule="auto"/>
      <w:ind w:firstLine="0" w:firstLineChars="0"/>
      <w:jc w:val="center"/>
    </w:pPr>
    <w:rPr>
      <w:rFonts w:cs="宋体"/>
      <w:snapToGrid w:val="0"/>
      <w:color w:val="000000"/>
      <w:kern w:val="0"/>
      <w:sz w:val="24"/>
      <w:szCs w:val="24"/>
    </w:rPr>
  </w:style>
  <w:style w:type="paragraph" w:customStyle="1" w:styleId="999">
    <w:name w:val="样式 首行缩进:  2 字符1"/>
    <w:basedOn w:val="1"/>
    <w:autoRedefine/>
    <w:qFormat/>
    <w:uiPriority w:val="0"/>
    <w:pPr>
      <w:spacing w:line="360" w:lineRule="auto"/>
      <w:ind w:firstLine="200" w:firstLineChars="200"/>
    </w:pPr>
    <w:rPr>
      <w:rFonts w:cs="宋体"/>
      <w:sz w:val="24"/>
      <w:szCs w:val="20"/>
    </w:rPr>
  </w:style>
  <w:style w:type="paragraph" w:customStyle="1" w:styleId="1000">
    <w:name w:val="表内文-0.5"/>
    <w:autoRedefine/>
    <w:qFormat/>
    <w:uiPriority w:val="0"/>
    <w:pPr>
      <w:ind w:left="-50" w:leftChars="-50" w:right="-50" w:rightChars="-50"/>
      <w:jc w:val="center"/>
    </w:pPr>
    <w:rPr>
      <w:rFonts w:ascii="仿宋" w:hAnsi="宋体" w:eastAsia="仿宋" w:cs="Times New Roman"/>
      <w:kern w:val="2"/>
      <w:sz w:val="24"/>
      <w:szCs w:val="52"/>
      <w:lang w:val="en-US" w:eastAsia="zh-CN" w:bidi="ar-SA"/>
    </w:rPr>
  </w:style>
  <w:style w:type="character" w:customStyle="1" w:styleId="1001">
    <w:name w:val="江正文格式 Char Char"/>
    <w:autoRedefine/>
    <w:semiHidden/>
    <w:qFormat/>
    <w:uiPriority w:val="0"/>
    <w:rPr>
      <w:rFonts w:hint="default" w:ascii="Times New Roman" w:hAnsi="Times New Roman" w:eastAsia="宋体" w:cs="Times New Roman"/>
      <w:kern w:val="2"/>
      <w:sz w:val="24"/>
      <w:szCs w:val="24"/>
      <w:lang w:val="en-US" w:eastAsia="zh-CN" w:bidi="ar-SA"/>
    </w:rPr>
  </w:style>
  <w:style w:type="paragraph" w:customStyle="1" w:styleId="1002">
    <w:name w:val="表内文字"/>
    <w:autoRedefine/>
    <w:qFormat/>
    <w:uiPriority w:val="0"/>
    <w:pPr>
      <w:jc w:val="center"/>
    </w:pPr>
    <w:rPr>
      <w:rFonts w:ascii="仿宋" w:hAnsi="宋体" w:eastAsia="仿宋" w:cs="宋体"/>
      <w:snapToGrid w:val="0"/>
      <w:kern w:val="2"/>
      <w:sz w:val="24"/>
      <w:szCs w:val="24"/>
      <w:lang w:val="en-US" w:eastAsia="zh-CN" w:bidi="ar-SA"/>
    </w:rPr>
  </w:style>
  <w:style w:type="paragraph" w:customStyle="1" w:styleId="1003">
    <w:name w:val="CBW3级"/>
    <w:next w:val="1004"/>
    <w:autoRedefine/>
    <w:qFormat/>
    <w:uiPriority w:val="0"/>
    <w:pPr>
      <w:numPr>
        <w:ilvl w:val="2"/>
        <w:numId w:val="1"/>
      </w:numPr>
      <w:spacing w:line="360" w:lineRule="auto"/>
      <w:textAlignment w:val="bottom"/>
      <w:outlineLvl w:val="2"/>
    </w:pPr>
    <w:rPr>
      <w:rFonts w:ascii="宋体" w:hAnsi="Times New Roman" w:eastAsia="宋体" w:cs="Times New Roman"/>
      <w:b/>
      <w:kern w:val="2"/>
      <w:sz w:val="28"/>
      <w:szCs w:val="24"/>
      <w:lang w:val="en-US" w:eastAsia="zh-CN" w:bidi="ar-SA"/>
    </w:rPr>
  </w:style>
  <w:style w:type="paragraph" w:customStyle="1" w:styleId="1004">
    <w:name w:val="CBW4级"/>
    <w:next w:val="994"/>
    <w:autoRedefine/>
    <w:qFormat/>
    <w:uiPriority w:val="0"/>
    <w:pPr>
      <w:numPr>
        <w:ilvl w:val="3"/>
        <w:numId w:val="1"/>
      </w:numPr>
      <w:spacing w:line="360" w:lineRule="auto"/>
      <w:textAlignment w:val="bottom"/>
      <w:outlineLvl w:val="3"/>
    </w:pPr>
    <w:rPr>
      <w:rFonts w:ascii="宋体" w:hAnsi="宋体" w:eastAsia="宋体" w:cs="Times New Roman"/>
      <w:b/>
      <w:spacing w:val="1"/>
      <w:kern w:val="2"/>
      <w:sz w:val="28"/>
      <w:szCs w:val="24"/>
      <w:lang w:val="en-US" w:eastAsia="zh-CN" w:bidi="ar-SA"/>
    </w:rPr>
  </w:style>
  <w:style w:type="paragraph" w:customStyle="1" w:styleId="1005">
    <w:name w:val="正文（缩进）"/>
    <w:basedOn w:val="1"/>
    <w:autoRedefine/>
    <w:qFormat/>
    <w:uiPriority w:val="99"/>
    <w:pPr>
      <w:spacing w:line="360" w:lineRule="auto"/>
      <w:ind w:firstLine="480" w:firstLineChars="200"/>
    </w:pPr>
    <w:rPr>
      <w:rFonts w:ascii="Times New Roman" w:hAnsi="Times New Roman" w:cs="Times New Roman"/>
      <w:sz w:val="24"/>
      <w:szCs w:val="24"/>
    </w:rPr>
  </w:style>
  <w:style w:type="paragraph" w:customStyle="1" w:styleId="1006">
    <w:name w:val="正文小四缩"/>
    <w:basedOn w:val="1"/>
    <w:autoRedefine/>
    <w:qFormat/>
    <w:uiPriority w:val="0"/>
    <w:pPr>
      <w:adjustRightInd w:val="0"/>
      <w:spacing w:before="120" w:line="420" w:lineRule="atLeast"/>
      <w:ind w:firstLine="510"/>
      <w:textAlignment w:val="baseline"/>
    </w:pPr>
    <w:rPr>
      <w:rFonts w:ascii="宋体" w:hAnsi="Times New Roman" w:eastAsia="宋体" w:cs="Times New Roman"/>
      <w:bCs/>
      <w:kern w:val="0"/>
      <w:sz w:val="24"/>
      <w:szCs w:val="20"/>
    </w:rPr>
  </w:style>
  <w:style w:type="character" w:customStyle="1" w:styleId="1007">
    <w:name w:val="上标"/>
    <w:autoRedefine/>
    <w:qFormat/>
    <w:uiPriority w:val="0"/>
    <w:rPr>
      <w:sz w:val="24"/>
      <w:vertAlign w:val="superscript"/>
    </w:rPr>
  </w:style>
  <w:style w:type="paragraph" w:customStyle="1" w:styleId="1008">
    <w:name w:val="样式11"/>
    <w:basedOn w:val="1"/>
    <w:autoRedefine/>
    <w:qFormat/>
    <w:uiPriority w:val="0"/>
    <w:pPr>
      <w:spacing w:line="480" w:lineRule="exact"/>
      <w:ind w:firstLine="420" w:firstLineChars="200"/>
    </w:pPr>
    <w:rPr>
      <w:sz w:val="24"/>
      <w:szCs w:val="24"/>
    </w:rPr>
  </w:style>
  <w:style w:type="character" w:customStyle="1" w:styleId="1009">
    <w:name w:val="fontstyle01"/>
    <w:autoRedefine/>
    <w:qFormat/>
    <w:uiPriority w:val="0"/>
    <w:rPr>
      <w:rFonts w:hint="eastAsia" w:ascii="宋体" w:hAnsi="宋体" w:eastAsia="宋体" w:cs="宋体"/>
      <w:color w:val="000000"/>
      <w:kern w:val="0"/>
      <w:sz w:val="24"/>
      <w:szCs w:val="24"/>
    </w:rPr>
  </w:style>
  <w:style w:type="paragraph" w:customStyle="1" w:styleId="1010">
    <w:name w:val="CBW正(）"/>
    <w:autoRedefine/>
    <w:qFormat/>
    <w:uiPriority w:val="0"/>
    <w:pPr>
      <w:widowControl w:val="0"/>
      <w:overflowPunct w:val="0"/>
      <w:autoSpaceDE w:val="0"/>
      <w:autoSpaceDN w:val="0"/>
      <w:spacing w:line="360" w:lineRule="auto"/>
      <w:ind w:firstLine="567"/>
      <w:jc w:val="both"/>
      <w:textAlignment w:val="bottom"/>
    </w:pPr>
    <w:rPr>
      <w:rFonts w:ascii="仿宋" w:hAnsi="宋体" w:eastAsia="仿宋" w:cs="Times New Roman"/>
      <w:kern w:val="2"/>
      <w:sz w:val="28"/>
      <w:szCs w:val="24"/>
      <w:lang w:val="en-US" w:eastAsia="zh-CN" w:bidi="ar-SA"/>
    </w:rPr>
  </w:style>
  <w:style w:type="paragraph" w:customStyle="1" w:styleId="1011">
    <w:name w:val="表 头"/>
    <w:basedOn w:val="1"/>
    <w:link w:val="1012"/>
    <w:autoRedefine/>
    <w:qFormat/>
    <w:uiPriority w:val="0"/>
    <w:pPr>
      <w:adjustRightInd w:val="0"/>
      <w:spacing w:line="360" w:lineRule="atLeast"/>
      <w:ind w:firstLine="200" w:firstLineChars="200"/>
      <w:jc w:val="center"/>
    </w:pPr>
    <w:rPr>
      <w:rFonts w:ascii="宋体" w:hAnsi="宋体"/>
      <w:spacing w:val="10"/>
      <w:kern w:val="0"/>
      <w:sz w:val="24"/>
      <w:szCs w:val="20"/>
    </w:rPr>
  </w:style>
  <w:style w:type="character" w:customStyle="1" w:styleId="1012">
    <w:name w:val="表 头 Char Char"/>
    <w:link w:val="1011"/>
    <w:autoRedefine/>
    <w:qFormat/>
    <w:uiPriority w:val="0"/>
    <w:rPr>
      <w:rFonts w:ascii="宋体" w:hAnsi="宋体"/>
      <w:spacing w:val="10"/>
      <w:sz w:val="24"/>
    </w:rPr>
  </w:style>
  <w:style w:type="paragraph" w:customStyle="1" w:styleId="1013">
    <w:name w:val=" Char"/>
    <w:basedOn w:val="1"/>
    <w:autoRedefine/>
    <w:qFormat/>
    <w:uiPriority w:val="0"/>
    <w:pPr>
      <w:spacing w:line="240" w:lineRule="auto"/>
      <w:ind w:firstLine="0" w:firstLineChars="0"/>
      <w:jc w:val="both"/>
    </w:pPr>
    <w:rPr>
      <w:rFonts w:cs="Times New Roman"/>
      <w:sz w:val="21"/>
      <w:lang w:bidi="ar-SA"/>
    </w:rPr>
  </w:style>
  <w:style w:type="paragraph" w:customStyle="1" w:styleId="1014">
    <w:name w:val="样式 样式 样式 样式 报告正文 + 宋体 五号 黑色 + 五号 + (西文) Times New Roman (中文) 华文中..."/>
    <w:basedOn w:val="1"/>
    <w:autoRedefine/>
    <w:qFormat/>
    <w:uiPriority w:val="0"/>
    <w:pPr>
      <w:adjustRightInd w:val="0"/>
      <w:snapToGrid w:val="0"/>
      <w:spacing w:line="520" w:lineRule="exact"/>
      <w:ind w:firstLine="200" w:firstLineChars="200"/>
    </w:pPr>
    <w:rPr>
      <w:rFonts w:ascii="宋体" w:eastAsia="华文中宋" w:cs="宋体"/>
      <w:b/>
      <w:bCs/>
      <w:color w:val="000000"/>
      <w:sz w:val="24"/>
    </w:rPr>
  </w:style>
  <w:style w:type="paragraph" w:customStyle="1" w:styleId="1015">
    <w:name w:val="没事别乱动"/>
    <w:basedOn w:val="1"/>
    <w:autoRedefine/>
    <w:qFormat/>
    <w:uiPriority w:val="0"/>
    <w:pPr>
      <w:spacing w:line="240" w:lineRule="auto"/>
      <w:ind w:firstLine="0" w:firstLineChars="0"/>
      <w:jc w:val="center"/>
    </w:pPr>
    <w:rPr>
      <w:rFonts w:ascii="Times New Roman" w:hAnsi="Times New Roman" w:cs="Times New Roman"/>
      <w:color w:val="000000"/>
      <w:kern w:val="0"/>
      <w:sz w:val="21"/>
      <w:lang w:bidi="ar-SA"/>
    </w:rPr>
  </w:style>
  <w:style w:type="paragraph" w:customStyle="1" w:styleId="1016">
    <w:name w:val="正文xx"/>
    <w:basedOn w:val="1"/>
    <w:autoRedefine/>
    <w:qFormat/>
    <w:uiPriority w:val="0"/>
    <w:rPr>
      <w:szCs w:val="28"/>
    </w:rPr>
  </w:style>
  <w:style w:type="paragraph" w:customStyle="1" w:styleId="1017">
    <w:name w:val="文章正文"/>
    <w:basedOn w:val="1"/>
    <w:autoRedefine/>
    <w:qFormat/>
    <w:uiPriority w:val="0"/>
    <w:pPr>
      <w:spacing w:before="31" w:beforeLines="10" w:after="31" w:afterLines="10" w:line="500" w:lineRule="exact"/>
      <w:ind w:firstLine="200" w:firstLineChars="200"/>
    </w:pPr>
    <w:rPr>
      <w:rFonts w:eastAsia="宋体" w:cs="Times New Roman"/>
    </w:rPr>
  </w:style>
  <w:style w:type="character" w:customStyle="1" w:styleId="1018">
    <w:name w:val="font21"/>
    <w:basedOn w:val="124"/>
    <w:qFormat/>
    <w:uiPriority w:val="0"/>
    <w:rPr>
      <w:rFonts w:hint="eastAsia" w:ascii="宋体" w:hAnsi="宋体" w:eastAsia="宋体" w:cs="宋体"/>
      <w:color w:val="000000"/>
      <w:sz w:val="21"/>
      <w:szCs w:val="21"/>
      <w:u w:val="none"/>
    </w:rPr>
  </w:style>
  <w:style w:type="character" w:customStyle="1" w:styleId="1019">
    <w:name w:val="font31"/>
    <w:basedOn w:val="124"/>
    <w:qFormat/>
    <w:uiPriority w:val="0"/>
    <w:rPr>
      <w:rFonts w:hint="default" w:ascii="Times New Roman" w:hAnsi="Times New Roman" w:cs="Times New Roman"/>
      <w:color w:val="000000"/>
      <w:sz w:val="21"/>
      <w:szCs w:val="21"/>
      <w:u w:val="none"/>
    </w:rPr>
  </w:style>
  <w:style w:type="paragraph" w:customStyle="1" w:styleId="1020">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header" Target="header4.xml"/><Relationship Id="rId79" Type="http://schemas.openxmlformats.org/officeDocument/2006/relationships/customXml" Target="../customXml/item1.xml"/><Relationship Id="rId78" Type="http://schemas.openxmlformats.org/officeDocument/2006/relationships/image" Target="media/image34.jpeg"/><Relationship Id="rId77" Type="http://schemas.openxmlformats.org/officeDocument/2006/relationships/image" Target="media/image33.jpeg"/><Relationship Id="rId76" Type="http://schemas.openxmlformats.org/officeDocument/2006/relationships/image" Target="media/image32.jpeg"/><Relationship Id="rId75" Type="http://schemas.openxmlformats.org/officeDocument/2006/relationships/image" Target="media/image31.jpeg"/><Relationship Id="rId74" Type="http://schemas.openxmlformats.org/officeDocument/2006/relationships/image" Target="media/image30.jpeg"/><Relationship Id="rId73" Type="http://schemas.openxmlformats.org/officeDocument/2006/relationships/image" Target="media/image29.jpeg"/><Relationship Id="rId72" Type="http://schemas.openxmlformats.org/officeDocument/2006/relationships/image" Target="media/image28.jpeg"/><Relationship Id="rId71" Type="http://schemas.openxmlformats.org/officeDocument/2006/relationships/image" Target="media/image27.jpeg"/><Relationship Id="rId70" Type="http://schemas.openxmlformats.org/officeDocument/2006/relationships/image" Target="media/image26.jpeg"/><Relationship Id="rId7" Type="http://schemas.openxmlformats.org/officeDocument/2006/relationships/header" Target="header3.xml"/><Relationship Id="rId69" Type="http://schemas.openxmlformats.org/officeDocument/2006/relationships/image" Target="media/image25.jpeg"/><Relationship Id="rId68" Type="http://schemas.openxmlformats.org/officeDocument/2006/relationships/image" Target="media/image24.png"/><Relationship Id="rId67" Type="http://schemas.openxmlformats.org/officeDocument/2006/relationships/image" Target="media/image23.wmf"/><Relationship Id="rId66" Type="http://schemas.openxmlformats.org/officeDocument/2006/relationships/oleObject" Target="embeddings/oleObject10.bin"/><Relationship Id="rId65" Type="http://schemas.openxmlformats.org/officeDocument/2006/relationships/image" Target="media/image22.emf"/><Relationship Id="rId64" Type="http://schemas.openxmlformats.org/officeDocument/2006/relationships/oleObject" Target="embeddings/oleObject9.bin"/><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footer" Target="footer2.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wmf"/><Relationship Id="rId54" Type="http://schemas.openxmlformats.org/officeDocument/2006/relationships/oleObject" Target="embeddings/oleObject8.bin"/><Relationship Id="rId53" Type="http://schemas.openxmlformats.org/officeDocument/2006/relationships/image" Target="media/image12.jpeg"/><Relationship Id="rId52" Type="http://schemas.openxmlformats.org/officeDocument/2006/relationships/image" Target="media/image11.png"/><Relationship Id="rId51" Type="http://schemas.openxmlformats.org/officeDocument/2006/relationships/image" Target="media/image10.wmf"/><Relationship Id="rId50" Type="http://schemas.openxmlformats.org/officeDocument/2006/relationships/image" Target="media/image9.wmf"/><Relationship Id="rId5" Type="http://schemas.openxmlformats.org/officeDocument/2006/relationships/footer" Target="footer1.xml"/><Relationship Id="rId49" Type="http://schemas.openxmlformats.org/officeDocument/2006/relationships/oleObject" Target="embeddings/oleObject7.bin"/><Relationship Id="rId48" Type="http://schemas.openxmlformats.org/officeDocument/2006/relationships/image" Target="media/image8.wmf"/><Relationship Id="rId47" Type="http://schemas.openxmlformats.org/officeDocument/2006/relationships/oleObject" Target="embeddings/oleObject6.bin"/><Relationship Id="rId46" Type="http://schemas.openxmlformats.org/officeDocument/2006/relationships/image" Target="media/image7.wmf"/><Relationship Id="rId45" Type="http://schemas.openxmlformats.org/officeDocument/2006/relationships/oleObject" Target="embeddings/oleObject5.bin"/><Relationship Id="rId44" Type="http://schemas.openxmlformats.org/officeDocument/2006/relationships/image" Target="media/image6.wmf"/><Relationship Id="rId43" Type="http://schemas.openxmlformats.org/officeDocument/2006/relationships/oleObject" Target="embeddings/oleObject4.bin"/><Relationship Id="rId42" Type="http://schemas.openxmlformats.org/officeDocument/2006/relationships/image" Target="media/image5.png"/><Relationship Id="rId41" Type="http://schemas.openxmlformats.org/officeDocument/2006/relationships/image" Target="media/image4.emf"/><Relationship Id="rId40" Type="http://schemas.openxmlformats.org/officeDocument/2006/relationships/oleObject" Target="embeddings/oleObject3.bin"/><Relationship Id="rId4" Type="http://schemas.openxmlformats.org/officeDocument/2006/relationships/header" Target="header2.xml"/><Relationship Id="rId39" Type="http://schemas.openxmlformats.org/officeDocument/2006/relationships/image" Target="media/image3.wmf"/><Relationship Id="rId38" Type="http://schemas.openxmlformats.org/officeDocument/2006/relationships/oleObject" Target="embeddings/oleObject2.bin"/><Relationship Id="rId37" Type="http://schemas.openxmlformats.org/officeDocument/2006/relationships/image" Target="media/image2.wmf"/><Relationship Id="rId36" Type="http://schemas.openxmlformats.org/officeDocument/2006/relationships/oleObject" Target="embeddings/oleObject1.bin"/><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5MjAyNTgxNTg0MCIsCiAgICJHcm91cElkIiA6ICI0MjU1MjU3MDMiLAogICAiSW1hZ2UiIDogImlWQk9SdzBLR2dvQUFBQU5TVWhFVWdBQUJTQUFBQUhkQ0FZQUFBQU5WdGZGQUFBQUNYQklXWE1BQUFzVEFBQUxFd0VBbXB3WUFBQWdBRWxFUVZSNG5PemRlWHhNMS8vSDhmZE1Ga3RpMzZtaVVWUXRqUlJmbEJKYWRFRlZ0ZFJXVlVWMVFkVytSK3lLdEpaUTFWcXFLcmFpdmltdFVsL1ZDbUxmbFZZcVZCQVJXU1l6dnoveXlQMFptVWttWkJyMDlYdzgrcWk1OTl4enp5UW45OTd6dVdlU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DKy9YOTRYSTRvcXh4U0JBQUFBQUJKUlU1RXJrSmdnZz09IiwKICAgIlR5cGUiIDogImZsb3ciCn0K"/>
    </extobj>
  </extobjs>
</s:customData>
</file>

<file path=customXml/item2.xml><?xml version="1.0" encoding="utf-8"?>
<contractReview xmlns="http://schemas.wps.cn/vas-ai-hub/contract-review">
  <reviewItems>
    <reviewItem>
      <errorID>87d29da0-2623-4488-ab21-b89c8f02e693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3C44678B</paraID>
      <start>28</start>
      <end>29</end>
      <status>unmodified</status>
      <modifiedWord/>
      <trackRevisions>false</trackRevisions>
    </reviewItem>
    <reviewItem>
      <errorID>449f34dd-26b3-46cc-ada7-893e7c698a3f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3C44678B</paraID>
      <start>73</start>
      <end>74</end>
      <status>unmodified</status>
      <modifiedWord/>
      <trackRevisions>false</trackRevisions>
    </reviewItem>
    <reviewItem>
      <errorID>0dd0cdb9-4753-432a-b4aa-0eac524c9b4e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3C44678B</paraID>
      <start>94</start>
      <end>95</end>
      <status>unmodified</status>
      <modifiedWord/>
      <trackRevisions>false</trackRevisions>
    </reviewItem>
    <reviewItem>
      <errorID>bddd62a1-8933-4cd5-8a2e-1f31a701bd15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28CCAD41</paraID>
      <start>50</start>
      <end>51</end>
      <status>unmodified</status>
      <modifiedWord/>
      <trackRevisions>false</trackRevisions>
    </reviewItem>
    <reviewItem>
      <errorID>bb1209e0-a89e-44ce-bd71-555e5f385a9a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28CCAD41</paraID>
      <start>168</start>
      <end>169</end>
      <status>unmodified</status>
      <modifiedWord/>
      <trackRevisions>false</trackRevisions>
    </reviewItem>
    <reviewItem>
      <errorID>b408bb66-6fd8-43d4-9b0f-ac71d85b244a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22E12D77</paraID>
      <start>66</start>
      <end>67</end>
      <status>unmodified</status>
      <modifiedWord/>
      <trackRevisions>false</trackRevisions>
    </reviewItem>
    <reviewItem>
      <errorID>71a84db5-a5e7-43c2-a0fc-425e4dcbc503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22E12D77</paraID>
      <start>213</start>
      <end>214</end>
      <status>unmodified</status>
      <modifiedWord/>
      <trackRevisions>false</trackRevisions>
    </reviewItem>
    <reviewItem>
      <errorID>bd3cf5f3-ee84-48ae-8f04-5a84c3642cfb</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201724B0</paraID>
      <start>131</start>
      <end>138</end>
      <status>unmodified</status>
      <modifiedWord/>
      <trackRevisions>false</trackRevisions>
    </reviewItem>
    <reviewItem>
      <errorID>acbc56db-5a10-4bae-ba6d-4d8a765f9fec</errorID>
      <errorWord>》</errorWord>
      <group>L1_Word</group>
      <groupName>字词问题</groupName>
      <ability>L2_Typo</ability>
      <abilityName>字词错误</abilityName>
      <candidateList>
        <item>》和</item>
      </candidateList>
      <explain/>
      <paraID>7B1F9DDB</paraID>
      <start>191</start>
      <end>192</end>
      <status>unmodified</status>
      <modifiedWord/>
      <trackRevisions>false</trackRevisions>
    </reviewItem>
    <reviewItem>
      <errorID>6cb992f7-c4e2-4f92-8027-d3794fee598c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248A8F34</paraID>
      <start>86</start>
      <end>87</end>
      <status>unmodified</status>
      <modifiedWord/>
      <trackRevisions>false</trackRevisions>
    </reviewItem>
    <reviewItem>
      <errorID>7617ff15-ab0d-4b13-8374-411f3d4351ac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248A8F34</paraID>
      <start>142</start>
      <end>143</end>
      <status>unmodified</status>
      <modifiedWord/>
      <trackRevisions>false</trackRevisions>
    </reviewItem>
    <reviewItem>
      <errorID>0e40b3f1-2fda-4ec2-aa58-0408df9636d6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248A8F34</paraID>
      <start>180</start>
      <end>181</end>
      <status>unmodified</status>
      <modifiedWord/>
      <trackRevisions>false</trackRevisions>
    </reviewItem>
    <reviewItem>
      <errorID>b7455aab-35b4-4fca-b70d-b1853b2843b2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60B8F3F0</paraID>
      <start>129</start>
      <end>130</end>
      <status>unmodified</status>
      <modifiedWord/>
      <trackRevisions>false</trackRevisions>
    </reviewItem>
    <reviewItem>
      <errorID>b5ebabc6-df1e-4fcc-8035-251cc240121c</errorID>
      <errorWord>&lt;</errorWord>
      <group>L1_Format</group>
      <groupName>格式问题</groupName>
      <ability>L2_HalfPunc_CN</ability>
      <abilityName/>
      <candidateList>
        <item>〈</item>
      </candidateList>
      <explain>文本全半角错误。</explain>
      <paraID>24AE4817</paraID>
      <start>8</start>
      <end>9</end>
      <status>unmodified</status>
      <modifiedWord/>
      <trackRevisions>false</trackRevisions>
    </reviewItem>
    <reviewItem>
      <errorID>fe9dd092-4879-4058-8ac6-e006160fe948</errorID>
      <errorWord>&gt;的通知》</errorWord>
      <group>L1_Punc</group>
      <groupName>标点问题</groupName>
      <ability>L2_Punc_CN</ability>
      <abilityName/>
      <candidateList>
        <item>〉的通知》</item>
      </candidateList>
      <explain/>
      <paraID>24AE4817</paraID>
      <start>21</start>
      <end>26</end>
      <status>unmodified</status>
      <modifiedWord/>
      <trackRevisions>false</trackRevisions>
    </reviewItem>
    <reviewItem>
      <errorID>c860f702-1592-4d71-87c4-636c22ab66f7</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 2C8D2D3</paraID>
      <start>4</start>
      <end>6</end>
      <status>unmodified</status>
      <modifiedWord/>
      <trackRevisions>false</trackRevisions>
    </reviewItem>
    <reviewItem>
      <errorID>34555251-511f-4b4a-84a3-0a4b91941f3d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4683F7D0</paraID>
      <start>22</start>
      <end>23</end>
      <status>unmodified</status>
      <modifiedWord/>
      <trackRevisions>false</trackRevisions>
    </reviewItem>
    <reviewItem>
      <errorID>3f95e4a0-27a8-4d7b-ac07-a403a218289d</errorID>
      <errorWord>&lt;</errorWord>
      <group>L1_Format</group>
      <groupName>格式问题</groupName>
      <ability>L2_HalfPunc_CN</ability>
      <abilityName/>
      <candidateList>
        <item>〈</item>
      </candidateList>
      <explain>文本全半角错误。</explain>
      <paraID>1D6260DC</paraID>
      <start>5</start>
      <end>6</end>
      <status>unmodified</status>
      <modifiedWord/>
      <trackRevisions>false</trackRevisions>
    </reviewItem>
    <reviewItem>
      <errorID>37d54577-cf2e-40d7-8a1e-39d1ea0973b4</errorID>
      <errorWord>&gt;的通知》</errorWord>
      <group>L1_Punc</group>
      <groupName>标点问题</groupName>
      <ability>L2_Punc_CN</ability>
      <abilityName/>
      <candidateList>
        <item>〉的通知》</item>
      </candidateList>
      <explain/>
      <paraID>1D6260DC</paraID>
      <start>33</start>
      <end>38</end>
      <status>unmodified</status>
      <modifiedWord/>
      <trackRevisions>false</trackRevisions>
    </reviewItem>
    <reviewItem>
      <errorID>1a47110c-e1af-444b-822d-4a5f29f5694d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3A3AAE6B</paraID>
      <start>20</start>
      <end>21</end>
      <status>unmodified</status>
      <modifiedWord/>
      <trackRevisions>false</trackRevisions>
    </reviewItem>
    <reviewItem>
      <errorID>25aff12a-4036-4f7b-9e3e-a106847368a9</errorID>
      <errorWord>～</errorWord>
      <group>L1_Format</group>
      <groupName>格式问题</groupName>
      <ability>L2_HalfPunc_CN</ability>
      <abilityName/>
      <candidateList>
        <item>~</item>
      </candidateList>
      <explain>文本全半角错误。</explain>
      <paraID>13761E59</paraID>
      <start>9</start>
      <end>10</end>
      <status>unmodified</status>
      <modifiedWord/>
      <trackRevisions>false</trackRevisions>
    </reviewItem>
    <reviewItem>
      <errorID>0499cc64-3172-4c1d-a50a-f756a92459fe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46F06B37</paraID>
      <start>0</start>
      <end>2</end>
      <status>unmodified</status>
      <modifiedWord/>
      <trackRevisions>false</trackRevisions>
    </reviewItem>
    <reviewItem>
      <errorID>448f0963-8648-48ea-b219-6c507100c81d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2721A22F</paraID>
      <start>0</start>
      <end>2</end>
      <status>unmodified</status>
      <modifiedWord/>
      <trackRevisions>false</trackRevisions>
    </reviewItem>
    <reviewItem>
      <errorID>811b3fc3-0af6-4f53-afc8-c62e702544e4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1680E5B8</paraID>
      <start>0</start>
      <end>2</end>
      <status>unmodified</status>
      <modifiedWord/>
      <trackRevisions>false</trackRevisions>
    </reviewItem>
    <reviewItem>
      <errorID>45d45a2c-3e4f-45c6-a6e1-f89f9a7378cd</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39C96E45</paraID>
      <start>93</start>
      <end>97</end>
      <status>unmodified</status>
      <modifiedWord/>
      <trackRevisions>false</trackRevisions>
    </reviewItem>
    <reviewItem>
      <errorID>8b5a2302-c5e2-4b52-86d6-f74c1061e890</errorID>
      <errorWord>～</errorWord>
      <group>L1_Format</group>
      <groupName>格式问题</groupName>
      <ability>L2_HalfPunc_CN</ability>
      <abilityName/>
      <candidateList>
        <item>~</item>
      </candidateList>
      <explain>文本全半角错误。</explain>
      <paraID> 41B5E04</paraID>
      <start>3</start>
      <end>4</end>
      <status>unmodified</status>
      <modifiedWord/>
      <trackRevisions>false</trackRevisions>
    </reviewItem>
    <reviewItem>
      <errorID>976a8a89-eeb8-4f7e-a5f4-3338a3ef7958</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63025F1F</paraID>
      <start>0</start>
      <end>4</end>
      <status>unmodified</status>
      <modifiedWord/>
      <trackRevisions>false</trackRevisions>
    </reviewItem>
    <reviewItem>
      <errorID>ebc3a224-4148-4a55-ad5f-8d24bc6451bc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4EA0023C</paraID>
      <start>0</start>
      <end>2</end>
      <status>unmodified</status>
      <modifiedWord/>
      <trackRevisions>false</trackRevisions>
    </reviewItem>
    <reviewItem>
      <errorID>874018f6-3c37-4726-9e72-5e228066e594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6980EFAE</paraID>
      <start>0</start>
      <end>2</end>
      <status>unmodified</status>
      <modifiedWord/>
      <trackRevisions>false</trackRevisions>
    </reviewItem>
    <reviewItem>
      <errorID>15ad8a22-73df-40f2-aefd-f50c07c111c9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B2B292</paraID>
      <start>0</start>
      <end>2</end>
      <status>unmodified</status>
      <modifiedWord/>
      <trackRevisions>false</trackRevisions>
    </reviewItem>
    <reviewItem>
      <errorID>4a910100-ffcf-4dc3-a548-fa5d1d77b38d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EE9713E</paraID>
      <start>0</start>
      <end>2</end>
      <status>unmodified</status>
      <modifiedWord/>
      <trackRevisions>false</trackRevisions>
    </reviewItem>
    <reviewItem>
      <errorID>bf90b737-1c70-475c-96a7-d0d2aa5fc642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5242A56C</paraID>
      <start>0</start>
      <end>2</end>
      <status>unmodified</status>
      <modifiedWord/>
      <trackRevisions>false</trackRevisions>
    </reviewItem>
    <reviewItem>
      <errorID>e416a0fc-8885-4331-b4c6-c63c06bacbe6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13323D58</paraID>
      <start>0</start>
      <end>2</end>
      <status>unmodified</status>
      <modifiedWord/>
      <trackRevisions>false</trackRevisions>
    </reviewItem>
    <reviewItem>
      <errorID>39ff983c-47f9-44bf-be0b-94083a3e6f4c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65F1BA52</paraID>
      <start>0</start>
      <end>2</end>
      <status>unmodified</status>
      <modifiedWord/>
      <trackRevisions>false</trackRevisions>
    </reviewItem>
    <reviewItem>
      <errorID>7a2208bd-c16e-43c4-8e26-a48da0a7b1ae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56996560</paraID>
      <start>0</start>
      <end>2</end>
      <status>unmodified</status>
      <modifiedWord/>
      <trackRevisions>false</trackRevisions>
    </reviewItem>
    <reviewItem>
      <errorID>ba95c98a-3bfa-4945-aa07-022e3bc67da1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2544C7EB</paraID>
      <start>0</start>
      <end>2</end>
      <status>unmodified</status>
      <modifiedWord/>
      <trackRevisions>false</trackRevisions>
    </reviewItem>
    <reviewItem>
      <errorID>a900ee28-9198-4dbd-8c81-36fbb8873aa7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493C35AC</paraID>
      <start>0</start>
      <end>2</end>
      <status>unmodified</status>
      <modifiedWord/>
      <trackRevisions>false</trackRevisions>
    </reviewItem>
    <reviewItem>
      <errorID>10f3a248-a1c1-4dbf-8ce8-0df420d11d7a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744F7B7F</paraID>
      <start>0</start>
      <end>2</end>
      <status>unmodified</status>
      <modifiedWord/>
      <trackRevisions>false</trackRevisions>
    </reviewItem>
    <reviewItem>
      <errorID>fbb6f6a9-ac15-412b-9844-8de73c817571</errorID>
      <errorWord>(</errorWord>
      <group>L1_Format</group>
      <groupName>格式问题</groupName>
      <ability>L2_HalfPunc_CN</ability>
      <abilityName/>
      <candidateList>
        <item>（</item>
      </candidateList>
      <explain>文本全半角错误。</explain>
      <paraID>1BAADEE4</paraID>
      <start>13</start>
      <end>14</end>
      <status>unmodified</status>
      <modifiedWord/>
      <trackRevisions>false</trackRevisions>
    </reviewItem>
    <reviewItem>
      <errorID>7ad6e205-1e6f-47cd-b4dc-689566170472</errorID>
      <errorWord>～</errorWord>
      <group>L1_Format</group>
      <groupName>格式问题</groupName>
      <ability>L2_HalfPunc_CN</ability>
      <abilityName/>
      <candidateList>
        <item>~</item>
      </candidateList>
      <explain>文本全半角错误。</explain>
      <paraID>4B64A9E1</paraID>
      <start>1</start>
      <end>2</end>
      <status>unmodified</status>
      <modifiedWord/>
      <trackRevisions>false</trackRevisions>
    </reviewItem>
    <reviewItem>
      <errorID>532dba41-2285-4a84-8e43-4c891617fbd6</errorID>
      <errorWord>（</errorWord>
      <group>L1_Format</group>
      <groupName>格式问题</groupName>
      <ability>L2_HalfPunc_CN</ability>
      <abilityName/>
      <candidateList>
        <item>(</item>
      </candidateList>
      <explain>文本全半角错误。</explain>
      <paraID>66D9FBAE</paraID>
      <start>0</start>
      <end>1</end>
      <status>unmodified</status>
      <modifiedWord/>
      <trackRevisions>false</trackRevisions>
    </reviewItem>
    <reviewItem>
      <errorID>6e628840-02fe-4478-82bb-4db602774086</errorID>
      <errorWord>）</errorWord>
      <group>L1_Format</group>
      <groupName>格式问题</groupName>
      <ability>L2_HalfPunc_CN</ability>
      <abilityName/>
      <candidateList>
        <item>)</item>
      </candidateList>
      <explain>文本全半角错误。</explain>
      <paraID>66D9FBAE</paraID>
      <start>6</start>
      <end>7</end>
      <status>unmodified</status>
      <modifiedWord/>
      <trackRevisions>false</trackRevisions>
    </reviewItem>
    <reviewItem>
      <errorID>5d124ec3-af6f-4954-8276-6e8de19e509b</errorID>
      <errorWord>IV类</errorWord>
      <group>L1_Knowledge</group>
      <groupName>知识性问题</groupName>
      <ability>L2_Knowledge</ability>
      <abilityName>其他知识</abilityName>
      <candidateList>
        <item>Ⅳ类</item>
      </candidateList>
      <explain/>
      <paraID>34592E37</paraID>
      <start>109</start>
      <end>112</end>
      <status>unmodified</status>
      <modifiedWord/>
      <trackRevisions>false</trackRevisions>
    </reviewItem>
    <reviewItem>
      <errorID>faf9956b-6752-4187-b70e-f902260ff998</errorID>
      <errorWord>42、</errorWord>
      <group>L1_Format</group>
      <groupName>格式问题</groupName>
      <ability>L2_Ordinal</ability>
      <abilityName>序号格式</abilityName>
      <candidateList>
        <item>42.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2565772</paraID>
      <start>0</start>
      <end>3</end>
      <status>unmodified</status>
      <modifiedWord/>
      <trackRevisions>false</trackRevisions>
    </reviewItem>
    <reviewItem>
      <errorID>10d4163b-e0fc-45c2-86a3-ed5be8564cd6</errorID>
      <errorWord>II类</errorWord>
      <group>L1_Knowledge</group>
      <groupName>知识性问题</groupName>
      <ability>L2_Knowledge</ability>
      <abilityName>其他知识</abilityName>
      <candidateList>
        <item>Ⅱ类</item>
      </candidateList>
      <explain/>
      <paraID>20F184C6</paraID>
      <start>14</start>
      <end>17</end>
      <status>unmodified</status>
      <modifiedWord/>
      <trackRevisions>false</trackRevisions>
    </reviewItem>
    <reviewItem>
      <errorID>a42ce292-1324-4374-b619-6abce56c99e9</errorID>
      <errorWord>IV类</errorWord>
      <group>L1_Knowledge</group>
      <groupName>知识性问题</groupName>
      <ability>L2_Knowledge</ability>
      <abilityName>其他知识</abilityName>
      <candidateList>
        <item>Ⅳ类</item>
      </candidateList>
      <explain/>
      <paraID>20F184C6</paraID>
      <start>20</start>
      <end>23</end>
      <status>unmodified</status>
      <modifiedWord/>
      <trackRevisions>false</trackRevisions>
    </reviewItem>
    <reviewItem>
      <errorID>7f7e957b-519e-46ce-9123-335229ef59b6</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3BB232BF</paraID>
      <start>72</start>
      <end>77</end>
      <status>unmodified</status>
      <modifiedWord/>
      <trackRevisions>false</trackRevisions>
    </reviewItem>
    <reviewItem>
      <errorID>b0018879-52ea-4ae8-aea6-270f519bc99a</errorID>
      <errorWord>其它未</errorWord>
      <group>L1_Word</group>
      <groupName>字词问题</groupName>
      <ability>L2_Alias</ability>
      <abilityName>也作/曾用词</abilityName>
      <candidateList>
        <item>其他未</item>
      </candidateList>
      <explain>词汇[其它未]为不规范表述或旧称，其规范书面表述为[其他未]。</explain>
      <paraID>4A198A72</paraID>
      <start>117</start>
      <end>120</end>
      <status>unmodified</status>
      <modifiedWord/>
      <trackRevisions>false</trackRevisions>
    </reviewItem>
    <reviewItem>
      <errorID>38729ae1-70bc-467e-9322-f9b90558e6b8</errorID>
      <errorWord>II类</errorWord>
      <group>L1_Knowledge</group>
      <groupName>知识性问题</groupName>
      <ability>L2_Knowledge</ability>
      <abilityName>其他知识</abilityName>
      <candidateList>
        <item>Ⅱ类</item>
      </candidateList>
      <explain/>
      <paraID>538F5064</paraID>
      <start>0</start>
      <end>3</end>
      <status>unmodified</status>
      <modifiedWord/>
      <trackRevisions>false</trackRevisions>
    </reviewItem>
    <reviewItem>
      <errorID>9aa5da45-6b32-4d3e-bf74-fe0ab9ca9313</errorID>
      <errorWord>III类</errorWord>
      <group>L1_Knowledge</group>
      <groupName>知识性问题</groupName>
      <ability>L2_Knowledge</ability>
      <abilityName>其他知识</abilityName>
      <candidateList>
        <item>Ⅲ类</item>
      </candidateList>
      <explain/>
      <paraID>3A3BBCEE</paraID>
      <start>0</start>
      <end>4</end>
      <status>unmodified</status>
      <modifiedWord/>
      <trackRevisions>false</trackRevisions>
    </reviewItem>
    <reviewItem>
      <errorID>94ea1c20-fa4e-474d-951f-2ce717cdc374</errorID>
      <errorWord>II</errorWord>
      <group>L1_Knowledge</group>
      <groupName>知识性问题</groupName>
      <ability>L2_Knowledge</ability>
      <abilityName>其他知识</abilityName>
      <candidateList>
        <item>Ⅱ</item>
      </candidateList>
      <explain/>
      <paraID>630BF9F3</paraID>
      <start>0</start>
      <end>2</end>
      <status>unmodified</status>
      <modifiedWord/>
      <trackRevisions>false</trackRevisions>
    </reviewItem>
    <reviewItem>
      <errorID>479d2109-318b-4fd4-aa54-18f5ef4d6201</errorID>
      <errorWord>III</errorWord>
      <group>L1_Knowledge</group>
      <groupName>知识性问题</groupName>
      <ability>L2_Knowledge</ability>
      <abilityName>其他知识</abilityName>
      <candidateList>
        <item>Ⅲ</item>
      </candidateList>
      <explain/>
      <paraID>55CF3698</paraID>
      <start>0</start>
      <end>3</end>
      <status>unmodified</status>
      <modifiedWord/>
      <trackRevisions>false</trackRevisions>
    </reviewItem>
    <reviewItem>
      <errorID>34c84be0-5003-4448-93a8-9fedc31f9fed</errorID>
      <errorWord>II</errorWord>
      <group>L1_Knowledge</group>
      <groupName>知识性问题</groupName>
      <ability>L2_Knowledge</ability>
      <abilityName>其他知识</abilityName>
      <candidateList>
        <item>Ⅱ</item>
      </candidateList>
      <explain/>
      <paraID> 4F28A3B</paraID>
      <start>0</start>
      <end>2</end>
      <status>unmodified</status>
      <modifiedWord/>
      <trackRevisions>false</trackRevisions>
    </reviewItem>
    <reviewItem>
      <errorID>a6dae935-3dad-49ff-843e-887955c152d7</errorID>
      <errorWord>III</errorWord>
      <group>L1_Knowledge</group>
      <groupName>知识性问题</groupName>
      <ability>L2_Knowledge</ability>
      <abilityName>其他知识</abilityName>
      <candidateList>
        <item>Ⅲ</item>
      </candidateList>
      <explain/>
      <paraID>2EECD55C</paraID>
      <start>0</start>
      <end>3</end>
      <status>unmodified</status>
      <modifiedWord/>
      <trackRevisions>false</trackRevisions>
    </reviewItem>
    <reviewItem>
      <errorID>f5921804-383e-4040-9496-2798ecc7a8f5</errorID>
      <errorWord>II</errorWord>
      <group>L1_Knowledge</group>
      <groupName>知识性问题</groupName>
      <ability>L2_Knowledge</ability>
      <abilityName>其他知识</abilityName>
      <candidateList>
        <item>Ⅱ</item>
      </candidateList>
      <explain/>
      <paraID>189C1D1C</paraID>
      <start>0</start>
      <end>2</end>
      <status>unmodified</status>
      <modifiedWord/>
      <trackRevisions>false</trackRevisions>
    </reviewItem>
    <reviewItem>
      <errorID>130e2ca1-520e-4cc5-949a-97ad9dff3c90</errorID>
      <errorWord>III</errorWord>
      <group>L1_Knowledge</group>
      <groupName>知识性问题</groupName>
      <ability>L2_Knowledge</ability>
      <abilityName>其他知识</abilityName>
      <candidateList>
        <item>Ⅲ</item>
      </candidateList>
      <explain/>
      <paraID> 122C98C</paraID>
      <start>0</start>
      <end>3</end>
      <status>unmodified</status>
      <modifiedWord/>
      <trackRevisions>false</trackRevisions>
    </reviewItem>
    <reviewItem>
      <errorID>ef55fc82-3fa2-4e12-bb42-0fdd43be636b</errorID>
      <errorWord>-</errorWord>
      <group>L1_Format</group>
      <groupName>格式问题</groupName>
      <ability>L2_HalfPunc_CN</ability>
      <abilityName/>
      <candidateList>
        <item>－</item>
      </candidateList>
      <explain>文本全半角错误。</explain>
      <paraID>561C6EBB</paraID>
      <start>3</start>
      <end>4</end>
      <status>unmodified</status>
      <modifiedWord/>
      <trackRevisions>false</trackRevisions>
    </reviewItem>
    <reviewItem>
      <errorID>01f89e43-a95d-4dab-9fe6-7732d82f7794</errorID>
      <errorWord>IV</errorWord>
      <group>L1_Knowledge</group>
      <groupName>知识性问题</groupName>
      <ability>L2_Knowledge</ability>
      <abilityName>其他知识</abilityName>
      <candidateList>
        <item>Ⅳ</item>
      </candidateList>
      <explain/>
      <paraID>4EC622AE</paraID>
      <start>121</start>
      <end>123</end>
      <status>unmodified</status>
      <modifiedWord/>
      <trackRevisions>false</trackRevisions>
    </reviewItem>
    <reviewItem>
      <errorID>eeadbf04-d040-4b18-8939-0fafb88aab6b</errorID>
      <errorWord>III</errorWord>
      <group>L1_Knowledge</group>
      <groupName>知识性问题</groupName>
      <ability>L2_Knowledge</ability>
      <abilityName>其他知识</abilityName>
      <candidateList>
        <item>Ⅲ</item>
      </candidateList>
      <explain/>
      <paraID>4EC622AE</paraID>
      <start>171</start>
      <end>174</end>
      <status>unmodified</status>
      <modifiedWord/>
      <trackRevisions>false</trackRevisions>
    </reviewItem>
    <reviewItem>
      <errorID>a7681ba3-a887-4855-8d6e-24ab84de1f95</errorID>
      <errorWord>II</errorWord>
      <group>L1_Knowledge</group>
      <groupName>知识性问题</groupName>
      <ability>L2_Knowledge</ability>
      <abilityName>其他知识</abilityName>
      <candidateList>
        <item>Ⅱ</item>
      </candidateList>
      <explain/>
      <paraID>4EC622AE</paraID>
      <start>219</start>
      <end>221</end>
      <status>unmodified</status>
      <modifiedWord/>
      <trackRevisions>false</trackRevisions>
    </reviewItem>
    <reviewItem>
      <errorID>3bca5d23-b35a-442f-a514-03d9b9036293</errorID>
      <errorWord>IV</errorWord>
      <group>L1_Knowledge</group>
      <groupName>知识性问题</groupName>
      <ability>L2_Knowledge</ability>
      <abilityName>其他知识</abilityName>
      <candidateList>
        <item>Ⅳ</item>
      </candidateList>
      <explain/>
      <paraID> 9069A79</paraID>
      <start>31</start>
      <end>33</end>
      <status>unmodified</status>
      <modifiedWord/>
      <trackRevisions>false</trackRevisions>
    </reviewItem>
    <reviewItem>
      <errorID>351f9274-1597-4530-adf9-3cee968b092c</errorID>
      <errorWord>III</errorWord>
      <group>L1_Word</group>
      <groupName>字词问题</groupName>
      <ability>L2_Typo</ability>
      <abilityName>字词错误</abilityName>
      <candidateList>
        <item>Ⅲ</item>
      </candidateList>
      <explain/>
      <paraID>371A47E7</paraID>
      <start>31</start>
      <end>34</end>
      <status>unmodified</status>
      <modifiedWord/>
      <trackRevisions>false</trackRevisions>
    </reviewItem>
    <reviewItem>
      <errorID>e0f42051-75eb-4126-8917-37917ad96004</errorID>
      <errorWord>II</errorWord>
      <group>L1_Knowledge</group>
      <groupName>知识性问题</groupName>
      <ability>L2_Knowledge</ability>
      <abilityName>其他知识</abilityName>
      <candidateList>
        <item>Ⅱ</item>
      </candidateList>
      <explain/>
      <paraID>2A6B777B</paraID>
      <start>15</start>
      <end>17</end>
      <status>unmodified</status>
      <modifiedWord/>
      <trackRevisions>false</trackRevisions>
    </reviewItem>
    <reviewItem>
      <errorID>355ca4f6-6d4c-4d84-8af8-b1d16a4ce69e</errorID>
      <errorWord>III</errorWord>
      <group>L1_Knowledge</group>
      <groupName>知识性问题</groupName>
      <ability>L2_Knowledge</ability>
      <abilityName>其他知识</abilityName>
      <candidateList>
        <item>Ⅲ</item>
      </candidateList>
      <explain/>
      <paraID>2A6B777B</paraID>
      <start>18</start>
      <end>21</end>
      <status>unmodified</status>
      <modifiedWord/>
      <trackRevisions>false</trackRevisions>
    </reviewItem>
    <reviewItem>
      <errorID>8f3f723e-9036-4be2-9624-bca47280ef36</errorID>
      <errorWord>III</errorWord>
      <group>L1_Word</group>
      <groupName>字词问题</groupName>
      <ability>L2_Typo</ability>
      <abilityName>字词错误</abilityName>
      <candidateList>
        <item>Ⅲ</item>
      </candidateList>
      <explain/>
      <paraID>2AEE2237</paraID>
      <start>0</start>
      <end>3</end>
      <status>unmodified</status>
      <modifiedWord/>
      <trackRevisions>false</trackRevisions>
    </reviewItem>
    <reviewItem>
      <errorID>d1a3f407-63bc-45a1-804e-8fd6165ad8c3</errorID>
      <errorWord>III</errorWord>
      <group>L1_Word</group>
      <groupName>字词问题</groupName>
      <ability>L2_Typo</ability>
      <abilityName>字词错误</abilityName>
      <candidateList>
        <item>Ⅲ</item>
      </candidateList>
      <explain/>
      <paraID>19950FB9</paraID>
      <start>0</start>
      <end>3</end>
      <status>unmodified</status>
      <modifiedWord/>
      <trackRevisions>false</trackRevisions>
    </reviewItem>
    <reviewItem>
      <errorID>cdf9d647-90b9-440d-b8d5-9fb5f776d248</errorID>
      <errorWord>III</errorWord>
      <group>L1_Word</group>
      <groupName>字词问题</groupName>
      <ability>L2_Typo</ability>
      <abilityName>字词错误</abilityName>
      <candidateList>
        <item>Ⅲ</item>
      </candidateList>
      <explain/>
      <paraID>751ECB12</paraID>
      <start>0</start>
      <end>3</end>
      <status>unmodified</status>
      <modifiedWord/>
      <trackRevisions>false</trackRevisions>
    </reviewItem>
    <reviewItem>
      <errorID>01da9390-68ef-4421-acab-824afea12276</errorID>
      <errorWord>III</errorWord>
      <group>L1_Word</group>
      <groupName>字词问题</groupName>
      <ability>L2_Typo</ability>
      <abilityName>字词错误</abilityName>
      <candidateList>
        <item>Ⅲ</item>
      </candidateList>
      <explain/>
      <paraID>4BE11130</paraID>
      <start>0</start>
      <end>3</end>
      <status>unmodified</status>
      <modifiedWord/>
      <trackRevisions>false</trackRevisions>
    </reviewItem>
    <reviewItem>
      <errorID>be56b903-2f7a-478b-8e2c-ee24da705051</errorID>
      <errorWord>III</errorWord>
      <group>L1_Word</group>
      <groupName>字词问题</groupName>
      <ability>L2_Typo</ability>
      <abilityName>字词错误</abilityName>
      <candidateList>
        <item>Ⅲ</item>
      </candidateList>
      <explain/>
      <paraID>45C0174D</paraID>
      <start>0</start>
      <end>3</end>
      <status>unmodified</status>
      <modifiedWord/>
      <trackRevisions>false</trackRevisions>
    </reviewItem>
    <reviewItem>
      <errorID>767fcd60-b6db-48f7-b134-6d8f5a11e6b7</errorID>
      <errorWord>III</errorWord>
      <group>L1_Word</group>
      <groupName>字词问题</groupName>
      <ability>L2_Typo</ability>
      <abilityName>字词错误</abilityName>
      <candidateList>
        <item>Ⅲ</item>
      </candidateList>
      <explain/>
      <paraID>11D0DDF2</paraID>
      <start>0</start>
      <end>3</end>
      <status>unmodified</status>
      <modifiedWord/>
      <trackRevisions>false</trackRevisions>
    </reviewItem>
    <reviewItem>
      <errorID>4ea29f91-67d6-4d8b-894a-60bcd2522ec1</errorID>
      <errorWord>IV</errorWord>
      <group>L1_Knowledge</group>
      <groupName>知识性问题</groupName>
      <ability>L2_Knowledge</ability>
      <abilityName>其他知识</abilityName>
      <candidateList>
        <item>Ⅳ</item>
      </candidateList>
      <explain/>
      <paraID>5BC9A78F</paraID>
      <start>2</start>
      <end>4</end>
      <status>unmodified</status>
      <modifiedWord/>
      <trackRevisions>false</trackRevisions>
    </reviewItem>
    <reviewItem>
      <errorID>4d434576-a33b-4601-bea7-17d54b1964e8</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492E4E3F</paraID>
      <start>0</start>
      <end>2</end>
      <status>unmodified</status>
      <modifiedWord/>
      <trackRevisions>false</trackRevisions>
    </reviewItem>
    <reviewItem>
      <errorID>25cc136c-86c2-497a-8e08-2894f74121b8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43264B15</paraID>
      <start>0</start>
      <end>2</end>
      <status>unmodified</status>
      <modifiedWord/>
      <trackRevisions>false</trackRevisions>
    </reviewItem>
    <reviewItem>
      <errorID>847ecb76-1f38-4027-8559-b3c93c328b38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44A90B30</paraID>
      <start>0</start>
      <end>2</end>
      <status>unmodified</status>
      <modifiedWord/>
      <trackRevisions>false</trackRevisions>
    </reviewItem>
    <reviewItem>
      <errorID>dd04e0eb-5215-4068-8b7d-1044db14a944</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5695FBA8</paraID>
      <start>0</start>
      <end>2</end>
      <status>unmodified</status>
      <modifiedWord/>
      <trackRevisions>false</trackRevisions>
    </reviewItem>
    <reviewItem>
      <errorID>fbbdfea6-22d3-4af5-a571-5f9e23b6533a</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7F15403B</paraID>
      <start>0</start>
      <end>2</end>
      <status>unmodified</status>
      <modifiedWord/>
      <trackRevisions>false</trackRevisions>
    </reviewItem>
    <reviewItem>
      <errorID>c7e0451c-47d6-421b-bee4-be9b408459a6</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42208974</paraID>
      <start>0</start>
      <end>2</end>
      <status>unmodified</status>
      <modifiedWord/>
      <trackRevisions>false</trackRevisions>
    </reviewItem>
    <reviewItem>
      <errorID>f9b0ce3f-6cca-4154-b065-42765ff5ff6a</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2970AE1A</paraID>
      <start>0</start>
      <end>2</end>
      <status>unmodified</status>
      <modifiedWord/>
      <trackRevisions>false</trackRevisions>
    </reviewItem>
    <reviewItem>
      <errorID>137c105d-5058-46f5-9242-3730d01bd189</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36C47379</paraID>
      <start>0</start>
      <end>2</end>
      <status>unmodified</status>
      <modifiedWord/>
      <trackRevisions>false</trackRevisions>
    </reviewItem>
    <reviewItem>
      <errorID>50580f3e-0285-40a9-ab19-f80e007f0f20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A6741A1</paraID>
      <start>4</start>
      <end>5</end>
      <status>unmodified</status>
      <modifiedWord/>
      <trackRevisions>false</trackRevisions>
    </reviewItem>
    <reviewItem>
      <errorID>a97ffebd-0746-422c-b966-b5912913ebbf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709C2C9F</paraID>
      <start>4</start>
      <end>5</end>
      <status>unmodified</status>
      <modifiedWord/>
      <trackRevisions>false</trackRevisions>
    </reviewItem>
    <reviewItem>
      <errorID>74fb3083-4137-41dd-ba08-0dd028a53687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744F8114</paraID>
      <start>4</start>
      <end>5</end>
      <status>unmodified</status>
      <modifiedWord/>
      <trackRevisions>false</trackRevisions>
    </reviewItem>
    <reviewItem>
      <errorID>2e517c52-67c6-4df6-a8dc-2fce1eb65a78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744F8114</paraID>
      <start>133</start>
      <end>134</end>
      <status>unmodified</status>
      <modifiedWord/>
      <trackRevisions>false</trackRevisions>
    </reviewItem>
    <reviewItem>
      <errorID>bdd36755-0fb5-448f-ae41-a9279f154503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6AB65F82</paraID>
      <start>60</start>
      <end>61</end>
      <status>unmodified</status>
      <modifiedWord/>
      <trackRevisions>false</trackRevisions>
    </reviewItem>
    <reviewItem>
      <errorID>b7c9df07-5208-446f-9f59-711b72c6d7d8</errorID>
      <errorWord>（</errorWord>
      <group>L1_Format</group>
      <groupName>格式问题</groupName>
      <ability>L2_HalfPunc_CN</ability>
      <abilityName/>
      <candidateList>
        <item>(</item>
      </candidateList>
      <explain>文本全半角错误。</explain>
      <paraID> ADF8FF9</paraID>
      <start>0</start>
      <end>1</end>
      <status>unmodified</status>
      <modifiedWord/>
      <trackRevisions>false</trackRevisions>
    </reviewItem>
    <reviewItem>
      <errorID>494384b7-764f-4901-8d5f-1a1701d507e5</errorID>
      <errorWord>）</errorWord>
      <group>L1_Format</group>
      <groupName>格式问题</groupName>
      <ability>L2_HalfPunc_CN</ability>
      <abilityName/>
      <candidateList>
        <item>)</item>
      </candidateList>
      <explain>文本全半角错误。</explain>
      <paraID> ADF8FF9</paraID>
      <start>3</start>
      <end>4</end>
      <status>unmodified</status>
      <modifiedWord/>
      <trackRevisions>false</trackRevisions>
    </reviewItem>
    <reviewItem>
      <errorID>5b2395f7-7abe-4b26-87a5-5f0a500a4980</errorID>
      <errorWord>（</errorWord>
      <group>L1_Format</group>
      <groupName>格式问题</groupName>
      <ability>L2_HalfPunc_CN</ability>
      <abilityName/>
      <candidateList>
        <item>(</item>
      </candidateList>
      <explain>文本全半角错误。</explain>
      <paraID>5099A4D5</paraID>
      <start>1</start>
      <end>2</end>
      <status>unmodified</status>
      <modifiedWord/>
      <trackRevisions>false</trackRevisions>
    </reviewItem>
    <reviewItem>
      <errorID>58b3449b-eb59-4546-b311-64da7f2c735d</errorID>
      <errorWord>）</errorWord>
      <group>L1_Format</group>
      <groupName>格式问题</groupName>
      <ability>L2_HalfPunc_CN</ability>
      <abilityName/>
      <candidateList>
        <item>)</item>
      </candidateList>
      <explain>文本全半角错误。</explain>
      <paraID>5099A4D5</paraID>
      <start>3</start>
      <end>4</end>
      <status>unmodified</status>
      <modifiedWord/>
      <trackRevisions>false</trackRevisions>
    </reviewItem>
    <reviewItem>
      <errorID>4f47950f-ca1b-4d7e-ba07-15ea851c4ae8</errorID>
      <errorWord>（</errorWord>
      <group>L1_Format</group>
      <groupName>格式问题</groupName>
      <ability>L2_HalfPunc_CN</ability>
      <abilityName/>
      <candidateList>
        <item>(</item>
      </candidateList>
      <explain>文本全半角错误。</explain>
      <paraID>3B99E8C9</paraID>
      <start>1</start>
      <end>2</end>
      <status>unmodified</status>
      <modifiedWord/>
      <trackRevisions>false</trackRevisions>
    </reviewItem>
    <reviewItem>
      <errorID>e822e8f6-8051-4568-9afa-3586eae4e3aa</errorID>
      <errorWord>）</errorWord>
      <group>L1_Format</group>
      <groupName>格式问题</groupName>
      <ability>L2_HalfPunc_CN</ability>
      <abilityName/>
      <candidateList>
        <item>)</item>
      </candidateList>
      <explain>文本全半角错误。</explain>
      <paraID>3B99E8C9</paraID>
      <start>4</start>
      <end>5</end>
      <status>unmodified</status>
      <modifiedWord/>
      <trackRevisions>false</trackRevisions>
    </reviewItem>
    <reviewItem>
      <errorID>342c971d-62ea-4d56-8a14-b8cd7cfaa0ef</errorID>
      <errorWord>进风</errorWord>
      <group>L1_Word</group>
      <groupName>字词问题</groupName>
      <ability>L2_Typo</ability>
      <abilityName>字词错误</abilityName>
      <candidateList>
        <item>通风</item>
      </candidateList>
      <explain/>
      <paraID>1491CF87</paraID>
      <start>61</start>
      <end>63</end>
      <status>unmodified</status>
      <modifiedWord/>
      <trackRevisions>false</trackRevisions>
    </reviewItem>
    <reviewItem>
      <errorID>cb70b648-ac05-42a8-8364-c6248ac0b0dc</errorID>
      <errorWord>程</errorWord>
      <group>L1_Word</group>
      <groupName>字词问题</groupName>
      <ability>L2_Typo</ability>
      <abilityName>字词错误</abilityName>
      <candidateList>
        <item>程中</item>
      </candidateList>
      <explain/>
      <paraID> 70CF5EC</paraID>
      <start>27</start>
      <end>28</end>
      <status>unmodified</status>
      <modifiedWord/>
      <trackRevisions>false</trackRevisions>
    </reviewItem>
    <reviewItem>
      <errorID>2aa1a16f-a30e-4c83-8739-33ab6e1442b7</errorID>
      <errorWord>(</errorWord>
      <group>L1_Format</group>
      <groupName>格式问题</groupName>
      <ability>L2_HalfPunc_CN</ability>
      <abilityName/>
      <candidateList>
        <item>（</item>
      </candidateList>
      <explain>文本全半角错误。</explain>
      <paraID>79EFC17C</paraID>
      <start>21</start>
      <end>22</end>
      <status>unmodified</status>
      <modifiedWord/>
      <trackRevisions>false</trackRevisions>
    </reviewItem>
    <reviewItem>
      <errorID>7fc0416f-1086-469d-a021-8a473585c29f</errorID>
      <errorWord>)</errorWord>
      <group>L1_Format</group>
      <groupName>格式问题</groupName>
      <ability>L2_HalfPunc_CN</ability>
      <abilityName/>
      <candidateList>
        <item>）</item>
      </candidateList>
      <explain>文本全半角错误。</explain>
      <paraID>79EFC17C</paraID>
      <start>26</start>
      <end>27</end>
      <status>unmodified</status>
      <modifiedWord/>
      <trackRevisions>false</trackRevisions>
    </reviewItem>
    <reviewItem>
      <errorID>03cd9bf2-c7a1-41f4-8dbc-6673c633a138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1F7C786A</paraID>
      <start>4</start>
      <end>5</end>
      <status>unmodified</status>
      <modifiedWord/>
      <trackRevisions>false</trackRevisions>
    </reviewItem>
    <reviewItem>
      <errorID>07dd37f5-d2f9-4a05-8a95-2c49c3a5c3c6</errorID>
      <errorWord>(</errorWord>
      <group>L1_Format</group>
      <groupName>格式问题</groupName>
      <ability>L2_HalfPunc_CN</ability>
      <abilityName/>
      <candidateList>
        <item>（</item>
      </candidateList>
      <explain>文本全半角错误。</explain>
      <paraID>47B07D39</paraID>
      <start>5</start>
      <end>6</end>
      <status>unmodified</status>
      <modifiedWord/>
      <trackRevisions>false</trackRevisions>
    </reviewItem>
    <reviewItem>
      <errorID>c696d89c-ad2b-4373-8733-920287d2ccad</errorID>
      <errorWord>-</errorWord>
      <group>L1_Format</group>
      <groupName>格式问题</groupName>
      <ability>L2_HalfPunc_CN</ability>
      <abilityName/>
      <candidateList>
        <item>－</item>
      </candidateList>
      <explain>文本全半角错误。</explain>
      <paraID>3B428E2D</paraID>
      <start>16</start>
      <end>17</end>
      <status>unmodified</status>
      <modifiedWord/>
      <trackRevisions>false</trackRevisions>
    </reviewItem>
    <reviewItem>
      <errorID>b6f78e6b-d183-41a7-9018-1ef9333ea8e3</errorID>
      <errorWord>-</errorWord>
      <group>L1_Format</group>
      <groupName>格式问题</groupName>
      <ability>L2_HalfPunc_CN</ability>
      <abilityName/>
      <candidateList>
        <item>－</item>
      </candidateList>
      <explain>文本全半角错误。</explain>
      <paraID>5BE97670</paraID>
      <start>23</start>
      <end>24</end>
      <status>unmodified</status>
      <modifiedWord/>
      <trackRevisions>false</trackRevisions>
    </reviewItem>
    <reviewItem>
      <errorID>c8f10dd6-3006-4068-80f7-adcef3f12a77</errorID>
      <errorWord>,</errorWord>
      <group>L1_Format</group>
      <groupName>格式问题</groupName>
      <ability>L2_HalfPunc_CN</ability>
      <abilityName/>
      <candidateList>
        <item>，</item>
      </candidateList>
      <explain>文本全半角错误。</explain>
      <paraID>5BE97670</paraID>
      <start>75</start>
      <end>76</end>
      <status>unmodified</status>
      <modifiedWord/>
      <trackRevisions>false</trackRevisions>
    </reviewItem>
    <reviewItem>
      <errorID>4f242c2b-c7c9-4af3-bfab-c2f76d5c1e15</errorID>
      <errorWord>,</errorWord>
      <group>L1_Format</group>
      <groupName>格式问题</groupName>
      <ability>L2_HalfPunc_CN</ability>
      <abilityName/>
      <candidateList>
        <item>，</item>
      </candidateList>
      <explain>文本全半角错误。</explain>
      <paraID>35021722</paraID>
      <start>24</start>
      <end>25</end>
      <status>unmodified</status>
      <modifiedWord/>
      <trackRevisions>false</trackRevisions>
    </reviewItem>
    <reviewItem>
      <errorID>9ca84087-f0bf-4582-af09-ceb1fddb8d03</errorID>
      <errorWord>-</errorWord>
      <group>L1_Format</group>
      <groupName>格式问题</groupName>
      <ability>L2_HalfPunc_CN</ability>
      <abilityName/>
      <candidateList>
        <item>－</item>
      </candidateList>
      <explain>文本全半角错误。</explain>
      <paraID> 8A46578</paraID>
      <start>31</start>
      <end>32</end>
      <status>unmodified</status>
      <modifiedWord/>
      <trackRevisions>false</trackRevisions>
    </reviewItem>
    <reviewItem>
      <errorID>baf4df8c-4145-4449-9d5e-04eb1808cacd</errorID>
      <errorWord>-</errorWord>
      <group>L1_Format</group>
      <groupName>格式问题</groupName>
      <ability>L2_HalfPunc_CN</ability>
      <abilityName/>
      <candidateList>
        <item>－</item>
      </candidateList>
      <explain>文本全半角错误。</explain>
      <paraID>68AB6E35</paraID>
      <start>33</start>
      <end>34</end>
      <status>unmodified</status>
      <modifiedWord/>
      <trackRevisions>false</trackRevisions>
    </reviewItem>
    <reviewItem>
      <errorID>be83bc8b-8746-4cbd-9983-91877d4f0f61</errorID>
      <errorWord>-</errorWord>
      <group>L1_Format</group>
      <groupName>格式问题</groupName>
      <ability>L2_HalfPunc_CN</ability>
      <abilityName/>
      <candidateList>
        <item>－</item>
      </candidateList>
      <explain>文本全半角错误。</explain>
      <paraID>68AB6E35</paraID>
      <start>38</start>
      <end>39</end>
      <status>unmodified</status>
      <modifiedWord/>
      <trackRevisions>false</trackRevisions>
    </reviewItem>
    <reviewItem>
      <errorID>6ec3de93-9460-4060-9071-af3159f55dff</errorID>
      <errorWord>-</errorWord>
      <group>L1_Format</group>
      <groupName>格式问题</groupName>
      <ability>L2_HalfPunc_CN</ability>
      <abilityName/>
      <candidateList>
        <item>－</item>
      </candidateList>
      <explain>文本全半角错误。</explain>
      <paraID>5406ECA6</paraID>
      <start>3</start>
      <end>4</end>
      <status>unmodified</status>
      <modifiedWord/>
      <trackRevisions>false</trackRevisions>
    </reviewItem>
    <reviewItem>
      <errorID>4ca581b6-1a32-4953-847f-22e6943753b5</errorID>
      <errorWord>-</errorWord>
      <group>L1_Format</group>
      <groupName>格式问题</groupName>
      <ability>L2_HalfPunc_CN</ability>
      <abilityName/>
      <candidateList>
        <item>－</item>
      </candidateList>
      <explain>文本全半角错误。</explain>
      <paraID>5406ECA6</paraID>
      <start>27</start>
      <end>28</end>
      <status>unmodified</status>
      <modifiedWord/>
      <trackRevisions>false</trackRevisions>
    </reviewItem>
    <reviewItem>
      <errorID>771079ca-bd31-4635-912e-77b725ec63cb</errorID>
      <errorWord>（</errorWord>
      <group>L1_Format</group>
      <groupName>格式问题</groupName>
      <ability>L2_HalfPunc_CN</ability>
      <abilityName/>
      <candidateList>
        <item>(</item>
      </candidateList>
      <explain>文本全半角错误。</explain>
      <paraID>4C19AF1E</paraID>
      <start>0</start>
      <end>1</end>
      <status>unmodified</status>
      <modifiedWord/>
      <trackRevisions>false</trackRevisions>
    </reviewItem>
    <reviewItem>
      <errorID>bb401c92-4146-4303-9e93-47f3b0ace122</errorID>
      <errorWord>）</errorWord>
      <group>L1_Format</group>
      <groupName>格式问题</groupName>
      <ability>L2_HalfPunc_CN</ability>
      <abilityName/>
      <candidateList>
        <item>)</item>
      </candidateList>
      <explain>文本全半角错误。</explain>
      <paraID>4C19AF1E</paraID>
      <start>3</start>
      <end>4</end>
      <status>unmodified</status>
      <modifiedWord/>
      <trackRevisions>false</trackRevisions>
    </reviewItem>
    <reviewItem>
      <errorID>3cecc0dc-3846-4179-9551-681f99292858</errorID>
      <errorWord>，</errorWord>
      <group>L1_Format</group>
      <groupName>格式问题</groupName>
      <ability>L2_HalfPunc_CN</ability>
      <abilityName/>
      <candidateList>
        <item>,</item>
      </candidateList>
      <explain>文本全半角错误。</explain>
      <paraID>69C9E91D</paraID>
      <start>9</start>
      <end>10</end>
      <status>unmodified</status>
      <modifiedWord/>
      <trackRevisions>false</trackRevisions>
    </reviewItem>
    <reviewItem>
      <errorID>99330bbf-ef66-40df-bd94-bc61178a5c16</errorID>
      <errorWord>配带</errorWord>
      <group>L1_Word</group>
      <groupName>字词问题</groupName>
      <ability>L2_Alias</ability>
      <abilityName>也作/曾用词</abilityName>
      <candidateList>
        <item>佩戴</item>
      </candidateList>
      <explain>词汇[配带]为不规范表述或旧称，其规范书面表述为[佩戴]。</explain>
      <paraID>2FAD0271</paraID>
      <start>118</start>
      <end>120</end>
      <status>unmodified</status>
      <modifiedWord/>
      <trackRevisions>false</trackRevisions>
    </reviewItem>
    <reviewItem>
      <errorID>61a9a0c4-d510-423c-bca1-0a1cbe5ab0ad</errorID>
      <errorWord>-</errorWord>
      <group>L1_Format</group>
      <groupName>格式问题</groupName>
      <ability>L2_HalfPunc_CN</ability>
      <abilityName/>
      <candidateList>
        <item>－</item>
      </candidateList>
      <explain>文本全半角错误。</explain>
      <paraID>66E60C5C</paraID>
      <start>11</start>
      <end>12</end>
      <status>unmodified</status>
      <modifiedWord/>
      <trackRevisions>false</trackRevisions>
    </reviewItem>
    <reviewItem>
      <errorID>2ccbc702-2532-4e89-b1ed-e6a360062e74</errorID>
      <errorWord>期未</errorWord>
      <group>L1_Word</group>
      <groupName>字词问题</groupName>
      <ability>L2_Variant</ability>
      <abilityName>异形词</abilityName>
      <candidateList>
        <item>期末</item>
      </candidateList>
      <explain>词汇[期未]的规范词形写作[期末]。</explain>
      <paraID>5620B994</paraID>
      <start>76</start>
      <end>78</end>
      <status>unmodified</status>
      <modifiedWord/>
      <trackRevisions>false</trackRevisions>
    </reviewItem>
    <reviewItem>
      <errorID>741d55af-88f5-478b-ac90-da1fbcb4c66f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2C95A281</paraID>
      <start>4</start>
      <end>5</end>
      <status>unmodified</status>
      <modifiedWord/>
      <trackRevisions>false</trackRevisions>
    </reviewItem>
    <reviewItem>
      <errorID>81e4397b-7cdb-4278-a14a-6f8fdcca9884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2C95A281</paraID>
      <start>29</start>
      <end>30</end>
      <status>unmodified</status>
      <modifiedWord/>
      <trackRevisions>false</trackRevisions>
    </reviewItem>
    <reviewItem>
      <errorID>e213ef5f-a864-4b0c-a271-d8bba2be7167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2016E755</paraID>
      <start>27</start>
      <end>34</end>
      <status>unmodified</status>
      <modifiedWord/>
      <trackRevisions>false</trackRevisions>
    </reviewItem>
    <reviewItem>
      <errorID>3290e2ab-fd6d-4ef1-8632-892deaba6777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4034C69</paraID>
      <start>65</start>
      <end>66</end>
      <status>unmodified</status>
      <modifiedWord/>
      <trackRevisions>false</trackRevisions>
    </reviewItem>
    <reviewItem>
      <errorID>86e7e3f2-f83e-4f96-a443-5ca1308be1f9</errorID>
      <errorWord>配带</errorWord>
      <group>L1_Word</group>
      <groupName>字词问题</groupName>
      <ability>L2_Alias</ability>
      <abilityName>也作/曾用词</abilityName>
      <candidateList>
        <item>佩戴</item>
      </candidateList>
      <explain>词汇[配带]为不规范表述或旧称，其规范书面表述为[佩戴]。</explain>
      <paraID>4A43DCA0</paraID>
      <start>154</start>
      <end>156</end>
      <status>unmodified</status>
      <modifiedWord/>
      <trackRevisions>false</trackRevisions>
    </reviewItem>
    <reviewItem>
      <errorID>13fe6ece-6bb2-4ec5-bb76-646ca27ba5e7</errorID>
      <errorWord>配带</errorWord>
      <group>L1_Word</group>
      <groupName>字词问题</groupName>
      <ability>L2_Alias</ability>
      <abilityName>也作/曾用词</abilityName>
      <candidateList>
        <item>佩戴</item>
      </candidateList>
      <explain>词汇[配带]为不规范表述或旧称，其规范书面表述为[佩戴]。</explain>
      <paraID>2AA6833D</paraID>
      <start>154</start>
      <end>156</end>
      <status>unmodified</status>
      <modifiedWord/>
      <trackRevisions>false</trackRevisions>
    </reviewItem>
    <reviewItem>
      <errorID>687f4198-feaf-4d76-bef9-4510c3efac47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42150A09</paraID>
      <start>20</start>
      <end>21</end>
      <status>unmodified</status>
      <modifiedWord/>
      <trackRevisions>false</trackRevisions>
    </reviewItem>
    <reviewItem>
      <errorID>d2218041-c5f6-4766-907f-09c525500cd2</errorID>
      <errorWord>配带</errorWord>
      <group>L1_Word</group>
      <groupName>字词问题</groupName>
      <ability>L2_Alias</ability>
      <abilityName>也作/曾用词</abilityName>
      <candidateList>
        <item>佩戴</item>
      </candidateList>
      <explain>词汇[配带]为不规范表述或旧称，其规范书面表述为[佩戴]。</explain>
      <paraID>5903B25B</paraID>
      <start>224</start>
      <end>226</end>
      <status>unmodified</status>
      <modifiedWord/>
      <trackRevisions>false</trackRevisions>
    </reviewItem>
    <reviewItem>
      <errorID>7df8a316-a63c-4613-99d6-d14ab9d49415</errorID>
      <errorWord>（</errorWord>
      <group>L1_Format</group>
      <groupName>格式问题</groupName>
      <ability>L2_HalfPunc_CN</ability>
      <abilityName/>
      <candidateList>
        <item>(</item>
      </candidateList>
      <explain>文本全半角错误。</explain>
      <paraID> 9B4A0DB</paraID>
      <start>0</start>
      <end>1</end>
      <status>unmodified</status>
      <modifiedWord/>
      <trackRevisions>false</trackRevisions>
    </reviewItem>
    <reviewItem>
      <errorID>a90b9dac-a746-4566-a6ea-d456f4b44d2b</errorID>
      <errorWord>）</errorWord>
      <group>L1_Format</group>
      <groupName>格式问题</groupName>
      <ability>L2_HalfPunc_CN</ability>
      <abilityName/>
      <candidateList>
        <item>)</item>
      </candidateList>
      <explain>文本全半角错误。</explain>
      <paraID> 9B4A0DB</paraID>
      <start>3</start>
      <end>4</end>
      <status>unmodified</status>
      <modifiedWord/>
      <trackRevisions>false</trackRevisions>
    </reviewItem>
    <reviewItem>
      <errorID>a608107b-6ea7-4da6-b63a-b2f1e922cade</errorID>
      <errorWord>（</errorWord>
      <group>L1_Format</group>
      <groupName>格式问题</groupName>
      <ability>L2_HalfPunc_CN</ability>
      <abilityName/>
      <candidateList>
        <item>(</item>
      </candidateList>
      <explain>文本全半角错误。</explain>
      <paraID>4F2F2D7C</paraID>
      <start>1</start>
      <end>2</end>
      <status>unmodified</status>
      <modifiedWord/>
      <trackRevisions>false</trackRevisions>
    </reviewItem>
    <reviewItem>
      <errorID>cddda5e2-1fd0-4c8d-a781-f8a67265d15e</errorID>
      <errorWord>）</errorWord>
      <group>L1_Format</group>
      <groupName>格式问题</groupName>
      <ability>L2_HalfPunc_CN</ability>
      <abilityName/>
      <candidateList>
        <item>)</item>
      </candidateList>
      <explain>文本全半角错误。</explain>
      <paraID>4F2F2D7C</paraID>
      <start>3</start>
      <end>4</end>
      <status>unmodified</status>
      <modifiedWord/>
      <trackRevisions>false</trackRevisions>
    </reviewItem>
    <reviewItem>
      <errorID>593917f6-801c-428a-9695-59e79328de51</errorID>
      <errorWord>（</errorWord>
      <group>L1_Format</group>
      <groupName>格式问题</groupName>
      <ability>L2_HalfPunc_CN</ability>
      <abilityName/>
      <candidateList>
        <item>(</item>
      </candidateList>
      <explain>文本全半角错误。</explain>
      <paraID>452F4D5E</paraID>
      <start>1</start>
      <end>2</end>
      <status>unmodified</status>
      <modifiedWord/>
      <trackRevisions>false</trackRevisions>
    </reviewItem>
    <reviewItem>
      <errorID>50f885b8-b682-40d0-9fab-3c6d03bd4275</errorID>
      <errorWord>）</errorWord>
      <group>L1_Format</group>
      <groupName>格式问题</groupName>
      <ability>L2_HalfPunc_CN</ability>
      <abilityName/>
      <candidateList>
        <item>)</item>
      </candidateList>
      <explain>文本全半角错误。</explain>
      <paraID>452F4D5E</paraID>
      <start>4</start>
      <end>5</end>
      <status>unmodified</status>
      <modifiedWord/>
      <trackRevisions>false</trackRevisions>
    </reviewItem>
    <reviewItem>
      <errorID>e29076d0-9522-4bfd-a9f5-41af62c8be58</errorID>
      <errorWord>（</errorWord>
      <group>L1_Format</group>
      <groupName>格式问题</groupName>
      <ability>L2_HalfPunc_CN</ability>
      <abilityName/>
      <candidateList>
        <item>(</item>
      </candidateList>
      <explain>文本全半角错误。</explain>
      <paraID>5F2C6E3F</paraID>
      <start>0</start>
      <end>1</end>
      <status>unmodified</status>
      <modifiedWord/>
      <trackRevisions>false</trackRevisions>
    </reviewItem>
    <reviewItem>
      <errorID>20276e56-d8c0-45a7-9f16-7415571001ce</errorID>
      <errorWord>）</errorWord>
      <group>L1_Format</group>
      <groupName>格式问题</groupName>
      <ability>L2_HalfPunc_CN</ability>
      <abilityName/>
      <candidateList>
        <item>)</item>
      </candidateList>
      <explain>文本全半角错误。</explain>
      <paraID>5F2C6E3F</paraID>
      <start>3</start>
      <end>4</end>
      <status>unmodified</status>
      <modifiedWord/>
      <trackRevisions>false</trackRevisions>
    </reviewItem>
    <reviewItem>
      <errorID>9dd7d4c7-8521-4cb7-bc1f-030d9a1bb4bb</errorID>
      <errorWord>（</errorWord>
      <group>L1_Format</group>
      <groupName>格式问题</groupName>
      <ability>L2_HalfPunc_CN</ability>
      <abilityName/>
      <candidateList>
        <item>(</item>
      </candidateList>
      <explain>文本全半角错误。</explain>
      <paraID>11099FB1</paraID>
      <start>1</start>
      <end>2</end>
      <status>unmodified</status>
      <modifiedWord/>
      <trackRevisions>false</trackRevisions>
    </reviewItem>
    <reviewItem>
      <errorID>3890e4f8-ac37-4c22-922b-a32c133736c7</errorID>
      <errorWord>）</errorWord>
      <group>L1_Format</group>
      <groupName>格式问题</groupName>
      <ability>L2_HalfPunc_CN</ability>
      <abilityName/>
      <candidateList>
        <item>)</item>
      </candidateList>
      <explain>文本全半角错误。</explain>
      <paraID>11099FB1</paraID>
      <start>3</start>
      <end>4</end>
      <status>unmodified</status>
      <modifiedWord/>
      <trackRevisions>false</trackRevisions>
    </reviewItem>
    <reviewItem>
      <errorID>db96b590-ca2d-4449-803b-42832a5b4524</errorID>
      <errorWord>（</errorWord>
      <group>L1_Format</group>
      <groupName>格式问题</groupName>
      <ability>L2_HalfPunc_CN</ability>
      <abilityName/>
      <candidateList>
        <item>(</item>
      </candidateList>
      <explain>文本全半角错误。</explain>
      <paraID>6D857AAE</paraID>
      <start>1</start>
      <end>2</end>
      <status>unmodified</status>
      <modifiedWord/>
      <trackRevisions>false</trackRevisions>
    </reviewItem>
    <reviewItem>
      <errorID>19a647c0-ba0a-45b5-9f68-c96ad23996b0</errorID>
      <errorWord>）</errorWord>
      <group>L1_Format</group>
      <groupName>格式问题</groupName>
      <ability>L2_HalfPunc_CN</ability>
      <abilityName/>
      <candidateList>
        <item>)</item>
      </candidateList>
      <explain>文本全半角错误。</explain>
      <paraID>6D857AAE</paraID>
      <start>4</start>
      <end>5</end>
      <status>unmodified</status>
      <modifiedWord/>
      <trackRevisions>false</trackRevisions>
    </reviewItem>
    <reviewItem>
      <errorID>f2db6e30-eeef-4db6-9c48-dc4f5b1b95ac</errorID>
      <errorWord>配带</errorWord>
      <group>L1_Word</group>
      <groupName>字词问题</groupName>
      <ability>L2_Alias</ability>
      <abilityName>也作/曾用词</abilityName>
      <candidateList>
        <item>佩戴</item>
      </candidateList>
      <explain>词汇[配带]为不规范表述或旧称，其规范书面表述为[佩戴]。</explain>
      <paraID> E1C0E1A</paraID>
      <start>78</start>
      <end>80</end>
      <status>unmodified</status>
      <modifiedWord/>
      <trackRevisions>false</trackRevisions>
    </reviewItem>
    <reviewItem>
      <errorID>7c78c3d6-5a2c-485e-95fc-14cf25302a74</errorID>
      <errorWord>配带</errorWord>
      <group>L1_Word</group>
      <groupName>字词问题</groupName>
      <ability>L2_Alias</ability>
      <abilityName>也作/曾用词</abilityName>
      <candidateList>
        <item>佩戴</item>
      </candidateList>
      <explain>词汇[配带]为不规范表述或旧称，其规范书面表述为[佩戴]。</explain>
      <paraID> E1C0E1A</paraID>
      <start>188</start>
      <end>190</end>
      <status>unmodified</status>
      <modifiedWord/>
      <trackRevisions>false</trackRevisions>
    </reviewItem>
    <reviewItem>
      <errorID>ab7e3c07-ec24-4ff8-af48-339e07447bf2</errorID>
      <errorWord>（</errorWord>
      <group>L1_Format</group>
      <groupName>格式问题</groupName>
      <ability>L2_HalfPunc_CN</ability>
      <abilityName/>
      <candidateList>
        <item>(</item>
      </candidateList>
      <explain>文本全半角错误。</explain>
      <paraID>44FC25F7</paraID>
      <start>0</start>
      <end>1</end>
      <status>unmodified</status>
      <modifiedWord/>
      <trackRevisions>false</trackRevisions>
    </reviewItem>
    <reviewItem>
      <errorID>0cbb3f1a-bac3-42f0-b0ee-a06aeb34b154</errorID>
      <errorWord>）</errorWord>
      <group>L1_Format</group>
      <groupName>格式问题</groupName>
      <ability>L2_HalfPunc_CN</ability>
      <abilityName/>
      <candidateList>
        <item>)</item>
      </candidateList>
      <explain>文本全半角错误。</explain>
      <paraID>44FC25F7</paraID>
      <start>6</start>
      <end>7</end>
      <status>unmodified</status>
      <modifiedWord/>
      <trackRevisions>false</trackRevisions>
    </reviewItem>
    <reviewItem>
      <errorID>d455f726-1fdc-4394-9552-e8deed1c3cd7</errorID>
      <errorWord>（</errorWord>
      <group>L1_Format</group>
      <groupName>格式问题</groupName>
      <ability>L2_HalfPunc_CN</ability>
      <abilityName/>
      <candidateList>
        <item>(</item>
      </candidateList>
      <explain>文本全半角错误。</explain>
      <paraID> 392D5CA</paraID>
      <start>0</start>
      <end>1</end>
      <status>unmodified</status>
      <modifiedWord/>
      <trackRevisions>false</trackRevisions>
    </reviewItem>
    <reviewItem>
      <errorID>ae3be722-00ba-4e04-ac8e-eace4f7a81e8</errorID>
      <errorWord>）</errorWord>
      <group>L1_Format</group>
      <groupName>格式问题</groupName>
      <ability>L2_HalfPunc_CN</ability>
      <abilityName/>
      <candidateList>
        <item>)</item>
      </candidateList>
      <explain>文本全半角错误。</explain>
      <paraID> 392D5CA</paraID>
      <start>6</start>
      <end>7</end>
      <status>unmodified</status>
      <modifiedWord/>
      <trackRevisions>false</trackRevisions>
    </reviewItem>
    <reviewItem>
      <errorID>43bcaada-bee1-4e4b-87e4-5643192783ec</errorID>
      <errorWord>,</errorWord>
      <group>L1_Format</group>
      <groupName>格式问题</groupName>
      <ability>L2_HalfPunc_CN</ability>
      <abilityName/>
      <candidateList>
        <item>，</item>
      </candidateList>
      <explain>文本全半角错误。</explain>
      <paraID>1CF05B5A</paraID>
      <start>210</start>
      <end>211</end>
      <status>unmodified</status>
      <modifiedWord/>
      <trackRevisions>false</trackRevisions>
    </reviewItem>
    <reviewItem>
      <errorID>5bc1f3ef-4b46-4636-b9d6-e8d2502351b3</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19FEBFB0</paraID>
      <start>0</start>
      <end>2</end>
      <status>unmodified</status>
      <modifiedWord/>
      <trackRevisions>false</trackRevisions>
    </reviewItem>
    <reviewItem>
      <errorID>bde0aa1e-c41f-4fcb-add6-9cfa3ae74821</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7BD6D972</paraID>
      <start>0</start>
      <end>2</end>
      <status>unmodified</status>
      <modifiedWord/>
      <trackRevisions>false</trackRevisions>
    </reviewItem>
    <reviewItem>
      <errorID>213debe0-d17a-4fbb-bc88-08d6dd48d8e3</errorID>
      <errorWord>程</errorWord>
      <group>L1_Word</group>
      <groupName>字词问题</groupName>
      <ability>L2_Typo</ability>
      <abilityName>字词错误</abilityName>
      <candidateList>
        <item>程中</item>
      </candidateList>
      <explain/>
      <paraID>691531C5</paraID>
      <start>55</start>
      <end>56</end>
      <status>unmodified</status>
      <modifiedWord/>
      <trackRevisions>false</trackRevisions>
    </reviewItem>
    <reviewItem>
      <errorID>10fee647-243f-4a8b-a5db-3fe4be189976</errorID>
      <errorWord>程</errorWord>
      <group>L1_Word</group>
      <groupName>字词问题</groupName>
      <ability>L2_Typo</ability>
      <abilityName>字词错误</abilityName>
      <candidateList>
        <item>程中</item>
      </candidateList>
      <explain/>
      <paraID>1B611D91</paraID>
      <start>34</start>
      <end>35</end>
      <status>unmodified</status>
      <modifiedWord/>
      <trackRevisions>false</trackRevisions>
    </reviewItem>
    <reviewItem>
      <errorID>c3963d00-594e-4aea-b74b-afc447656b64</errorID>
      <errorWord>程</errorWord>
      <group>L1_Word</group>
      <groupName>字词问题</groupName>
      <ability>L2_Typo</ability>
      <abilityName>字词错误</abilityName>
      <candidateList>
        <item>程中</item>
      </candidateList>
      <explain/>
      <paraID>51B4A842</paraID>
      <start>20</start>
      <end>21</end>
      <status>unmodified</status>
      <modifiedWord/>
      <trackRevisions>false</trackRevisions>
    </reviewItem>
    <reviewItem>
      <errorID>36355fdd-fbf9-4e9d-b73b-5c696d543657</errorID>
      <errorWord>程</errorWord>
      <group>L1_Word</group>
      <groupName>字词问题</groupName>
      <ability>L2_Typo</ability>
      <abilityName>字词错误</abilityName>
      <candidateList>
        <item>程中</item>
      </candidateList>
      <explain/>
      <paraID>51B4A842</paraID>
      <start>44</start>
      <end>45</end>
      <status>unmodified</status>
      <modifiedWord/>
      <trackRevisions>false</trackRevisions>
    </reviewItem>
    <reviewItem>
      <errorID>6f1eb35d-27f5-4b88-a959-3df471eb68fa</errorID>
      <errorWord>&lt;</errorWord>
      <group>L1_Format</group>
      <groupName>格式问题</groupName>
      <ability>L2_HalfPunc_CN</ability>
      <abilityName/>
      <candidateList>
        <item>〈</item>
      </candidateList>
      <explain>文本全半角错误。</explain>
      <paraID>2D802FAB</paraID>
      <start>136</start>
      <end>137</end>
      <status>unmodified</status>
      <modifiedWord/>
      <trackRevisions>false</trackRevisions>
    </reviewItem>
    <reviewItem>
      <errorID>e07081f2-ca3b-4095-93cf-c26c878b7feb</errorID>
      <errorWord>.</errorWord>
      <group>L1_Format</group>
      <groupName>格式问题</groupName>
      <ability>L2_HalfPunc_CN</ability>
      <abilityName/>
      <candidateList>
        <item>。</item>
      </candidateList>
      <explain>文本全半角错误。</explain>
      <paraID>2D802FAB</paraID>
      <start>144</start>
      <end>145</end>
      <status>unmodified</status>
      <modifiedWord/>
      <trackRevisions>false</trackRevisions>
    </reviewItem>
    <reviewItem>
      <errorID>a5d52c5c-22b2-4a1a-83b8-61f47371bad5</errorID>
      <errorWord>.</errorWord>
      <group>L1_Format</group>
      <groupName>格式问题</groupName>
      <ability>L2_HalfPunc_CN</ability>
      <abilityName/>
      <candidateList>
        <item>。</item>
      </candidateList>
      <explain>文本全半角错误。</explain>
      <paraID>2D802FAB</paraID>
      <start>163</start>
      <end>164</end>
      <status>unmodified</status>
      <modifiedWord/>
      <trackRevisions>false</trackRevisions>
    </reviewItem>
    <reviewItem>
      <errorID>10d68572-aeb5-47d9-a655-c5670bd5f8d6</errorID>
      <errorWord>&gt;</errorWord>
      <group>L1_Format</group>
      <groupName>格式问题</groupName>
      <ability>L2_HalfPunc_CN</ability>
      <abilityName/>
      <candidateList>
        <item>〉</item>
      </candidateList>
      <explain>文本全半角错误。</explain>
      <paraID>2D802FAB</paraID>
      <start>177</start>
      <end>178</end>
      <status>unmodified</status>
      <modifiedWord/>
      <trackRevisions>false</trackRevisions>
    </reviewItem>
    <reviewItem>
      <errorID>62cc5725-bded-493f-b109-6bcf191bab71</errorID>
      <errorWord>（</errorWord>
      <group>L1_Format</group>
      <groupName>格式问题</groupName>
      <ability>L2_HalfPunc_CN</ability>
      <abilityName/>
      <candidateList>
        <item>(</item>
      </candidateList>
      <explain>文本全半角错误。</explain>
      <paraID>252D80D0</paraID>
      <start>27</start>
      <end>28</end>
      <status>unmodified</status>
      <modifiedWord/>
      <trackRevisions>false</trackRevisions>
    </reviewItem>
    <reviewItem>
      <errorID>f6bc6375-fd6c-45f8-a424-4be13d53c615</errorID>
      <errorWord>）</errorWord>
      <group>L1_Format</group>
      <groupName>格式问题</groupName>
      <ability>L2_HalfPunc_CN</ability>
      <abilityName/>
      <candidateList>
        <item>)</item>
      </candidateList>
      <explain>文本全半角错误。</explain>
      <paraID>252D80D0</paraID>
      <start>33</start>
      <end>34</end>
      <status>unmodified</status>
      <modifiedWord/>
      <trackRevisions>false</trackRevisions>
    </reviewItem>
    <reviewItem>
      <errorID>15091363-62c4-4327-af74-337564f88b61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6108BF5D</paraID>
      <start>265</start>
      <end>266</end>
      <status>unmodified</status>
      <modifiedWord/>
      <trackRevisions>false</trackRevisions>
    </reviewItem>
    <reviewItem>
      <errorID>ba9fe4cb-7dae-4f32-bee2-fdd5023635cd</errorID>
      <errorWord>（</errorWord>
      <group>L1_Punc</group>
      <groupName>标点问题</groupName>
      <ability>L2_Punc_CN</ability>
      <abilityName/>
      <candidateList/>
      <explain>同一形式括号套用。</explain>
      <paraID>3646985F</paraID>
      <start>8</start>
      <end>9</end>
      <status>unmodified</status>
      <modifiedWord/>
      <trackRevisions>false</trackRevisions>
    </reviewItem>
    <reviewItem>
      <errorID>a1c00aba-2df4-4096-be14-590f4988c0ed</errorID>
      <errorWord>）</errorWord>
      <group>L1_Punc</group>
      <groupName>标点问题</groupName>
      <ability>L2_Punc_CN</ability>
      <abilityName/>
      <candidateList/>
      <explain>同一形式括号套用。</explain>
      <paraID>3646985F</paraID>
      <start>10</start>
      <end>11</end>
      <status>unmodified</status>
      <modifiedWord/>
      <trackRevisions>false</trackRevisions>
    </reviewItem>
    <reviewItem>
      <errorID>9e89da7c-3d83-4001-8783-ea3c593cc4c0</errorID>
      <errorWord>（</errorWord>
      <group>L1_Format</group>
      <groupName>格式问题</groupName>
      <ability>L2_HalfPunc_CN</ability>
      <abilityName/>
      <candidateList>
        <item>(</item>
      </candidateList>
      <explain>文本全半角错误。</explain>
      <paraID>105C3585</paraID>
      <start>0</start>
      <end>1</end>
      <status>unmodified</status>
      <modifiedWord/>
      <trackRevisions>false</trackRevisions>
    </reviewItem>
    <reviewItem>
      <errorID>e73381d8-126d-4d46-9304-3a4bb6b14137</errorID>
      <errorWord>）</errorWord>
      <group>L1_Format</group>
      <groupName>格式问题</groupName>
      <ability>L2_HalfPunc_CN</ability>
      <abilityName/>
      <candidateList>
        <item>)</item>
      </candidateList>
      <explain>文本全半角错误。</explain>
      <paraID>105C3585</paraID>
      <start>4</start>
      <end>5</end>
      <status>unmodified</status>
      <modifiedWord/>
      <trackRevisions>false</trackRevisions>
    </reviewItem>
    <reviewItem>
      <errorID>29aba6f7-3952-4323-9b24-9146a30279ab</errorID>
      <errorWord>万</errorWord>
      <group>L1_Word</group>
      <groupName>字词问题</groupName>
      <ability>L2_Typo</ability>
      <abilityName>字词错误</abilityName>
      <candidateList>
        <item>万元</item>
      </candidateList>
      <explain/>
      <paraID>66C80C84</paraID>
      <start>5</start>
      <end>6</end>
      <status>unmodified</status>
      <modifiedWord/>
      <trackRevisions>false</trackRevisions>
    </reviewItem>
    <reviewItem>
      <errorID>7843f671-1678-4f4e-81b3-be397a22ddb9</errorID>
      <errorWord>)</errorWord>
      <group>L1_Format</group>
      <groupName>格式问题</groupName>
      <ability>L2_HalfPunc_CN</ability>
      <abilityName/>
      <candidateList>
        <item>）</item>
      </candidateList>
      <explain>文本全半角错误。</explain>
      <paraID>6681B2AF</paraID>
      <start>59</start>
      <end>60</end>
      <status>unmodified</status>
      <modifiedWord/>
      <trackRevisions>false</trackRevisions>
    </reviewItem>
    <reviewItem>
      <errorID>0e97e261-d602-45a0-ba91-f61249488279</errorID>
      <errorWord>～</errorWord>
      <group>L1_Format</group>
      <groupName>格式问题</groupName>
      <ability>L2_HalfPunc_CN</ability>
      <abilityName/>
      <candidateList>
        <item>~</item>
      </candidateList>
      <explain>文本全半角错误。</explain>
      <paraID>7DDCD582</paraID>
      <start>2</start>
      <end>3</end>
      <status>unmodified</status>
      <modifiedWord/>
      <trackRevisions>false</trackRevisions>
    </reviewItem>
    <reviewItem>
      <errorID>5c6f4bad-401a-4331-8e36-863fcf1f3ed0</errorID>
      <errorWord>（</errorWord>
      <group>L1_Format</group>
      <groupName>格式问题</groupName>
      <ability>L2_HalfPunc_CN</ability>
      <abilityName/>
      <candidateList>
        <item>(</item>
      </candidateList>
      <explain>文本全半角错误。</explain>
      <paraID>7DDCD582</paraID>
      <start>8</start>
      <end>9</end>
      <status>unmodified</status>
      <modifiedWord/>
      <trackRevisions>false</trackRevisions>
    </reviewItem>
    <reviewItem>
      <errorID>4bbddb56-aea0-48f5-9a21-038eef2516ce</errorID>
      <errorWord>）</errorWord>
      <group>L1_Format</group>
      <groupName>格式问题</groupName>
      <ability>L2_HalfPunc_CN</ability>
      <abilityName/>
      <candidateList>
        <item>)</item>
      </candidateList>
      <explain>文本全半角错误。</explain>
      <paraID>7DDCD582</paraID>
      <start>10</start>
      <end>11</end>
      <status>unmodified</status>
      <modifiedWord/>
      <trackRevisions>false</trackRevisions>
    </reviewItem>
    <reviewItem>
      <errorID>4935fd14-64ca-4cf8-95ba-03e7e893f6c4</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4482B42A</paraID>
      <start>17</start>
      <end>24</end>
      <status>unmodified</status>
      <modifiedWord/>
      <trackRevisions>false</trackRevisions>
    </reviewItem>
    <reviewItem>
      <errorID>69dcd26c-0930-457c-bf8b-d35481ca1ad2</errorID>
      <errorWord>无具有</errorWord>
      <group>L1_Word</group>
      <groupName>字词问题</groupName>
      <ability>L2_Typo</ability>
      <abilityName>字词错误</abilityName>
      <candidateList>
        <item>不具有</item>
      </candidateList>
      <explain/>
      <paraID>7069D252</paraID>
      <start>32</start>
      <end>35</end>
      <status>unmodified</status>
      <modifiedWord/>
      <trackRevisions>false</trackRevisions>
    </reviewItem>
    <reviewItem>
      <errorID>b6fb90a2-2cec-49b3-8ac4-5d850e4402b9</errorID>
      <errorWord>其它</errorWord>
      <group>L1_Word</group>
      <groupName>字词问题</groupName>
      <ability>L2_Alias</ability>
      <abilityName>也作/曾用词</abilityName>
      <candidateList>
        <item>其他</item>
      </candidateList>
      <explain>词汇[其它]为不规范表述或旧称，其规范书面表述为[其他]。</explain>
      <paraID>23312263</paraID>
      <start>183</start>
      <end>185</end>
      <status>unmodified</status>
      <modifiedWord/>
      <trackRevisions>false</trackRevisions>
    </reviewItem>
    <reviewItem>
      <errorID>aa7886a1-59f6-488e-8bd6-bf26fbfc159c</errorID>
      <errorWord>准</errorWord>
      <group>L1_Word</group>
      <groupName>字词问题</groupName>
      <ability>L2_Typo</ability>
      <abilityName>字词错误</abilityName>
      <candidateList>
        <item>准和</item>
      </candidateList>
      <explain/>
      <paraID>67A61D36</paraID>
      <start>64</start>
      <end>65</end>
      <status>unmodified</status>
      <modifiedWord/>
      <trackRevisions>false</trackRevisions>
    </reviewItem>
    <reviewItem>
      <errorID>0b22a3d7-f7df-4c4f-b91f-92b8b7bd5b88</errorID>
      <errorWord>&lt;</errorWord>
      <group>L1_Format</group>
      <groupName>格式问题</groupName>
      <ability>L2_HalfPunc_CN</ability>
      <abilityName/>
      <candidateList>
        <item>〈</item>
      </candidateList>
      <explain>文本全半角错误。</explain>
      <paraID>7A5610A3</paraID>
      <start>69</start>
      <end>70</end>
      <status>unmodified</status>
      <modifiedWord/>
      <trackRevisions>false</trackRevisions>
    </reviewItem>
    <reviewItem>
      <errorID>896add35-edf7-4cb8-ac85-98afcf93abc2</errorID>
      <errorWord>&gt;</errorWord>
      <group>L1_Format</group>
      <groupName>格式问题</groupName>
      <ability>L2_HalfPunc_CN</ability>
      <abilityName/>
      <candidateList>
        <item>〉</item>
      </candidateList>
      <explain>文本全半角错误。</explain>
      <paraID>7A5610A3</paraID>
      <start>102</start>
      <end>103</end>
      <status>unmodified</status>
      <modifiedWord/>
      <trackRevisions>false</trackRevisions>
    </reviewItem>
    <reviewItem>
      <errorID>3db6476a-8de4-4170-af1f-b988f6e32f10</errorID>
      <errorWord>》</errorWord>
      <group>L1_Punc</group>
      <groupName>标点问题</groupName>
      <ability>L2_Punc_CN</ability>
      <abilityName/>
      <candidateList/>
      <explain>此处标点可能未正确匹配，请检查句子中是否存在标点冗余、缺失或使用错误的情况。</explain>
      <paraID>7A5610A3</paraID>
      <start>111</start>
      <end>112</end>
      <status>unmodified</status>
      <modifiedWord/>
      <trackRevisions>false</trackRevisions>
    </reviewItem>
    <reviewItem>
      <errorID>6dde64d6-403b-4af4-828e-7d048ba6c417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45FB08BB</paraID>
      <start>30</start>
      <end>31</end>
      <status>unmodified</status>
      <modifiedWord/>
      <trackRevisions>false</trackRevisions>
    </reviewItem>
    <reviewItem>
      <errorID>ffccf203-0249-44a3-be31-dfdb002c996d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7C0B84A6</paraID>
      <start>24</start>
      <end>25</end>
      <status>unmodified</status>
      <modifiedWord/>
      <trackRevisions>false</trackRevisions>
    </reviewItem>
    <reviewItem>
      <errorID>cecb5aaf-ba05-41b6-97e1-c9861393e50e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7A46323C</paraID>
      <start>44</start>
      <end>45</end>
      <status>unmodified</status>
      <modifiedWord/>
      <trackRevisions>false</trackRevisions>
    </reviewItem>
    <reviewItem>
      <errorID>1cc728bf-0e36-49ba-bfae-c535e76b20d0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7A46323C</paraID>
      <start>105</start>
      <end>106</end>
      <status>unmodified</status>
      <modifiedWord/>
      <trackRevisions>false</trackRevisions>
    </reviewItem>
    <reviewItem>
      <errorID>3796f752-0387-4ef5-9c90-13012550db2c</errorID>
      <errorWord>文化自然遗产</errorWord>
      <group>L1_Word</group>
      <groupName>字词问题</groupName>
      <ability>L2_Typo</ability>
      <abilityName>字词错误</abilityName>
      <candidateList>
        <item>文化和自然遗产</item>
      </candidateList>
      <explain/>
      <paraID>55222F43</paraID>
      <start>84</start>
      <end>90</end>
      <status>unmodified</status>
      <modifiedWord/>
      <trackRevisions>false</trackRevisions>
    </reviewItem>
    <reviewItem>
      <errorID>192a97a0-1f0d-4454-b83a-f91a880c3b1c</errorID>
      <errorWord>处于</errorWord>
      <group>L1_Word</group>
      <groupName>字词问题</groupName>
      <ability>L2_Typo</ability>
      <abilityName>字词错误</abilityName>
      <candidateList>
        <item>处</item>
      </candidateList>
      <explain>（處、䖏、処）chù〈名〉❶地方：住～｜心灵深～｜大～着眼，小～着手。❷机关组织系统中按业务划分的单位（级别一般比局低，比科高），也指某些机关：科研～｜总务～｜办事～｜联络～。</explain>
      <paraID>3FAFC97C</paraID>
      <start>22</start>
      <end>23</end>
      <status>modified</status>
      <modifiedWord>处</modifiedWord>
      <trackRevisions>false</trackRevisions>
    </reviewItem>
    <reviewItem>
      <errorID>165b24ad-b246-41c7-93ce-196267471e2a</errorID>
      <errorWord>”</errorWord>
      <group>L1_Punc</group>
      <groupName>标点问题</groupName>
      <ability>L2_Punc_CN</ability>
      <abilityName/>
      <candidateList>
        <item>“</item>
      </candidateList>
      <explain>注意检查双引号的方向是否正确。</explain>
      <paraID>7536FE75</paraID>
      <start>266</start>
      <end>267</end>
      <status>unmodified</status>
      <modifiedWord/>
      <trackRevisions>false</trackRevisions>
    </reviewItem>
    <reviewItem>
      <errorID>0bcc5864-0e7a-4e6f-85af-5130f988914e</errorID>
      <errorWord>“</errorWord>
      <group>L1_Punc</group>
      <groupName>标点问题</groupName>
      <ability>L2_Punc_CN</ability>
      <abilityName/>
      <candidateList>
        <item>”</item>
      </candidateList>
      <explain>注意检查双引号的方向是否正确。</explain>
      <paraID>7536FE75</paraID>
      <start>269</start>
      <end>270</end>
      <status>unmodified</status>
      <modifiedWord/>
      <trackRevisions>false</trackRevisions>
    </reviewItem>
    <reviewItem>
      <errorID>dd945f8b-3a59-44d9-a346-b5ffc0e6b7d3</errorID>
      <errorWord>”</errorWord>
      <group>L1_Punc</group>
      <groupName>标点问题</groupName>
      <ability>L2_Punc_CN</ability>
      <abilityName/>
      <candidateList>
        <item>“</item>
      </candidateList>
      <explain>注意检查双引号的方向是否正确。</explain>
      <paraID>7536FE75</paraID>
      <start>582</start>
      <end>583</end>
      <status>unmodified</status>
      <modifiedWord/>
      <trackRevisions>false</trackRevisions>
    </reviewItem>
    <reviewItem>
      <errorID>60536366-2a4f-496d-804c-7ec0b86e3a43</errorID>
      <errorWord>“</errorWord>
      <group>L1_Punc</group>
      <groupName>标点问题</groupName>
      <ability>L2_Punc_CN</ability>
      <abilityName/>
      <candidateList>
        <item>”</item>
      </candidateList>
      <explain>注意检查双引号的方向是否正确。</explain>
      <paraID>7536FE75</paraID>
      <start>585</start>
      <end>586</end>
      <status>unmodified</status>
      <modifiedWord/>
      <trackRevisions>false</trackRevisions>
    </reviewItem>
    <reviewItem>
      <errorID>77e8b351-f430-4ff2-b628-e28b0dacf18b</errorID>
      <errorWord>“</errorWord>
      <group>L1_Punc</group>
      <groupName>标点问题</groupName>
      <ability>L2_Punc_CN</ability>
      <abilityName/>
      <candidateList>
        <item>”</item>
      </candidateList>
      <explain>注意检查双引号的方向是否正确。</explain>
      <paraID>7536FE75</paraID>
      <start>665</start>
      <end>666</end>
      <status>unmodified</status>
      <modifiedWord/>
      <trackRevisions>false</trackRevisions>
    </reviewItem>
    <reviewItem>
      <errorID>bc804ae2-2b19-4396-bbc4-41f65410a68c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7D246706</paraID>
      <start>28</start>
      <end>29</end>
      <status>unmodified</status>
      <modifiedWord/>
      <trackRevisions>false</trackRevisions>
    </reviewItem>
    <reviewItem>
      <errorID>f9a58a5e-454b-4f38-baef-d5aee64e8695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5A65DC9A</paraID>
      <start>22</start>
      <end>23</end>
      <status>unmodified</status>
      <modifiedWord/>
      <trackRevisions>false</trackRevisions>
    </reviewItem>
    <reviewItem>
      <errorID>09a00ce1-2d8d-402c-a90c-55c6b1415e53</errorID>
      <errorWord>-</errorWord>
      <group>L1_Format</group>
      <groupName>格式问题</groupName>
      <ability>L2_HalfPunc_CN</ability>
      <abilityName/>
      <candidateList>
        <item>－</item>
      </candidateList>
      <explain>文本全半角错误。</explain>
      <paraID>5A65DC9A</paraID>
      <start>180</start>
      <end>181</end>
      <status>unmodified</status>
      <modifiedWord/>
      <trackRevisions>false</trackRevisions>
    </reviewItem>
    <reviewItem>
      <errorID>c16f3c92-c53e-4ea0-9c42-6105a6cb3447</errorID>
      <errorWord>-</errorWord>
      <group>L1_Format</group>
      <groupName>格式问题</groupName>
      <ability>L2_HalfPunc_CN</ability>
      <abilityName/>
      <candidateList>
        <item>－</item>
      </candidateList>
      <explain>文本全半角错误。</explain>
      <paraID>5A65DC9A</paraID>
      <start>186</start>
      <end>187</end>
      <status>unmodified</status>
      <modifiedWord/>
      <trackRevisions>false</trackRevisions>
    </reviewItem>
    <reviewItem>
      <errorID>d0755e9a-585a-4f02-b98f-6f63b4bb3f59</errorID>
      <errorWord>-</errorWord>
      <group>L1_Format</group>
      <groupName>格式问题</groupName>
      <ability>L2_HalfPunc_CN</ability>
      <abilityName/>
      <candidateList>
        <item>－</item>
      </candidateList>
      <explain>文本全半角错误。</explain>
      <paraID>5A65DC9A</paraID>
      <start>191</start>
      <end>192</end>
      <status>unmodified</status>
      <modifiedWord/>
      <trackRevisions>false</trackRevisions>
    </reviewItem>
    <reviewItem>
      <errorID>1e7b105d-252a-4f2f-936f-c1da376e9de0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53348714</paraID>
      <start>72</start>
      <end>73</end>
      <status>unmodified</status>
      <modifiedWord/>
      <trackRevisions>false</trackRevisions>
    </reviewItem>
    <reviewItem>
      <errorID>a8835c2f-5ebe-4975-b5df-9f2ae1d2ba8a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53348714</paraID>
      <start>151</start>
      <end>152</end>
      <status>unmodified</status>
      <modifiedWord/>
      <trackRevisions>false</trackRevisions>
    </reviewItem>
    <reviewItem>
      <errorID>927b9a26-0e32-4953-8400-9c077178b1c5</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5C17935F</paraID>
      <start>140</start>
      <end>147</end>
      <status>unmodified</status>
      <modifiedWord/>
      <trackRevisions>false</trackRevisions>
    </reviewItem>
    <reviewItem>
      <errorID>29a64d55-c203-4f5e-b2cc-d7c452431252</errorID>
      <errorWord>85，</errorWord>
      <group>L1_Format</group>
      <groupName>格式问题</groupName>
      <ability>L2_Ordinal</ability>
      <abilityName>序号格式</abilityName>
      <candidateList>
        <item>85.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18D0530F</paraID>
      <start>0</start>
      <end>3</end>
      <status>unmodified</status>
      <modifiedWord/>
      <trackRevisions>false</trackRevisions>
    </reviewItem>
    <reviewItem>
      <errorID>43f7611a-30be-42d9-9f1e-de7691917f49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4256807C</paraID>
      <start>0</start>
      <end>3</end>
      <status>unmodified</status>
      <modifiedWord/>
      <trackRevisions>false</trackRevisions>
    </reviewItem>
    <reviewItem>
      <errorID>087826ab-2c0d-4345-91e6-6ed64f79331e</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7D4130C1</paraID>
      <start>0</start>
      <end>3</end>
      <status>unmodified</status>
      <modifiedWord/>
      <trackRevisions>false</trackRevisions>
    </reviewItem>
    <reviewItem>
      <errorID>8de10c93-25ee-4a0d-8fbc-edb9f333a251</errorID>
      <errorWord>完善的</errorWord>
      <group>L1_Word</group>
      <groupName>字词问题</groupName>
      <ability>L2_Typo</ability>
      <abilityName>字词错误</abilityName>
      <candidateList>
        <item>完善</item>
      </candidateList>
      <explain>❶〈形〉完备美好：设备～。❷〈动〉使完善：～管理制度。</explain>
      <paraID>60442901</paraID>
      <start>3</start>
      <end>6</end>
      <status>unmodified</status>
      <modifiedWord/>
      <trackRevisions>false</trackRevisions>
    </reviewItem>
    <reviewItem>
      <errorID>b89d3cec-6ca1-4f7b-9ff9-eab4842608f0</errorID>
      <errorWord>完善的</errorWord>
      <group>L1_Word</group>
      <groupName>字词问题</groupName>
      <ability>L2_Typo</ability>
      <abilityName>字词错误</abilityName>
      <candidateList>
        <item>完善</item>
      </candidateList>
      <explain>❶〈形〉完备美好：设备～。❷〈动〉使完善：～管理制度。</explain>
      <paraID>6AD0B27E</paraID>
      <start>3</start>
      <end>6</end>
      <status>unmodified</status>
      <modifiedWord/>
      <trackRevisions>false</trackRevisions>
    </reviewItem>
    <reviewItem>
      <errorID>65118918-d996-45fc-91cd-de8081c45b83</errorID>
      <errorWord>和</errorWord>
      <group>L1_Word</group>
      <groupName>字词问题</groupName>
      <ability>L2_Typo</ability>
      <abilityName>字词错误</abilityName>
      <candidateList>
        <item>和可</item>
      </candidateList>
      <explain/>
      <paraID>55F99799</paraID>
      <start>100</start>
      <end>101</end>
      <status>unmodified</status>
      <modifiedWord/>
      <trackRevisions>false</trackRevisions>
    </reviewItem>
    <reviewItem>
      <errorID>70f4f0e6-4f66-4245-8879-0a3c0d433e0d</errorID>
      <errorWord>节能的</errorWord>
      <group>L1_Word</group>
      <groupName>字词问题</groupName>
      <ability>L2_Typo</ability>
      <abilityName>字词错误</abilityName>
      <candidateList>
        <item>节能</item>
      </candidateList>
      <explain/>
      <paraID>35D7FD35</paraID>
      <start>36</start>
      <end>39</end>
      <status>unmodified</status>
      <modifiedWord/>
      <trackRevisions>false</trackRevisions>
    </reviewItem>
    <reviewItem>
      <errorID>f9489f11-4e9d-4cdb-8470-8884230e0a12</errorID>
      <errorWord>提高</errorWord>
      <group>L1_Grammar</group>
      <groupName>语法问题</groupName>
      <ability>L2_Grammar</ability>
      <abilityName>语法错误</abilityName>
      <candidateList>
        <item>增强</item>
      </candidateList>
      <explain>“提高～意识”搭配不当，建议修改为“增强～意识”。</explain>
      <paraID>52365DAC</paraID>
      <start>143</start>
      <end>145</end>
      <status>unmodified</status>
      <modifiedWord/>
      <trackRevisions>false</trackRevisions>
    </reviewItem>
    <reviewItem>
      <errorID>3df8bc5f-01e5-4372-a108-25ced6c21729</errorID>
      <errorWord>-</errorWord>
      <group>L1_Format</group>
      <groupName>格式问题</groupName>
      <ability>L2_HalfPunc_CN</ability>
      <abilityName/>
      <candidateList>
        <item>－</item>
      </candidateList>
      <explain>文本全半角错误。</explain>
      <paraID>5D80B414</paraID>
      <start>3</start>
      <end>4</end>
      <status>unmodified</status>
      <modifiedWord/>
      <trackRevisions>false</trackRevisions>
    </reviewItem>
    <reviewItem>
      <errorID>4275525c-c6fc-4e5d-a75e-8e9472dc95ed</errorID>
      <errorWord>-</errorWord>
      <group>L1_Format</group>
      <groupName>格式问题</groupName>
      <ability>L2_HalfPunc_CN</ability>
      <abilityName/>
      <candidateList>
        <item>－</item>
      </candidateList>
      <explain>文本全半角错误。</explain>
      <paraID>5D80B414</paraID>
      <start>8</start>
      <end>9</end>
      <status>unmodified</status>
      <modifiedWord/>
      <trackRevisions>false</trackRevisions>
    </reviewItem>
    <reviewItem>
      <errorID>a4d574d2-c3c0-4345-b880-cf65481bfbf7</errorID>
      <errorWord>-</errorWord>
      <group>L1_Format</group>
      <groupName>格式问题</groupName>
      <ability>L2_HalfPunc_CN</ability>
      <abilityName/>
      <candidateList>
        <item>－</item>
      </candidateList>
      <explain>文本全半角错误。</explain>
      <paraID>6289CE32</paraID>
      <start>24</start>
      <end>25</end>
      <status>unmodified</status>
      <modifiedWord/>
      <trackRevisions>false</trackRevisions>
    </reviewItem>
    <reviewItem>
      <errorID>8861a284-5652-4a20-9099-9f6f0482b5e5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14276165</paraID>
      <start>0</start>
      <end>2</end>
      <status>unmodified</status>
      <modifiedWord/>
      <trackRevisions>false</trackRevisions>
    </reviewItem>
    <reviewItem>
      <errorID>de761bcd-1799-4a49-88b3-4eb94fd21307</errorID>
      <errorWord>寒武统</errorWord>
      <group>L1_Word</group>
      <groupName>字词问题</groupName>
      <ability>L2_Typo</ability>
      <abilityName>字词错误</abilityName>
      <candidateList>
        <item>寒武纪</item>
      </candidateList>
      <explain/>
      <paraID>13835B3F</paraID>
      <start>42</start>
      <end>45</end>
      <status>unmodified</status>
      <modifiedWord/>
      <trackRevisions>false</trackRevisions>
    </reviewItem>
    <reviewItem>
      <errorID>d6424c31-ace7-433a-8cc7-a1eabca29333</errorID>
      <errorWord>-</errorWord>
      <group>L1_Format</group>
      <groupName>格式问题</groupName>
      <ability>L2_HalfPunc_CN</ability>
      <abilityName/>
      <candidateList>
        <item>－</item>
      </candidateList>
      <explain>文本全半角错误。</explain>
      <paraID>5B1AB9FC</paraID>
      <start>33</start>
      <end>34</end>
      <status>unmodified</status>
      <modifiedWord/>
      <trackRevisions>false</trackRevisions>
    </reviewItem>
    <reviewItem>
      <errorID>9c7172c7-b943-41bc-9791-98a539d8befb</errorID>
      <errorWord>粘土</errorWord>
      <group>L1_Word</group>
      <groupName>字词问题</groupName>
      <ability>L2_Typo</ability>
      <abilityName>字词错误</abilityName>
      <candidateList>
        <item>黏土</item>
      </candidateList>
      <explain>存在发音相同字词的误用。</explain>
      <paraID>5B1AB9FC</paraID>
      <start>55</start>
      <end>57</end>
      <status>unmodified</status>
      <modifiedWord/>
      <trackRevisions>false</trackRevisions>
    </reviewItem>
    <reviewItem>
      <errorID>d3299985-b12f-4edf-a729-225cc8ae09ff</errorID>
      <errorWord>-</errorWord>
      <group>L1_Format</group>
      <groupName>格式问题</groupName>
      <ability>L2_HalfPunc_CN</ability>
      <abilityName/>
      <candidateList>
        <item>－</item>
      </candidateList>
      <explain>文本全半角错误。</explain>
      <paraID> DA139D2</paraID>
      <start>20</start>
      <end>21</end>
      <status>unmodified</status>
      <modifiedWord/>
      <trackRevisions>false</trackRevisions>
    </reviewItem>
    <reviewItem>
      <errorID>c1dc9354-383a-4cb3-b267-f8c0845c2d6c</errorID>
      <errorWord>-</errorWord>
      <group>L1_Format</group>
      <groupName>格式问题</groupName>
      <ability>L2_HalfPunc_CN</ability>
      <abilityName/>
      <candidateList>
        <item>－</item>
      </candidateList>
      <explain>文本全半角错误。</explain>
      <paraID>2208639C</paraID>
      <start>51</start>
      <end>52</end>
      <status>unmodified</status>
      <modifiedWord/>
      <trackRevisions>false</trackRevisions>
    </reviewItem>
    <reviewItem>
      <errorID>cf582bb4-9327-4595-87ed-5e17d80f35d0</errorID>
      <errorWord>-</errorWord>
      <group>L1_Format</group>
      <groupName>格式问题</groupName>
      <ability>L2_HalfPunc_CN</ability>
      <abilityName/>
      <candidateList>
        <item>－</item>
      </candidateList>
      <explain>文本全半角错误。</explain>
      <paraID>7D590C2B</paraID>
      <start>14</start>
      <end>15</end>
      <status>unmodified</status>
      <modifiedWord/>
      <trackRevisions>false</trackRevisions>
    </reviewItem>
    <reviewItem>
      <errorID>c5ab86a4-d3fb-4d54-acf3-a3a52b4befa2</errorID>
      <errorWord>-</errorWord>
      <group>L1_Format</group>
      <groupName>格式问题</groupName>
      <ability>L2_HalfPunc_CN</ability>
      <abilityName/>
      <candidateList>
        <item>－</item>
      </candidateList>
      <explain>文本全半角错误。</explain>
      <paraID>7D590C2B</paraID>
      <start>159</start>
      <end>160</end>
      <status>unmodified</status>
      <modifiedWord/>
      <trackRevisions>false</trackRevisions>
    </reviewItem>
    <reviewItem>
      <errorID>ef8c5746-1c02-4b73-81a8-c6f49d21b2dd</errorID>
      <errorWord>-</errorWord>
      <group>L1_Format</group>
      <groupName>格式问题</groupName>
      <ability>L2_HalfPunc_CN</ability>
      <abilityName/>
      <candidateList>
        <item>－</item>
      </candidateList>
      <explain>文本全半角错误。</explain>
      <paraID> 3FF158E</paraID>
      <start>166</start>
      <end>167</end>
      <status>unmodified</status>
      <modifiedWord/>
      <trackRevisions>false</trackRevisions>
    </reviewItem>
    <reviewItem>
      <errorID>e4b19dcc-00cf-4d46-9a0b-2897591b5bd2</errorID>
      <errorWord>-</errorWord>
      <group>L1_Format</group>
      <groupName>格式问题</groupName>
      <ability>L2_HalfPunc_CN</ability>
      <abilityName/>
      <candidateList>
        <item>－</item>
      </candidateList>
      <explain>文本全半角错误。</explain>
      <paraID>4CE53642</paraID>
      <start>17</start>
      <end>18</end>
      <status>unmodified</status>
      <modifiedWord/>
      <trackRevisions>false</trackRevisions>
    </reviewItem>
    <reviewItem>
      <errorID>7bca4413-0969-46bc-9f9c-51ac1b0378f3</errorID>
      <errorWord>-</errorWord>
      <group>L1_Format</group>
      <groupName>格式问题</groupName>
      <ability>L2_HalfPunc_CN</ability>
      <abilityName/>
      <candidateList>
        <item>－</item>
      </candidateList>
      <explain>文本全半角错误。</explain>
      <paraID>7FF40CF9</paraID>
      <start>15</start>
      <end>16</end>
      <status>unmodified</status>
      <modifiedWord/>
      <trackRevisions>false</trackRevisions>
    </reviewItem>
    <reviewItem>
      <errorID>3aa51e4e-79da-43c2-b39d-743bd85d4d32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38E96A5C</paraID>
      <start>0</start>
      <end>2</end>
      <status>unmodified</status>
      <modifiedWord/>
      <trackRevisions>false</trackRevisions>
    </reviewItem>
    <reviewItem>
      <errorID>092c76e5-1e55-403b-8bc0-674eb75f9fa6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5C9278CF</paraID>
      <start>0</start>
      <end>2</end>
      <status>unmodified</status>
      <modifiedWord/>
      <trackRevisions>false</trackRevisions>
    </reviewItem>
    <reviewItem>
      <errorID>3626e156-90fb-4e5c-be19-9d701a0bae26</errorID>
      <errorWord>-</errorWord>
      <group>L1_Format</group>
      <groupName>格式问题</groupName>
      <ability>L2_HalfPunc_CN</ability>
      <abilityName/>
      <candidateList>
        <item>－</item>
      </candidateList>
      <explain>文本全半角错误。</explain>
      <paraID>2D18267B</paraID>
      <start>33</start>
      <end>34</end>
      <status>unmodified</status>
      <modifiedWord/>
      <trackRevisions>false</trackRevisions>
    </reviewItem>
    <reviewItem>
      <errorID>848f3e47-f8a6-4a3f-bb08-aed16b45db61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D55C5EE</paraID>
      <start>0</start>
      <end>2</end>
      <status>unmodified</status>
      <modifiedWord/>
      <trackRevisions>false</trackRevisions>
    </reviewItem>
    <reviewItem>
      <errorID>2876305d-242e-4142-b8a8-0a18f58a8369</errorID>
      <errorWord>,</errorWord>
      <group>L1_Format</group>
      <groupName>格式问题</groupName>
      <ability>L2_HalfPunc_CN</ability>
      <abilityName/>
      <candidateList>
        <item>，</item>
      </candidateList>
      <explain>文本全半角错误。</explain>
      <paraID>616063E0</paraID>
      <start>29</start>
      <end>30</end>
      <status>unmodified</status>
      <modifiedWord/>
      <trackRevisions>false</trackRevisions>
    </reviewItem>
    <reviewItem>
      <errorID>04aa05bc-b3bc-463f-ad75-3c64145b7ca8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6B12DA58</paraID>
      <start>0</start>
      <end>2</end>
      <status>unmodified</status>
      <modifiedWord/>
      <trackRevisions>false</trackRevisions>
    </reviewItem>
    <reviewItem>
      <errorID>61be1447-9117-4277-bbd5-b5b20350bad1</errorID>
      <errorWord>小</errorWord>
      <group>L1_Word</group>
      <groupName>字词问题</groupName>
      <ability>L2_Typo</ability>
      <abilityName>字词错误</abilityName>
      <candidateList>
        <item>少</item>
      </candidateList>
      <explain>存在字形相近字词的误用。</explain>
      <paraID>440BF667</paraID>
      <start>35</start>
      <end>36</end>
      <status>unmodified</status>
      <modifiedWord/>
      <trackRevisions>false</trackRevisions>
    </reviewItem>
    <reviewItem>
      <errorID>49b2bce3-b585-4abf-b970-cbe25a02e46c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440BF667</paraID>
      <start>142</start>
      <end>143</end>
      <status>unmodified</status>
      <modifiedWord/>
      <trackRevisions>false</trackRevisions>
    </reviewItem>
    <reviewItem>
      <errorID>3f85eb77-4bae-4555-89e4-2785ae482c8a</errorID>
      <errorWord>年均</errorWord>
      <group>L1_Word</group>
      <groupName>字词问题</groupName>
      <ability>L2_Typo</ability>
      <abilityName>字词错误</abilityName>
      <candidateList>
        <item>平均</item>
      </candidateList>
      <explain/>
      <paraID>440BF667</paraID>
      <start>149</start>
      <end>151</end>
      <status>unmodified</status>
      <modifiedWord/>
      <trackRevisions>false</trackRevisions>
    </reviewItem>
    <reviewItem>
      <errorID>de4a30e2-d92d-44c6-aaf9-584a3e51f72a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77D6AF72</paraID>
      <start>0</start>
      <end>2</end>
      <status>unmodified</status>
      <modifiedWord/>
      <trackRevisions>false</trackRevisions>
    </reviewItem>
    <reviewItem>
      <errorID>f21d5879-73d6-4cbb-a99d-483598087e21</errorID>
      <errorWord>(</errorWord>
      <group>L1_Format</group>
      <groupName>格式问题</groupName>
      <ability>L2_HalfPunc_CN</ability>
      <abilityName/>
      <candidateList>
        <item>（</item>
      </candidateList>
      <explain>文本全半角错误。</explain>
      <paraID>72A9463A</paraID>
      <start>41</start>
      <end>42</end>
      <status>unmodified</status>
      <modifiedWord/>
      <trackRevisions>false</trackRevisions>
    </reviewItem>
    <reviewItem>
      <errorID>2bbbb7c6-5b5a-45c7-9956-fa5736ce7d89</errorID>
      <errorWord>)</errorWord>
      <group>L1_Format</group>
      <groupName>格式问题</groupName>
      <ability>L2_HalfPunc_CN</ability>
      <abilityName/>
      <candidateList>
        <item>）</item>
      </candidateList>
      <explain>文本全半角错误。</explain>
      <paraID>72A9463A</paraID>
      <start>45</start>
      <end>46</end>
      <status>unmodified</status>
      <modifiedWord/>
      <trackRevisions>false</trackRevisions>
    </reviewItem>
    <reviewItem>
      <errorID>6295395e-9504-4813-aa87-ab72616ab057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460F2998</paraID>
      <start>0</start>
      <end>2</end>
      <status>unmodified</status>
      <modifiedWord/>
      <trackRevisions>false</trackRevisions>
    </reviewItem>
    <reviewItem>
      <errorID>22ad539f-181a-4ebd-9c53-5eceae6b436f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7CC3B233</paraID>
      <start>0</start>
      <end>2</end>
      <status>unmodified</status>
      <modifiedWord/>
      <trackRevisions>false</trackRevisions>
    </reviewItem>
    <reviewItem>
      <errorID>c291479e-7159-40a2-b573-6315f19b9251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8842DA9</paraID>
      <start>0</start>
      <end>2</end>
      <status>unmodified</status>
      <modifiedWord/>
      <trackRevisions>false</trackRevisions>
    </reviewItem>
    <reviewItem>
      <errorID>debf491c-8b44-44b7-a20c-1ae595aa2128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6F32D985</paraID>
      <start>0</start>
      <end>2</end>
      <status>unmodified</status>
      <modifiedWord/>
      <trackRevisions>false</trackRevisions>
    </reviewItem>
    <reviewItem>
      <errorID>3fc7a694-214f-40c7-b6c1-b43c429cb60e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3EF5BE82</paraID>
      <start>0</start>
      <end>2</end>
      <status>unmodified</status>
      <modifiedWord/>
      <trackRevisions>false</trackRevisions>
    </reviewItem>
    <reviewItem>
      <errorID>26dcaea3-3b25-4ce3-8a81-16ea20b93858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73E3AFF</paraID>
      <start>0</start>
      <end>2</end>
      <status>unmodified</status>
      <modifiedWord/>
      <trackRevisions>false</trackRevisions>
    </reviewItem>
    <reviewItem>
      <errorID>d42654be-b4d3-4372-8dc5-e9fbaf4e89b7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C1F8554</paraID>
      <start>0</start>
      <end>2</end>
      <status>unmodified</status>
      <modifiedWord/>
      <trackRevisions>false</trackRevisions>
    </reviewItem>
    <reviewItem>
      <errorID>fe9842cb-76e4-4844-a252-6e54cdf1faf2</errorID>
      <errorWord>小</errorWord>
      <group>L1_Word</group>
      <groupName>字词问题</groupName>
      <ability>L2_Typo</ability>
      <abilityName>字词错误</abilityName>
      <candidateList>
        <item>少</item>
      </candidateList>
      <explain>存在字形相近字词的误用。</explain>
      <paraID>54289652</paraID>
      <start>35</start>
      <end>36</end>
      <status>unmodified</status>
      <modifiedWord/>
      <trackRevisions>false</trackRevisions>
    </reviewItem>
    <reviewItem>
      <errorID>5e19ad80-c44d-4a71-bcc7-efeb45578e2b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54289652</paraID>
      <start>133</start>
      <end>134</end>
      <status>unmodified</status>
      <modifiedWord/>
      <trackRevisions>false</trackRevisions>
    </reviewItem>
    <reviewItem>
      <errorID>0d2bb32c-3012-4414-8a5d-c0e91f8a2c6f</errorID>
      <errorWord>年均</errorWord>
      <group>L1_Word</group>
      <groupName>字词问题</groupName>
      <ability>L2_Typo</ability>
      <abilityName>字词错误</abilityName>
      <candidateList>
        <item>平均</item>
      </candidateList>
      <explain/>
      <paraID>54289652</paraID>
      <start>140</start>
      <end>142</end>
      <status>unmodified</status>
      <modifiedWord/>
      <trackRevisions>false</trackRevisions>
    </reviewItem>
    <reviewItem>
      <errorID>620e460b-3bf6-4ee8-9446-8f59feab59df</errorID>
      <errorWord>》</errorWord>
      <group>L1_Punc</group>
      <groupName>标点问题</groupName>
      <ability>L2_Punc_CN</ability>
      <abilityName/>
      <candidateList/>
      <explain>此处标点可能未正确匹配，请检查句子中是否存在标点冗余、缺失或使用错误的情况。</explain>
      <paraID> E867906</paraID>
      <start>47</start>
      <end>48</end>
      <status>unmodified</status>
      <modifiedWord/>
      <trackRevisions>false</trackRevisions>
    </reviewItem>
    <reviewItem>
      <errorID>ca9c1143-cfa1-4a64-8140-fc45479ca5b3</errorID>
      <errorWord>-</errorWord>
      <group>L1_Format</group>
      <groupName>格式问题</groupName>
      <ability>L2_HalfPunc_CN</ability>
      <abilityName/>
      <candidateList>
        <item>－</item>
      </candidateList>
      <explain>文本全半角错误。</explain>
      <paraID> E867906</paraID>
      <start>54</start>
      <end>55</end>
      <status>unmodified</status>
      <modifiedWord/>
      <trackRevisions>false</trackRevisions>
    </reviewItem>
    <reviewItem>
      <errorID>62ad2b69-05bc-4bf7-a142-a15f9008e772</errorID>
      <errorWord>-</errorWord>
      <group>L1_Format</group>
      <groupName>格式问题</groupName>
      <ability>L2_HalfPunc_CN</ability>
      <abilityName/>
      <candidateList>
        <item>－</item>
      </candidateList>
      <explain>文本全半角错误。</explain>
      <paraID> E867906</paraID>
      <start>61</start>
      <end>62</end>
      <status>unmodified</status>
      <modifiedWord/>
      <trackRevisions>false</trackRevisions>
    </reviewItem>
    <reviewItem>
      <errorID>5e1731dd-4516-4604-bd35-0a7c33b2a60a</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2B468840</paraID>
      <start>12</start>
      <end>16</end>
      <status>unmodified</status>
      <modifiedWord/>
      <trackRevisions>false</trackRevisions>
    </reviewItem>
    <reviewItem>
      <errorID>5b2335d7-1cd9-4004-b9e6-f6704d917347</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73AE5DEC</paraID>
      <start>0</start>
      <end>4</end>
      <status>unmodified</status>
      <modifiedWord/>
      <trackRevisions>false</trackRevisions>
    </reviewItem>
    <reviewItem>
      <errorID>286c7ab6-a064-48de-9056-57d2d57769bc</errorID>
      <errorWord>（</errorWord>
      <group>L1_Punc</group>
      <groupName>标点问题</groupName>
      <ability>L2_Punc_CN</ability>
      <abilityName/>
      <candidateList/>
      <explain>同一形式括号套用。</explain>
      <paraID>7929E34A</paraID>
      <start>72</start>
      <end>73</end>
      <status>unmodified</status>
      <modifiedWord/>
      <trackRevisions>false</trackRevisions>
    </reviewItem>
    <reviewItem>
      <errorID>69a32ccc-ab8c-4d63-b6cb-53fe1b7fe3a0</errorID>
      <errorWord>）</errorWord>
      <group>L1_Punc</group>
      <groupName>标点问题</groupName>
      <ability>L2_Punc_CN</ability>
      <abilityName/>
      <candidateList/>
      <explain>同一形式括号套用。</explain>
      <paraID>7929E34A</paraID>
      <start>74</start>
      <end>75</end>
      <status>unmodified</status>
      <modifiedWord/>
      <trackRevisions>false</trackRevisions>
    </reviewItem>
    <reviewItem>
      <errorID>b53cc8eb-68d7-4927-8ea1-c76d33144c8c</errorID>
      <errorWord>（</errorWord>
      <group>L1_Punc</group>
      <groupName>标点问题</groupName>
      <ability>L2_Punc_CN</ability>
      <abilityName/>
      <candidateList/>
      <explain>同一形式括号套用。</explain>
      <paraID>7929E34A</paraID>
      <start>83</start>
      <end>84</end>
      <status>unmodified</status>
      <modifiedWord/>
      <trackRevisions>false</trackRevisions>
    </reviewItem>
    <reviewItem>
      <errorID>2c82548d-dd6f-4bee-9dbc-87c316b1d0c6</errorID>
      <errorWord>）</errorWord>
      <group>L1_Punc</group>
      <groupName>标点问题</groupName>
      <ability>L2_Punc_CN</ability>
      <abilityName/>
      <candidateList/>
      <explain>同一形式括号套用。</explain>
      <paraID>7929E34A</paraID>
      <start>85</start>
      <end>86</end>
      <status>unmodified</status>
      <modifiedWord/>
      <trackRevisions>false</trackRevisions>
    </reviewItem>
    <reviewItem>
      <errorID>1938ec91-2d51-4be1-a08c-77349f24b215</errorID>
      <errorWord>，</errorWord>
      <group>L1_Format</group>
      <groupName>格式问题</groupName>
      <ability>L2_HalfPunc_CN</ability>
      <abilityName/>
      <candidateList>
        <item>, </item>
      </candidateList>
      <explain>文本全半角错误。</explain>
      <paraID>17C52859</paraID>
      <start>9</start>
      <end>10</end>
      <status>unmodified</status>
      <modifiedWord/>
      <trackRevisions>false</trackRevisions>
    </reviewItem>
    <reviewItem>
      <errorID>db2110d8-4e40-44e9-94c6-ce1ed42a1994</errorID>
      <errorWord>，</errorWord>
      <group>L1_Format</group>
      <groupName>格式问题</groupName>
      <ability>L2_HalfPunc_CN</ability>
      <abilityName/>
      <candidateList>
        <item>, </item>
      </candidateList>
      <explain>文本全半角错误。</explain>
      <paraID>7B2928FD</paraID>
      <start>9</start>
      <end>10</end>
      <status>unmodified</status>
      <modifiedWord/>
      <trackRevisions>false</trackRevisions>
    </reviewItem>
    <reviewItem>
      <errorID>dea20d02-3df6-4eaa-bb87-00579191593d</errorID>
      <errorWord>，</errorWord>
      <group>L1_Format</group>
      <groupName>格式问题</groupName>
      <ability>L2_HalfPunc_CN</ability>
      <abilityName/>
      <candidateList>
        <item>, </item>
      </candidateList>
      <explain>文本全半角错误。</explain>
      <paraID>775498E0</paraID>
      <start>9</start>
      <end>10</end>
      <status>unmodified</status>
      <modifiedWord/>
      <trackRevisions>false</trackRevisions>
    </reviewItem>
    <reviewItem>
      <errorID>8c5db378-cca3-4c00-a870-b8c7b2e63ec4</errorID>
      <errorWord>，</errorWord>
      <group>L1_Format</group>
      <groupName>格式问题</groupName>
      <ability>L2_HalfPunc_CN</ability>
      <abilityName/>
      <candidateList>
        <item>, </item>
      </candidateList>
      <explain>文本全半角错误。</explain>
      <paraID>72CAD81B</paraID>
      <start>9</start>
      <end>10</end>
      <status>unmodified</status>
      <modifiedWord/>
      <trackRevisions>false</trackRevisions>
    </reviewItem>
    <reviewItem>
      <errorID>6afc6082-99d8-43a7-b3f2-61ce8cf37c81</errorID>
      <errorWord>，</errorWord>
      <group>L1_Format</group>
      <groupName>格式问题</groupName>
      <ability>L2_HalfPunc_CN</ability>
      <abilityName/>
      <candidateList>
        <item>, </item>
      </candidateList>
      <explain>文本全半角错误。</explain>
      <paraID>55DBAC87</paraID>
      <start>9</start>
      <end>10</end>
      <status>unmodified</status>
      <modifiedWord/>
      <trackRevisions>false</trackRevisions>
    </reviewItem>
    <reviewItem>
      <errorID>2bc15c83-6eae-429c-9f42-65514442f7e9</errorID>
      <errorWord>，</errorWord>
      <group>L1_Format</group>
      <groupName>格式问题</groupName>
      <ability>L2_HalfPunc_CN</ability>
      <abilityName/>
      <candidateList>
        <item>, </item>
      </candidateList>
      <explain>文本全半角错误。</explain>
      <paraID>7EBA0ADF</paraID>
      <start>9</start>
      <end>10</end>
      <status>unmodified</status>
      <modifiedWord/>
      <trackRevisions>false</trackRevisions>
    </reviewItem>
    <reviewItem>
      <errorID>3943f97e-4a9f-4a37-a516-45f49f3b3872</errorID>
      <errorWord>，</errorWord>
      <group>L1_Format</group>
      <groupName>格式问题</groupName>
      <ability>L2_HalfPunc_CN</ability>
      <abilityName/>
      <candidateList>
        <item>, </item>
      </candidateList>
      <explain>文本全半角错误。</explain>
      <paraID>662C7108</paraID>
      <start>9</start>
      <end>10</end>
      <status>unmodified</status>
      <modifiedWord/>
      <trackRevisions>false</trackRevisions>
    </reviewItem>
    <reviewItem>
      <errorID>d58ddccb-3f78-4561-b944-f08729867dc3</errorID>
      <errorWord>，</errorWord>
      <group>L1_Format</group>
      <groupName>格式问题</groupName>
      <ability>L2_HalfPunc_CN</ability>
      <abilityName/>
      <candidateList>
        <item>, </item>
      </candidateList>
      <explain>文本全半角错误。</explain>
      <paraID>1A8B79F5</paraID>
      <start>9</start>
      <end>10</end>
      <status>unmodified</status>
      <modifiedWord/>
      <trackRevisions>false</trackRevisions>
    </reviewItem>
    <reviewItem>
      <errorID>045d53e7-386e-48f9-a297-48d71bbd876c</errorID>
      <errorWord>，</errorWord>
      <group>L1_Format</group>
      <groupName>格式问题</groupName>
      <ability>L2_HalfPunc_CN</ability>
      <abilityName/>
      <candidateList>
        <item>, </item>
      </candidateList>
      <explain>文本全半角错误。</explain>
      <paraID>3518E63B</paraID>
      <start>9</start>
      <end>10</end>
      <status>unmodified</status>
      <modifiedWord/>
      <trackRevisions>false</trackRevisions>
    </reviewItem>
    <reviewItem>
      <errorID>fe8d964a-e4b7-478e-838f-b1c51badc07e</errorID>
      <errorWord>，</errorWord>
      <group>L1_Format</group>
      <groupName>格式问题</groupName>
      <ability>L2_HalfPunc_CN</ability>
      <abilityName/>
      <candidateList>
        <item>, </item>
      </candidateList>
      <explain>文本全半角错误。</explain>
      <paraID>4AB8AAE3</paraID>
      <start>9</start>
      <end>10</end>
      <status>unmodified</status>
      <modifiedWord/>
      <trackRevisions>false</trackRevisions>
    </reviewItem>
    <reviewItem>
      <errorID>06b300c3-0853-4893-a93d-5e4d221c997d</errorID>
      <errorWord>~</errorWord>
      <group>L1_Format</group>
      <groupName>格式问题</groupName>
      <ability>L2_HalfPunc_CN</ability>
      <abilityName/>
      <candidateList>
        <item>～</item>
      </candidateList>
      <explain>文本全半角错误。</explain>
      <paraID>4695B4A8</paraID>
      <start>41</start>
      <end>42</end>
      <status>unmodified</status>
      <modifiedWord/>
      <trackRevisions>false</trackRevisions>
    </reviewItem>
    <reviewItem>
      <errorID>63817440-eb8a-46e7-928b-5a32714fdee1</errorID>
      <errorWord>~</errorWord>
      <group>L1_Format</group>
      <groupName>格式问题</groupName>
      <ability>L2_HalfPunc_CN</ability>
      <abilityName/>
      <candidateList>
        <item>～</item>
      </candidateList>
      <explain>文本全半角错误。</explain>
      <paraID>4695B4A8</paraID>
      <start>50</start>
      <end>51</end>
      <status>unmodified</status>
      <modifiedWord/>
      <trackRevisions>false</trackRevisions>
    </reviewItem>
    <reviewItem>
      <errorID>639e1ee4-e3b2-408b-8851-34351a338df5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5E6166D4</paraID>
      <start>0</start>
      <end>2</end>
      <status>unmodified</status>
      <modifiedWord/>
      <trackRevisions>false</trackRevisions>
    </reviewItem>
    <reviewItem>
      <errorID>e9348f01-affa-40e9-8d4b-515a51f5e1f8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7215CA0C</paraID>
      <start>0</start>
      <end>2</end>
      <status>unmodified</status>
      <modifiedWord/>
      <trackRevisions>false</trackRevisions>
    </reviewItem>
    <reviewItem>
      <errorID>ea596843-c8dc-451b-b78b-6016cd46c4d9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1869E614</paraID>
      <start>0</start>
      <end>2</end>
      <status>unmodified</status>
      <modifiedWord/>
      <trackRevisions>false</trackRevisions>
    </reviewItem>
    <reviewItem>
      <errorID>59f3d69f-2229-40af-8497-8f0279d0227d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28AF429D</paraID>
      <start>0</start>
      <end>2</end>
      <status>unmodified</status>
      <modifiedWord/>
      <trackRevisions>false</trackRevisions>
    </reviewItem>
    <reviewItem>
      <errorID>813f28df-4075-4a08-b7cc-1e729250e04e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4AF05BFA</paraID>
      <start>0</start>
      <end>2</end>
      <status>unmodified</status>
      <modifiedWord/>
      <trackRevisions>false</trackRevisions>
    </reviewItem>
    <reviewItem>
      <errorID>6891f4fd-e2e5-4ab0-99b8-a4b5d0bf0a70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640B9A21</paraID>
      <start>0</start>
      <end>2</end>
      <status>unmodified</status>
      <modifiedWord/>
      <trackRevisions>false</trackRevisions>
    </reviewItem>
    <reviewItem>
      <errorID>ae481b4e-0196-4e91-8a30-e583f83f1b91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51C34062</paraID>
      <start>0</start>
      <end>2</end>
      <status>unmodified</status>
      <modifiedWord/>
      <trackRevisions>false</trackRevisions>
    </reviewItem>
    <reviewItem>
      <errorID>c9f74f3c-5d7a-4383-a508-18a04f55299d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5830277C</paraID>
      <start>0</start>
      <end>2</end>
      <status>unmodified</status>
      <modifiedWord/>
      <trackRevisions>false</trackRevisions>
    </reviewItem>
    <reviewItem>
      <errorID>7f67404f-b3d0-43dd-9824-47e0ef917227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3DF31B2D</paraID>
      <start>0</start>
      <end>2</end>
      <status>unmodified</status>
      <modifiedWord/>
      <trackRevisions>false</trackRevisions>
    </reviewItem>
    <reviewItem>
      <errorID>380b1e5b-377e-4478-b4ae-dbaa8dd2fe2a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482ED7AA</paraID>
      <start>0</start>
      <end>2</end>
      <status>unmodified</status>
      <modifiedWord/>
      <trackRevisions>false</trackRevisions>
    </reviewItem>
    <reviewItem>
      <errorID>22293202-ade6-41df-9d37-ce0811bf09af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43E57D2D</paraID>
      <start>0</start>
      <end>2</end>
      <status>unmodified</status>
      <modifiedWord/>
      <trackRevisions>false</trackRevisions>
    </reviewItem>
    <reviewItem>
      <errorID>1343f456-6a63-4336-b784-be0520fcff90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39BC4E08</paraID>
      <start>0</start>
      <end>2</end>
      <status>unmodified</status>
      <modifiedWord/>
      <trackRevisions>false</trackRevisions>
    </reviewItem>
    <reviewItem>
      <errorID>57130e7d-a7fb-44b0-896c-6dc96d839c84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57A864CE</paraID>
      <start>0</start>
      <end>2</end>
      <status>unmodified</status>
      <modifiedWord/>
      <trackRevisions>false</trackRevisions>
    </reviewItem>
    <reviewItem>
      <errorID>48bbf6fd-e225-4b98-be74-4d66ae633688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53ADB073</paraID>
      <start>0</start>
      <end>2</end>
      <status>unmodified</status>
      <modifiedWord/>
      <trackRevisions>false</trackRevisions>
    </reviewItem>
    <reviewItem>
      <errorID>16a77119-167e-4e19-b566-1b902e37473f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404015A9</paraID>
      <start>0</start>
      <end>2</end>
      <status>unmodified</status>
      <modifiedWord/>
      <trackRevisions>false</trackRevisions>
    </reviewItem>
    <reviewItem>
      <errorID>49841159-863b-43e0-bf66-5954cfc66b29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5C062F85</paraID>
      <start>0</start>
      <end>2</end>
      <status>unmodified</status>
      <modifiedWord/>
      <trackRevisions>false</trackRevisions>
    </reviewItem>
    <reviewItem>
      <errorID>68d3036f-3787-4f2c-9a58-21f13c76815f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6B0E0B</paraID>
      <start>0</start>
      <end>2</end>
      <status>unmodified</status>
      <modifiedWord/>
      <trackRevisions>false</trackRevisions>
    </reviewItem>
    <reviewItem>
      <errorID>c28a676c-c504-4e4e-ab1a-446c5bbe924e</errorID>
      <errorWord>1,</errorWord>
      <group>L1_Format</group>
      <groupName>格式问题</groupName>
      <ability>L2_Ordinal</ability>
      <abilityName>序号格式</abilityName>
      <candidateList>
        <item>1.</item>
      </candidateList>
      <explain>当前序号格式不规范，建议修改为规范格式[1.]。</explain>
      <paraID> 7006C68</paraID>
      <start>0</start>
      <end>2</end>
      <status>unmodified</status>
      <modifiedWord/>
      <trackRevisions>false</trackRevisions>
    </reviewItem>
    <reviewItem>
      <errorID>086ee20f-fbc2-4057-b413-90f7a3bf2d76</errorID>
      <errorWord>1,</errorWord>
      <group>L1_Format</group>
      <groupName>格式问题</groupName>
      <ability>L2_Ordinal</ability>
      <abilityName>序号格式</abilityName>
      <candidateList>
        <item>1.</item>
      </candidateList>
      <explain>当前序号格式不规范，建议修改为规范格式[1.]。</explain>
      <paraID> 35E5DBF</paraID>
      <start>0</start>
      <end>2</end>
      <status>unmodified</status>
      <modifiedWord/>
      <trackRevisions>false</trackRevisions>
    </reviewItem>
    <reviewItem>
      <errorID>506ab7ff-893b-4e72-b29f-75a0d74e822f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18F1924E</paraID>
      <start>0</start>
      <end>2</end>
      <status>unmodified</status>
      <modifiedWord/>
      <trackRevisions>false</trackRevisions>
    </reviewItem>
    <reviewItem>
      <errorID>71cd7d77-30a4-4f2b-9712-9a43c5f332bf</errorID>
      <errorWord>1,</errorWord>
      <group>L1_Format</group>
      <groupName>格式问题</groupName>
      <ability>L2_Ordinal</ability>
      <abilityName>序号格式</abilityName>
      <candidateList>
        <item>1.</item>
      </candidateList>
      <explain>当前序号格式不规范，建议修改为规范格式[1.]。</explain>
      <paraID>6E6B3552</paraID>
      <start>0</start>
      <end>2</end>
      <status>unmodified</status>
      <modifiedWord/>
      <trackRevisions>false</trackRevisions>
    </reviewItem>
    <reviewItem>
      <errorID>aaf9d434-5f27-47d4-8345-b015541ccab8</errorID>
      <errorWord>1,</errorWord>
      <group>L1_Format</group>
      <groupName>格式问题</groupName>
      <ability>L2_Ordinal</ability>
      <abilityName>序号格式</abilityName>
      <candidateList>
        <item>1.</item>
      </candidateList>
      <explain>当前序号格式不规范，建议修改为规范格式[1.]。</explain>
      <paraID>5E3B157F</paraID>
      <start>0</start>
      <end>2</end>
      <status>unmodified</status>
      <modifiedWord/>
      <trackRevisions>false</trackRevisions>
    </reviewItem>
    <reviewItem>
      <errorID>534b2cfa-61e5-421a-8daa-a2990f2707d3</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5D8108E3</paraID>
      <start>113</start>
      <end>120</end>
      <status>unmodified</status>
      <modifiedWord/>
      <trackRevisions>false</trackRevisions>
    </reviewItem>
    <reviewItem>
      <errorID>3d9a642b-f19d-4f8e-8840-dcc271f028c1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5D8108E3</paraID>
      <start>129</start>
      <end>130</end>
      <status>unmodified</status>
      <modifiedWord/>
      <trackRevisions>false</trackRevisions>
    </reviewItem>
    <reviewItem>
      <errorID>c59f9d93-9fd6-44d2-ab37-2a75b7fd184e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5D8108E3</paraID>
      <start>149</start>
      <end>150</end>
      <status>unmodified</status>
      <modifiedWord/>
      <trackRevisions>false</trackRevisions>
    </reviewItem>
    <reviewItem>
      <errorID>125e0d92-a976-4d4a-b2ca-44a0eeb6a062</errorID>
      <errorWord>，</errorWord>
      <group>L1_Format</group>
      <groupName>格式问题</groupName>
      <ability>L2_HalfPunc_CN</ability>
      <abilityName/>
      <candidateList>
        <item>, </item>
      </candidateList>
      <explain>文本全半角错误。</explain>
      <paraID>2F1937CC</paraID>
      <start>9</start>
      <end>10</end>
      <status>unmodified</status>
      <modifiedWord/>
      <trackRevisions>false</trackRevisions>
    </reviewItem>
    <reviewItem>
      <errorID>f0f1e51d-14c1-4f7b-a95e-25825bc9a3c4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340C9C56</paraID>
      <start>2</start>
      <end>3</end>
      <status>unmodified</status>
      <modifiedWord/>
      <trackRevisions>false</trackRevisions>
    </reviewItem>
    <reviewItem>
      <errorID>dbfaa909-4fb3-4331-80b5-11c6ed2040f0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1D63A42B</paraID>
      <start>3</start>
      <end>4</end>
      <status>unmodified</status>
      <modifiedWord/>
      <trackRevisions>false</trackRevisions>
    </reviewItem>
    <reviewItem>
      <errorID>0de6a60c-29e3-4a8d-8a58-a4ab1f7f3da0</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 72440AC</paraID>
      <start>6</start>
      <end>13</end>
      <status>unmodified</status>
      <modifiedWord/>
      <trackRevisions>false</trackRevisions>
    </reviewItem>
    <reviewItem>
      <errorID>686b5b1d-ab98-416c-a53e-1b067cac4089</errorID>
      <errorWord>砾幕</errorWord>
      <group>L1_Word</group>
      <groupName>字词问题</groupName>
      <ability>L2_Typo</ability>
      <abilityName>字词错误</abilityName>
      <candidateList>
        <item>林木</item>
      </candidateList>
      <explain/>
      <paraID>1780EEDE</paraID>
      <start>2</start>
      <end>4</end>
      <status>unmodified</status>
      <modifiedWord/>
      <trackRevisions>false</trackRevisions>
    </reviewItem>
    <reviewItem>
      <errorID>99db391e-feac-4230-9c68-761c1ba39e94</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5C205958</paraID>
      <start>87</start>
      <end>94</end>
      <status>unmodified</status>
      <modifiedWord/>
      <trackRevisions>false</trackRevisions>
    </reviewItem>
    <reviewItem>
      <errorID>7565f636-c688-4ee3-896e-7fd9e4bb50aa</errorID>
      <errorWord>（</errorWord>
      <group>L1_Format</group>
      <groupName>格式问题</groupName>
      <ability>L2_HalfPunc_CN</ability>
      <abilityName/>
      <candidateList>
        <item>(</item>
      </candidateList>
      <explain>文本全半角错误。</explain>
      <paraID>3392BFDD</paraID>
      <start>7</start>
      <end>8</end>
      <status>unmodified</status>
      <modifiedWord/>
      <trackRevisions>false</trackRevisions>
    </reviewItem>
    <reviewItem>
      <errorID>fd2da4f9-0ad3-4953-8ea9-3cfcb823cd95</errorID>
      <errorWord>）</errorWord>
      <group>L1_Format</group>
      <groupName>格式问题</groupName>
      <ability>L2_HalfPunc_CN</ability>
      <abilityName/>
      <candidateList>
        <item>)</item>
      </candidateList>
      <explain>文本全半角错误。</explain>
      <paraID>3392BFDD</paraID>
      <start>9</start>
      <end>10</end>
      <status>unmodified</status>
      <modifiedWord/>
      <trackRevisions>false</trackRevisions>
    </reviewItem>
    <reviewItem>
      <errorID>5456ed61-6895-40a8-8e7c-32849bf9a8ea</errorID>
      <errorWord>（</errorWord>
      <group>L1_Format</group>
      <groupName>格式问题</groupName>
      <ability>L2_HalfPunc_CN</ability>
      <abilityName/>
      <candidateList>
        <item>(</item>
      </candidateList>
      <explain>文本全半角错误。</explain>
      <paraID>13BF2D84</paraID>
      <start>3</start>
      <end>4</end>
      <status>unmodified</status>
      <modifiedWord/>
      <trackRevisions>false</trackRevisions>
    </reviewItem>
    <reviewItem>
      <errorID>c2592c04-bfda-42e9-843a-29ee05cdc9ce</errorID>
      <errorWord>）</errorWord>
      <group>L1_Format</group>
      <groupName>格式问题</groupName>
      <ability>L2_HalfPunc_CN</ability>
      <abilityName/>
      <candidateList>
        <item>)</item>
      </candidateList>
      <explain>文本全半角错误。</explain>
      <paraID>13BF2D84</paraID>
      <start>9</start>
      <end>10</end>
      <status>unmodified</status>
      <modifiedWord/>
      <trackRevisions>false</trackRevisions>
    </reviewItem>
    <reviewItem>
      <errorID>332c3262-1137-404e-8b95-c31e5f051ce4</errorID>
      <errorWord>（</errorWord>
      <group>L1_Format</group>
      <groupName>格式问题</groupName>
      <ability>L2_HalfPunc_CN</ability>
      <abilityName/>
      <candidateList>
        <item>(</item>
      </candidateList>
      <explain>文本全半角错误。</explain>
      <paraID> 142E971</paraID>
      <start>3</start>
      <end>4</end>
      <status>unmodified</status>
      <modifiedWord/>
      <trackRevisions>false</trackRevisions>
    </reviewItem>
    <reviewItem>
      <errorID>083ac4d0-af5f-47c3-844b-18157ce90b25</errorID>
      <errorWord>）</errorWord>
      <group>L1_Format</group>
      <groupName>格式问题</groupName>
      <ability>L2_HalfPunc_CN</ability>
      <abilityName/>
      <candidateList>
        <item>)</item>
      </candidateList>
      <explain>文本全半角错误。</explain>
      <paraID> 142E971</paraID>
      <start>9</start>
      <end>10</end>
      <status>unmodified</status>
      <modifiedWord/>
      <trackRevisions>false</trackRevisions>
    </reviewItem>
    <reviewItem>
      <errorID>5fd53bd9-a48f-4d9c-82fe-1d513bd7066c</errorID>
      <errorWord>（</errorWord>
      <group>L1_Format</group>
      <groupName>格式问题</groupName>
      <ability>L2_HalfPunc_CN</ability>
      <abilityName/>
      <candidateList>
        <item>(</item>
      </candidateList>
      <explain>文本全半角错误。</explain>
      <paraID>3DE111DE</paraID>
      <start>3</start>
      <end>4</end>
      <status>unmodified</status>
      <modifiedWord/>
      <trackRevisions>false</trackRevisions>
    </reviewItem>
    <reviewItem>
      <errorID>9da8d553-1be9-4dd1-8581-696a21de5e13</errorID>
      <errorWord>）</errorWord>
      <group>L1_Format</group>
      <groupName>格式问题</groupName>
      <ability>L2_HalfPunc_CN</ability>
      <abilityName/>
      <candidateList>
        <item>)</item>
      </candidateList>
      <explain>文本全半角错误。</explain>
      <paraID>3DE111DE</paraID>
      <start>9</start>
      <end>10</end>
      <status>unmodified</status>
      <modifiedWord/>
      <trackRevisions>false</trackRevisions>
    </reviewItem>
    <reviewItem>
      <errorID>ea928e53-6808-46b0-8e8b-91c11da68373</errorID>
      <errorWord>（</errorWord>
      <group>L1_Format</group>
      <groupName>格式问题</groupName>
      <ability>L2_HalfPunc_CN</ability>
      <abilityName/>
      <candidateList>
        <item>(</item>
      </candidateList>
      <explain>文本全半角错误。</explain>
      <paraID>2BAC562C</paraID>
      <start>3</start>
      <end>4</end>
      <status>unmodified</status>
      <modifiedWord/>
      <trackRevisions>false</trackRevisions>
    </reviewItem>
    <reviewItem>
      <errorID>311eed08-0769-4fc0-9b6f-daa7a561ecca</errorID>
      <errorWord>）</errorWord>
      <group>L1_Format</group>
      <groupName>格式问题</groupName>
      <ability>L2_HalfPunc_CN</ability>
      <abilityName/>
      <candidateList>
        <item>)</item>
      </candidateList>
      <explain>文本全半角错误。</explain>
      <paraID>2BAC562C</paraID>
      <start>9</start>
      <end>10</end>
      <status>unmodified</status>
      <modifiedWord/>
      <trackRevisions>false</trackRevisions>
    </reviewItem>
    <reviewItem>
      <errorID>8795f62a-5b17-4e4f-9f0d-02d7baab6f98</errorID>
      <errorWord>（</errorWord>
      <group>L1_Format</group>
      <groupName>格式问题</groupName>
      <ability>L2_HalfPunc_CN</ability>
      <abilityName/>
      <candidateList>
        <item>(</item>
      </candidateList>
      <explain>文本全半角错误。</explain>
      <paraID>627294F2</paraID>
      <start>3</start>
      <end>4</end>
      <status>unmodified</status>
      <modifiedWord/>
      <trackRevisions>false</trackRevisions>
    </reviewItem>
    <reviewItem>
      <errorID>c90cf493-5d5e-4733-949e-a5352ef3dd2c</errorID>
      <errorWord>）</errorWord>
      <group>L1_Format</group>
      <groupName>格式问题</groupName>
      <ability>L2_HalfPunc_CN</ability>
      <abilityName/>
      <candidateList>
        <item>)</item>
      </candidateList>
      <explain>文本全半角错误。</explain>
      <paraID>627294F2</paraID>
      <start>9</start>
      <end>10</end>
      <status>unmodified</status>
      <modifiedWord/>
      <trackRevisions>false</trackRevisions>
    </reviewItem>
    <reviewItem>
      <errorID>e976740b-5c72-4e46-be9d-2346f205201b</errorID>
      <errorWord>（</errorWord>
      <group>L1_Format</group>
      <groupName>格式问题</groupName>
      <ability>L2_HalfPunc_CN</ability>
      <abilityName/>
      <candidateList>
        <item>(</item>
      </candidateList>
      <explain>文本全半角错误。</explain>
      <paraID>5D9B9A8D</paraID>
      <start>3</start>
      <end>4</end>
      <status>unmodified</status>
      <modifiedWord/>
      <trackRevisions>false</trackRevisions>
    </reviewItem>
    <reviewItem>
      <errorID>613906d3-895d-42ac-ae14-bdfc84d228db</errorID>
      <errorWord>）</errorWord>
      <group>L1_Format</group>
      <groupName>格式问题</groupName>
      <ability>L2_HalfPunc_CN</ability>
      <abilityName/>
      <candidateList>
        <item>)</item>
      </candidateList>
      <explain>文本全半角错误。</explain>
      <paraID>5D9B9A8D</paraID>
      <start>9</start>
      <end>10</end>
      <status>unmodified</status>
      <modifiedWord/>
      <trackRevisions>false</trackRevisions>
    </reviewItem>
    <reviewItem>
      <errorID>dd4977d4-1b8b-4f44-bddf-1191bb4e3c32</errorID>
      <errorWord>（</errorWord>
      <group>L1_Format</group>
      <groupName>格式问题</groupName>
      <ability>L2_HalfPunc_CN</ability>
      <abilityName/>
      <candidateList>
        <item>(</item>
      </candidateList>
      <explain>文本全半角错误。</explain>
      <paraID>7D3A70F0</paraID>
      <start>1</start>
      <end>2</end>
      <status>unmodified</status>
      <modifiedWord/>
      <trackRevisions>false</trackRevisions>
    </reviewItem>
    <reviewItem>
      <errorID>5cc01f08-38d8-4da4-b890-573e3c99ada0</errorID>
      <errorWord>）</errorWord>
      <group>L1_Format</group>
      <groupName>格式问题</groupName>
      <ability>L2_HalfPunc_CN</ability>
      <abilityName/>
      <candidateList>
        <item>)</item>
      </candidateList>
      <explain>文本全半角错误。</explain>
      <paraID>7D3A70F0</paraID>
      <start>6</start>
      <end>7</end>
      <status>unmodified</status>
      <modifiedWord/>
      <trackRevisions>false</trackRevisions>
    </reviewItem>
    <reviewItem>
      <errorID>436462e5-2493-44e2-89f4-0963d2c99eb8</errorID>
      <errorWord>（</errorWord>
      <group>L1_Format</group>
      <groupName>格式问题</groupName>
      <ability>L2_HalfPunc_CN</ability>
      <abilityName/>
      <candidateList>
        <item>(</item>
      </candidateList>
      <explain>文本全半角错误。</explain>
      <paraID>6997A44F</paraID>
      <start>2</start>
      <end>3</end>
      <status>unmodified</status>
      <modifiedWord/>
      <trackRevisions>false</trackRevisions>
    </reviewItem>
    <reviewItem>
      <errorID>4f629793-01ce-436e-9004-367988bb489f</errorID>
      <errorWord>）</errorWord>
      <group>L1_Format</group>
      <groupName>格式问题</groupName>
      <ability>L2_HalfPunc_CN</ability>
      <abilityName/>
      <candidateList>
        <item>)</item>
      </candidateList>
      <explain>文本全半角错误。</explain>
      <paraID>6997A44F</paraID>
      <start>7</start>
      <end>8</end>
      <status>unmodified</status>
      <modifiedWord/>
      <trackRevisions>false</trackRevisions>
    </reviewItem>
    <reviewItem>
      <errorID>e20faf4b-32e3-4d16-af59-c2ad9bf0c247</errorID>
      <errorWord>（</errorWord>
      <group>L1_Format</group>
      <groupName>格式问题</groupName>
      <ability>L2_HalfPunc_CN</ability>
      <abilityName/>
      <candidateList>
        <item>(</item>
      </candidateList>
      <explain>文本全半角错误。</explain>
      <paraID>4F050EB4</paraID>
      <start>2</start>
      <end>3</end>
      <status>unmodified</status>
      <modifiedWord/>
      <trackRevisions>false</trackRevisions>
    </reviewItem>
    <reviewItem>
      <errorID>a32fd2b6-e7ac-4c1d-a643-460189001e9a</errorID>
      <errorWord>）</errorWord>
      <group>L1_Format</group>
      <groupName>格式问题</groupName>
      <ability>L2_HalfPunc_CN</ability>
      <abilityName/>
      <candidateList>
        <item>)</item>
      </candidateList>
      <explain>文本全半角错误。</explain>
      <paraID>4F050EB4</paraID>
      <start>7</start>
      <end>8</end>
      <status>unmodified</status>
      <modifiedWord/>
      <trackRevisions>false</trackRevisions>
    </reviewItem>
    <reviewItem>
      <errorID>f33e5792-be8a-48be-ae5d-c1bf0b65c214</errorID>
      <errorWord>（</errorWord>
      <group>L1_Format</group>
      <groupName>格式问题</groupName>
      <ability>L2_HalfPunc_CN</ability>
      <abilityName/>
      <candidateList>
        <item>(</item>
      </candidateList>
      <explain>文本全半角错误。</explain>
      <paraID>77DBDE73</paraID>
      <start>2</start>
      <end>3</end>
      <status>unmodified</status>
      <modifiedWord/>
      <trackRevisions>false</trackRevisions>
    </reviewItem>
    <reviewItem>
      <errorID>be9a9d19-9522-4f11-8975-a00c0b2f4b0b</errorID>
      <errorWord>）</errorWord>
      <group>L1_Format</group>
      <groupName>格式问题</groupName>
      <ability>L2_HalfPunc_CN</ability>
      <abilityName/>
      <candidateList>
        <item>)</item>
      </candidateList>
      <explain>文本全半角错误。</explain>
      <paraID>77DBDE73</paraID>
      <start>7</start>
      <end>8</end>
      <status>unmodified</status>
      <modifiedWord/>
      <trackRevisions>false</trackRevisions>
    </reviewItem>
    <reviewItem>
      <errorID>d8cf2421-29ca-4709-a447-b8f6e2a03e1c</errorID>
      <errorWord>30%~80%</errorWord>
      <group>L1_Knowledge</group>
      <groupName>知识性问题</groupName>
      <ability>L2_Knowledge</ability>
      <abilityName>其他知识</abilityName>
      <candidateList>
        <item>30%～80%</item>
      </candidateList>
      <explain>1. “30%~80%”中的单位“%”仅出现在后一个数字上，容易引起歧义；根据《现代汉语标点符号数字用法规范手册》，数字表示范围两边需要使用统一的格式。2. 根据标点国标 4.13 中的规则，数字、时间或地域连接符应使用（视觉上更长的）“—”或“～”。</explain>
      <paraID>70458EE1</paraID>
      <start>55</start>
      <end>62</end>
      <status>unmodified</status>
      <modifiedWord/>
      <trackRevisions>false</trackRevisions>
    </reviewItem>
    <reviewItem>
      <errorID>c390e731-a9eb-4030-af61-581b871e6d6b</errorID>
      <errorWord>~</errorWord>
      <group>L1_Format</group>
      <groupName>格式问题</groupName>
      <ability>L2_HalfPunc_CN</ability>
      <abilityName/>
      <candidateList>
        <item>～</item>
      </candidateList>
      <explain>文本全半角错误。</explain>
      <paraID>70458EE1</paraID>
      <start>79</start>
      <end>80</end>
      <status>unmodified</status>
      <modifiedWord/>
      <trackRevisions>false</trackRevisions>
    </reviewItem>
    <reviewItem>
      <errorID>12772144-61a1-441a-bb57-cb0839281769</errorID>
      <errorWord>（</errorWord>
      <group>L1_Format</group>
      <groupName>格式问题</groupName>
      <ability>L2_HalfPunc_CN</ability>
      <abilityName/>
      <candidateList>
        <item>(</item>
      </candidateList>
      <explain>文本全半角错误。</explain>
      <paraID>137C5893</paraID>
      <start>0</start>
      <end>1</end>
      <status>unmodified</status>
      <modifiedWord/>
      <trackRevisions>false</trackRevisions>
    </reviewItem>
    <reviewItem>
      <errorID>3c4722bd-896c-443b-a1e7-c404e9ce2d06</errorID>
      <errorWord>）</errorWord>
      <group>L1_Format</group>
      <groupName>格式问题</groupName>
      <ability>L2_HalfPunc_CN</ability>
      <abilityName/>
      <candidateList>
        <item>)</item>
      </candidateList>
      <explain>文本全半角错误。</explain>
      <paraID>137C5893</paraID>
      <start>6</start>
      <end>7</end>
      <status>unmodified</status>
      <modifiedWord/>
      <trackRevisions>false</trackRevisions>
    </reviewItem>
    <reviewItem>
      <errorID>8a19a238-f807-4898-8410-dc6a85d98a8f</errorID>
      <errorWord>（</errorWord>
      <group>L1_Format</group>
      <groupName>格式问题</groupName>
      <ability>L2_HalfPunc_CN</ability>
      <abilityName/>
      <candidateList>
        <item>(</item>
      </candidateList>
      <explain>文本全半角错误。</explain>
      <paraID>2712AAD8</paraID>
      <start>5</start>
      <end>6</end>
      <status>unmodified</status>
      <modifiedWord/>
      <trackRevisions>false</trackRevisions>
    </reviewItem>
    <reviewItem>
      <errorID>7bdf4d50-7913-4cc3-9ba9-9a035ffa963a</errorID>
      <errorWord>）</errorWord>
      <group>L1_Format</group>
      <groupName>格式问题</groupName>
      <ability>L2_HalfPunc_CN</ability>
      <abilityName/>
      <candidateList>
        <item>)</item>
      </candidateList>
      <explain>文本全半角错误。</explain>
      <paraID>2712AAD8</paraID>
      <start>11</start>
      <end>12</end>
      <status>unmodified</status>
      <modifiedWord/>
      <trackRevisions>false</trackRevisions>
    </reviewItem>
    <reviewItem>
      <errorID>d6c9f247-0467-4094-b023-34d468520fa5</errorID>
      <errorWord>，</errorWord>
      <group>L1_Word</group>
      <groupName>字词问题</groupName>
      <ability>L2_Typo</ability>
      <abilityName>字词错误</abilityName>
      <candidateList>
        <item>，必</item>
      </candidateList>
      <explain/>
      <paraID>693689EC</paraID>
      <start>199</start>
      <end>200</end>
      <status>unmodified</status>
      <modifiedWord/>
      <trackRevisions>false</trackRevisions>
    </reviewItem>
    <reviewItem>
      <errorID>1251db69-a617-4a99-a8de-4f11dcddb973</errorID>
      <errorWord>~</errorWord>
      <group>L1_Format</group>
      <groupName>格式问题</groupName>
      <ability>L2_HalfPunc_CN</ability>
      <abilityName/>
      <candidateList>
        <item>～</item>
      </candidateList>
      <explain>文本全半角错误。</explain>
      <paraID>5D0244B1</paraID>
      <start>37</start>
      <end>38</end>
      <status>unmodified</status>
      <modifiedWord/>
      <trackRevisions>false</trackRevisions>
    </reviewItem>
    <reviewItem>
      <errorID>178f141e-7574-4732-afe5-8ad52cbff249</errorID>
      <errorWord>程</errorWord>
      <group>L1_Word</group>
      <groupName>字词问题</groupName>
      <ability>L2_Typo</ability>
      <abilityName>字词错误</abilityName>
      <candidateList>
        <item>程中</item>
      </candidateList>
      <explain/>
      <paraID>5FD74948</paraID>
      <start>17</start>
      <end>18</end>
      <status>unmodified</status>
      <modifiedWord/>
      <trackRevisions>false</trackRevisions>
    </reviewItem>
    <reviewItem>
      <errorID>dbb8dd7b-3ebf-400f-8d3d-238d2a70d64b</errorID>
      <errorWord>~</errorWord>
      <group>L1_Format</group>
      <groupName>格式问题</groupName>
      <ability>L2_HalfPunc_CN</ability>
      <abilityName/>
      <candidateList>
        <item>～</item>
      </candidateList>
      <explain>文本全半角错误。</explain>
      <paraID>200BE537</paraID>
      <start>24</start>
      <end>25</end>
      <status>unmodified</status>
      <modifiedWord/>
      <trackRevisions>false</trackRevisions>
    </reviewItem>
    <reviewItem>
      <errorID>6feb42ed-73cb-4719-b0dd-e17e325876cd</errorID>
      <errorWord>程</errorWord>
      <group>L1_Word</group>
      <groupName>字词问题</groupName>
      <ability>L2_Typo</ability>
      <abilityName>字词错误</abilityName>
      <candidateList>
        <item>程中</item>
      </candidateList>
      <explain/>
      <paraID>299D8AB6</paraID>
      <start>22</start>
      <end>23</end>
      <status>unmodified</status>
      <modifiedWord/>
      <trackRevisions>false</trackRevisions>
    </reviewItem>
    <reviewItem>
      <errorID>e595de7f-c603-4c80-ac44-e92a98c7049a</errorID>
      <errorWord>，</errorWord>
      <group>L1_Word</group>
      <groupName>字词问题</groupName>
      <ability>L2_Typo</ability>
      <abilityName>字词错误</abilityName>
      <candidateList>
        <item>，对</item>
      </candidateList>
      <explain/>
      <paraID>5C7810D3</paraID>
      <start>64</start>
      <end>65</end>
      <status>unmodified</status>
      <modifiedWord/>
      <trackRevisions>false</trackRevisions>
    </reviewItem>
    <reviewItem>
      <errorID>e7e6ea9d-d0fa-4d25-b016-b1e492fdc4d5</errorID>
      <errorWord>占</errorWord>
      <group>L1_Word</group>
      <groupName>字词问题</groupName>
      <ability>L2_Typo</ability>
      <abilityName>字词错误</abilityName>
      <candidateList>
        <item>占用</item>
      </candidateList>
      <explain/>
      <paraID>7D85E808</paraID>
      <start>98</start>
      <end>99</end>
      <status>unmodified</status>
      <modifiedWord/>
      <trackRevisions>false</trackRevisions>
    </reviewItem>
    <reviewItem>
      <errorID>f95d1e92-bbe0-4ac7-9415-275bd85e7e18</errorID>
      <errorWord>须</errorWord>
      <group>L1_Word</group>
      <groupName>字词问题</groupName>
      <ability>L2_Typo</ability>
      <abilityName>字词错误</abilityName>
      <candidateList>
        <item>需</item>
      </candidateList>
      <explain>存在发音相同字词的误用。</explain>
      <paraID>6573D3F4</paraID>
      <start>108</start>
      <end>109</end>
      <status>unmodified</status>
      <modifiedWord/>
      <trackRevisions>false</trackRevisions>
    </reviewItem>
    <reviewItem>
      <errorID>258c1689-7e04-4b69-be5c-96397535639e</errorID>
      <errorWord>~</errorWord>
      <group>L1_Format</group>
      <groupName>格式问题</groupName>
      <ability>L2_HalfPunc_CN</ability>
      <abilityName/>
      <candidateList>
        <item>～</item>
      </candidateList>
      <explain>文本全半角错误。</explain>
      <paraID>6573D3F4</paraID>
      <start>151</start>
      <end>152</end>
      <status>unmodified</status>
      <modifiedWord/>
      <trackRevisions>false</trackRevisions>
    </reviewItem>
    <reviewItem>
      <errorID>0711d93a-cc1d-4919-abf8-c283e3028917</errorID>
      <errorWord>至</errorWord>
      <group>L1_Word</group>
      <groupName>字词问题</groupName>
      <ability>L2_Typo</ability>
      <abilityName>字词错误</abilityName>
      <candidateList>
        <item>到</item>
      </candidateList>
      <explain>存在字形相近字词的误用。</explain>
      <paraID>5BA98288</paraID>
      <start>82</start>
      <end>83</end>
      <status>unmodified</status>
      <modifiedWord/>
      <trackRevisions>false</trackRevisions>
    </reviewItem>
    <reviewItem>
      <errorID>61fe823c-8045-4e3e-9a43-837263fea446</errorID>
      <errorWord>将会</errorWord>
      <group>L1_Word</group>
      <groupName>字词问题</groupName>
      <ability>L2_Typo</ability>
      <abilityName>字词错误</abilityName>
      <candidateList>
        <item>将</item>
      </candidateList>
      <explain>（jiāng）将要；（jiàng）勇将、上将、游泳健将；（qiāng）请求，将子无怒。</explain>
      <paraID>344CF6A3</paraID>
      <start>63</start>
      <end>65</end>
      <status>unmodified</status>
      <modifiedWord/>
      <trackRevisions>false</trackRevisions>
    </reviewItem>
    <reviewItem>
      <errorID>ee09a09d-a514-4997-871b-d95bc8b2ad17</errorID>
      <errorWord>：</errorWord>
      <group>L1_Format</group>
      <groupName>格式问题</groupName>
      <ability>L2_HalfPunc_CN</ability>
      <abilityName/>
      <candidateList>
        <item>:</item>
      </candidateList>
      <explain>文本全半角错误。</explain>
      <paraID>34420F94</paraID>
      <start>118</start>
      <end>119</end>
      <status>unmodified</status>
      <modifiedWord/>
      <trackRevisions>false</trackRevisions>
    </reviewItem>
    <reviewItem>
      <errorID>831620e7-d062-4a35-82d7-55c5743c587d</errorID>
      <errorWord>~</errorWord>
      <group>L1_Format</group>
      <groupName>格式问题</groupName>
      <ability>L2_HalfPunc_CN</ability>
      <abilityName/>
      <candidateList>
        <item>～</item>
      </candidateList>
      <explain>文本全半角错误。</explain>
      <paraID>69885ADD</paraID>
      <start>3</start>
      <end>4</end>
      <status>unmodified</status>
      <modifiedWord/>
      <trackRevisions>false</trackRevisions>
    </reviewItem>
    <reviewItem>
      <errorID>eddbc18b-1785-428f-9933-0105b566de8d</errorID>
      <errorWord>（</errorWord>
      <group>L1_Format</group>
      <groupName>格式问题</groupName>
      <ability>L2_HalfPunc_CN</ability>
      <abilityName/>
      <candidateList>
        <item>(</item>
      </candidateList>
      <explain>文本全半角错误。</explain>
      <paraID>1D3BE089</paraID>
      <start>0</start>
      <end>1</end>
      <status>unmodified</status>
      <modifiedWord/>
      <trackRevisions>false</trackRevisions>
    </reviewItem>
    <reviewItem>
      <errorID>eb6a2e08-9c98-4228-a36f-aaeac74fbe7f</errorID>
      <errorWord>）</errorWord>
      <group>L1_Format</group>
      <groupName>格式问题</groupName>
      <ability>L2_HalfPunc_CN</ability>
      <abilityName/>
      <candidateList>
        <item>)</item>
      </candidateList>
      <explain>文本全半角错误。</explain>
      <paraID>1D3BE089</paraID>
      <start>25</start>
      <end>26</end>
      <status>unmodified</status>
      <modifiedWord/>
      <trackRevisions>false</trackRevisions>
    </reviewItem>
    <reviewItem>
      <errorID>70a3d397-057d-4c65-8f51-8cefa52b1260</errorID>
      <errorWord>＞</errorWord>
      <group>L1_Format</group>
      <groupName>格式问题</groupName>
      <ability>L2_HalfPunc_CN</ability>
      <abilityName/>
      <candidateList>
        <item>&gt;</item>
      </candidateList>
      <explain>文本全半角错误。</explain>
      <paraID>2502D815</paraID>
      <start>1</start>
      <end>2</end>
      <status>unmodified</status>
      <modifiedWord/>
      <trackRevisions>false</trackRevisions>
    </reviewItem>
    <reviewItem>
      <errorID>0bec5622-ade3-4d3d-92dd-e90b74a0fdd2</errorID>
      <errorWord>（/</errorWord>
      <group>L1_Punc</group>
      <groupName>标点问题</groupName>
      <ability>L2_Punc_CN</ability>
      <abilityName/>
      <candidateList>
        <item>（</item>
      </candidateList>
      <explain/>
      <paraID> BA6D28B</paraID>
      <start>5</start>
      <end>7</end>
      <status>unmodified</status>
      <modifiedWord/>
      <trackRevisions>false</trackRevisions>
    </reviewItem>
    <reviewItem>
      <errorID>d840ec1e-a7ec-4e27-90f2-e5a28dfa2e82</errorID>
      <errorWord>（/</errorWord>
      <group>L1_Punc</group>
      <groupName>标点问题</groupName>
      <ability>L2_Punc_CN</ability>
      <abilityName/>
      <candidateList>
        <item>（</item>
      </candidateList>
      <explain/>
      <paraID>7304A276</paraID>
      <start>5</start>
      <end>7</end>
      <status>unmodified</status>
      <modifiedWord/>
      <trackRevisions>false</trackRevisions>
    </reviewItem>
    <reviewItem>
      <errorID>c7ee590e-5ce6-4ec6-ae50-9e378f69f608</errorID>
      <errorWord>（/</errorWord>
      <group>L1_Punc</group>
      <groupName>标点问题</groupName>
      <ability>L2_Punc_CN</ability>
      <abilityName/>
      <candidateList>
        <item>（</item>
      </candidateList>
      <explain/>
      <paraID>4DFFC865</paraID>
      <start>4</start>
      <end>6</end>
      <status>unmodified</status>
      <modifiedWord/>
      <trackRevisions>false</trackRevisions>
    </reviewItem>
    <reviewItem>
      <errorID>8bf93218-e95b-4ee9-8a1d-f458c0b08d48</errorID>
      <errorWord>）</errorWord>
      <group>L1_Format</group>
      <groupName>格式问题</groupName>
      <ability>L2_HalfPunc_CN</ability>
      <abilityName/>
      <candidateList>
        <item>)</item>
      </candidateList>
      <explain>文本全半角错误。</explain>
      <paraID>4DFFC865</paraID>
      <start>6</start>
      <end>7</end>
      <status>unmodified</status>
      <modifiedWord/>
      <trackRevisions>false</trackRevisions>
    </reviewItem>
    <reviewItem>
      <errorID>ffde0a81-5893-4531-9a7b-f879916e3b2b</errorID>
      <errorWord>（/</errorWord>
      <group>L1_Punc</group>
      <groupName>标点问题</groupName>
      <ability>L2_Punc_CN</ability>
      <abilityName/>
      <candidateList>
        <item>（</item>
      </candidateList>
      <explain/>
      <paraID>2A1267EA</paraID>
      <start>4</start>
      <end>6</end>
      <status>unmodified</status>
      <modifiedWord/>
      <trackRevisions>false</trackRevisions>
    </reviewItem>
    <reviewItem>
      <errorID>ae85b941-5e45-462f-9c0b-3a55cd0927af</errorID>
      <errorWord>）</errorWord>
      <group>L1_Format</group>
      <groupName>格式问题</groupName>
      <ability>L2_HalfPunc_CN</ability>
      <abilityName/>
      <candidateList>
        <item>)</item>
      </candidateList>
      <explain>文本全半角错误。</explain>
      <paraID>2A1267EA</paraID>
      <start>6</start>
      <end>7</end>
      <status>unmodified</status>
      <modifiedWord/>
      <trackRevisions>false</trackRevisions>
    </reviewItem>
    <reviewItem>
      <errorID>e49d26cb-37c9-46dd-927c-d48f9ba0db58</errorID>
      <errorWord>：（）</errorWord>
      <group>L1_Format</group>
      <groupName>格式问题</groupName>
      <ability>L2_HalfPunc_CN</ability>
      <abilityName/>
      <candidateList>
        <item>:()</item>
      </candidateList>
      <explain>文本全半角错误。</explain>
      <paraID>24B4C245</paraID>
      <start>4</start>
      <end>7</end>
      <status>unmodified</status>
      <modifiedWord/>
      <trackRevisions>false</trackRevisions>
    </reviewItem>
    <reviewItem>
      <errorID>7dd61f1c-9574-41fb-a92c-d630066fe4ca</errorID>
      <errorWord>-</errorWord>
      <group>L1_Format</group>
      <groupName>格式问题</groupName>
      <ability>L2_HalfPunc_CN</ability>
      <abilityName/>
      <candidateList>
        <item>－</item>
      </candidateList>
      <explain>文本全半角错误。</explain>
      <paraID>2BAD36CA</paraID>
      <start>11</start>
      <end>12</end>
      <status>unmodified</status>
      <modifiedWord/>
      <trackRevisions>false</trackRevisions>
    </reviewItem>
    <reviewItem>
      <errorID>934bddda-8507-4cf9-a137-283dc8576aaa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499864B</paraID>
      <start>151</start>
      <end>152</end>
      <status>unmodified</status>
      <modifiedWord/>
      <trackRevisions>false</trackRevisions>
    </reviewItem>
    <reviewItem>
      <errorID>9bef8f2f-e051-473b-bd1d-0cbf8618dd9c</errorID>
      <errorWord>（/</errorWord>
      <group>L1_Punc</group>
      <groupName>标点问题</groupName>
      <ability>L2_Punc_CN</ability>
      <abilityName/>
      <candidateList>
        <item>（</item>
      </candidateList>
      <explain/>
      <paraID>2F14D700</paraID>
      <start>66</start>
      <end>68</end>
      <status>unmodified</status>
      <modifiedWord/>
      <trackRevisions>false</trackRevisions>
    </reviewItem>
    <reviewItem>
      <errorID>d28995db-43a2-4b65-950f-feae44ff6abd</errorID>
      <errorWord>（/</errorWord>
      <group>L1_Punc</group>
      <groupName>标点问题</groupName>
      <ability>L2_Punc_CN</ability>
      <abilityName/>
      <candidateList>
        <item>（</item>
      </candidateList>
      <explain/>
      <paraID>72AA39D1</paraID>
      <start>0</start>
      <end>2</end>
      <status>unmodified</status>
      <modifiedWord/>
      <trackRevisions>false</trackRevisions>
    </reviewItem>
    <reviewItem>
      <errorID>21b1006a-e6fe-46af-96f8-2232f2fe50e4</errorID>
      <errorWord>（/</errorWord>
      <group>L1_Punc</group>
      <groupName>标点问题</groupName>
      <ability>L2_Punc_CN</ability>
      <abilityName/>
      <candidateList>
        <item>（</item>
      </candidateList>
      <explain/>
      <paraID>4929BEEF</paraID>
      <start>9</start>
      <end>11</end>
      <status>unmodified</status>
      <modifiedWord/>
      <trackRevisions>false</trackRevisions>
    </reviewItem>
    <reviewItem>
      <errorID>95b992fe-a874-412e-898d-edf53a7ad430</errorID>
      <errorWord>（/</errorWord>
      <group>L1_Punc</group>
      <groupName>标点问题</groupName>
      <ability>L2_Punc_CN</ability>
      <abilityName/>
      <candidateList>
        <item>（</item>
      </candidateList>
      <explain/>
      <paraID>5B1EC50A</paraID>
      <start>5</start>
      <end>7</end>
      <status>unmodified</status>
      <modifiedWord/>
      <trackRevisions>false</trackRevisions>
    </reviewItem>
    <reviewItem>
      <errorID>02861cbc-238a-457e-94fd-ddaf2a8a952a</errorID>
      <errorWord>（/</errorWord>
      <group>L1_Punc</group>
      <groupName>标点问题</groupName>
      <ability>L2_Punc_CN</ability>
      <abilityName/>
      <candidateList>
        <item>（</item>
      </candidateList>
      <explain/>
      <paraID>67997A7C</paraID>
      <start>0</start>
      <end>2</end>
      <status>unmodified</status>
      <modifiedWord/>
      <trackRevisions>false</trackRevisions>
    </reviewItem>
    <reviewItem>
      <errorID>b5d1c16f-8288-4774-9f0e-f3cbdc6b2254</errorID>
      <errorWord>（/</errorWord>
      <group>L1_Punc</group>
      <groupName>标点问题</groupName>
      <ability>L2_Punc_CN</ability>
      <abilityName/>
      <candidateList>
        <item>（</item>
      </candidateList>
      <explain/>
      <paraID>378FEF38</paraID>
      <start>7</start>
      <end>9</end>
      <status>unmodified</status>
      <modifiedWord/>
      <trackRevisions>false</trackRevisions>
    </reviewItem>
    <reviewItem>
      <errorID>9f00052c-b41d-468d-9c15-aa17fe22abce</errorID>
      <errorWord>（/</errorWord>
      <group>L1_Punc</group>
      <groupName>标点问题</groupName>
      <ability>L2_Punc_CN</ability>
      <abilityName/>
      <candidateList>
        <item>（</item>
      </candidateList>
      <explain/>
      <paraID>295E04E2</paraID>
      <start>5</start>
      <end>7</end>
      <status>unmodified</status>
      <modifiedWord/>
      <trackRevisions>false</trackRevisions>
    </reviewItem>
    <reviewItem>
      <errorID>14e28fc1-2268-4e54-9b3d-4dea519ce654</errorID>
      <errorWord>（/</errorWord>
      <group>L1_Punc</group>
      <groupName>标点问题</groupName>
      <ability>L2_Punc_CN</ability>
      <abilityName/>
      <candidateList>
        <item>（</item>
      </candidateList>
      <explain/>
      <paraID>295E04E2</paraID>
      <start>24</start>
      <end>26</end>
      <status>unmodified</status>
      <modifiedWord/>
      <trackRevisions>false</trackRevisions>
    </reviewItem>
    <reviewItem>
      <errorID>d7c80514-3cc1-4464-b3f1-fbd6e0f0f6b7</errorID>
      <errorWord>（/</errorWord>
      <group>L1_Punc</group>
      <groupName>标点问题</groupName>
      <ability>L2_Punc_CN</ability>
      <abilityName/>
      <candidateList>
        <item>（</item>
      </candidateList>
      <explain/>
      <paraID>12061AC4</paraID>
      <start>0</start>
      <end>2</end>
      <status>unmodified</status>
      <modifiedWord/>
      <trackRevisions>false</trackRevisions>
    </reviewItem>
    <reviewItem>
      <errorID>7637f7ad-c6bd-4e8c-ae2b-52e4f851a88a</errorID>
      <errorWord>（/</errorWord>
      <group>L1_Punc</group>
      <groupName>标点问题</groupName>
      <ability>L2_Punc_CN</ability>
      <abilityName/>
      <candidateList>
        <item>（</item>
      </candidateList>
      <explain/>
      <paraID>58C56F70</paraID>
      <start>0</start>
      <end>2</end>
      <status>unmodified</status>
      <modifiedWord/>
      <trackRevisions>false</trackRevisions>
    </reviewItem>
    <reviewItem>
      <errorID>e9b8f622-b4b0-4381-ab10-a7a2e716be94</errorID>
      <errorWord>（/</errorWord>
      <group>L1_Punc</group>
      <groupName>标点问题</groupName>
      <ability>L2_Punc_CN</ability>
      <abilityName/>
      <candidateList>
        <item>（</item>
      </candidateList>
      <explain/>
      <paraID>3116A9FB</paraID>
      <start>0</start>
      <end>2</end>
      <status>unmodified</status>
      <modifiedWord/>
      <trackRevisions>false</trackRevisions>
    </reviewItem>
    <reviewItem>
      <errorID>5af1cb5a-9de2-46db-a17a-f25188d1e706</errorID>
      <errorWord>（/</errorWord>
      <group>L1_Punc</group>
      <groupName>标点问题</groupName>
      <ability>L2_Punc_CN</ability>
      <abilityName/>
      <candidateList>
        <item>（</item>
      </candidateList>
      <explain/>
      <paraID>741D4FA3</paraID>
      <start>0</start>
      <end>2</end>
      <status>unmodified</status>
      <modifiedWord/>
      <trackRevisions>false</trackRevisions>
    </reviewItem>
    <reviewItem>
      <errorID>0ace9602-bbfc-4390-8803-5fb11a333f1f</errorID>
      <errorWord>（/</errorWord>
      <group>L1_Punc</group>
      <groupName>标点问题</groupName>
      <ability>L2_Punc_CN</ability>
      <abilityName/>
      <candidateList>
        <item>（</item>
      </candidateList>
      <explain/>
      <paraID>42DA5BFE</paraID>
      <start>0</start>
      <end>2</end>
      <status>unmodified</status>
      <modifiedWord/>
      <trackRevisions>false</trackRevisions>
    </reviewItem>
    <reviewItem>
      <errorID>5d784237-a22a-4f97-82b3-9e4030cb2e1c</errorID>
      <errorWord>（/</errorWord>
      <group>L1_Punc</group>
      <groupName>标点问题</groupName>
      <ability>L2_Punc_CN</ability>
      <abilityName/>
      <candidateList>
        <item>（</item>
      </candidateList>
      <explain/>
      <paraID>2391C56C</paraID>
      <start>0</start>
      <end>2</end>
      <status>unmodified</status>
      <modifiedWord/>
      <trackRevisions>false</trackRevisions>
    </reviewItem>
    <reviewItem>
      <errorID>c0de9ba6-cf9d-4739-8bab-b161235487af</errorID>
      <errorWord>（/</errorWord>
      <group>L1_Punc</group>
      <groupName>标点问题</groupName>
      <ability>L2_Punc_CN</ability>
      <abilityName/>
      <candidateList>
        <item>（</item>
      </candidateList>
      <explain/>
      <paraID>47970EEB</paraID>
      <start>0</start>
      <end>2</end>
      <status>unmodified</status>
      <modifiedWord/>
      <trackRevisions>false</trackRevisions>
    </reviewItem>
    <reviewItem>
      <errorID>ecc669ec-ad2c-4b30-a138-440dfae9d043</errorID>
      <errorWord>（/</errorWord>
      <group>L1_Punc</group>
      <groupName>标点问题</groupName>
      <ability>L2_Punc_CN</ability>
      <abilityName/>
      <candidateList>
        <item>（</item>
      </candidateList>
      <explain/>
      <paraID>776E5CD1</paraID>
      <start>0</start>
      <end>2</end>
      <status>unmodified</status>
      <modifiedWord/>
      <trackRevisions>false</trackRevisions>
    </reviewItem>
    <reviewItem>
      <errorID>439276a3-4226-46ef-aed9-aca33223d8c5</errorID>
      <errorWord>（/</errorWord>
      <group>L1_Punc</group>
      <groupName>标点问题</groupName>
      <ability>L2_Punc_CN</ability>
      <abilityName/>
      <candidateList>
        <item>（</item>
      </candidateList>
      <explain/>
      <paraID>104344B3</paraID>
      <start>0</start>
      <end>2</end>
      <status>unmodified</status>
      <modifiedWord/>
      <trackRevisions>false</trackRevisions>
    </reviewItem>
    <reviewItem>
      <errorID>529480c1-2a26-44b6-8f23-320395d174c3</errorID>
      <errorWord>（/</errorWord>
      <group>L1_Punc</group>
      <groupName>标点问题</groupName>
      <ability>L2_Punc_CN</ability>
      <abilityName/>
      <candidateList>
        <item>（</item>
      </candidateList>
      <explain/>
      <paraID>22545B22</paraID>
      <start>0</start>
      <end>2</end>
      <status>unmodified</status>
      <modifiedWord/>
      <trackRevisions>false</trackRevisions>
    </reviewItem>
    <reviewItem>
      <errorID>474f4dd1-c2dd-4f60-bc17-2cdff49692f5</errorID>
      <errorWord>（/</errorWord>
      <group>L1_Punc</group>
      <groupName>标点问题</groupName>
      <ability>L2_Punc_CN</ability>
      <abilityName/>
      <candidateList>
        <item>（</item>
      </candidateList>
      <explain/>
      <paraID>68C1BC38</paraID>
      <start>0</start>
      <end>2</end>
      <status>unmodified</status>
      <modifiedWord/>
      <trackRevisions>false</trackRevisions>
    </reviewItem>
    <reviewItem>
      <errorID>b74c89ce-a030-4a29-90a4-75435a5c8f79</errorID>
      <errorWord>（/</errorWord>
      <group>L1_Punc</group>
      <groupName>标点问题</groupName>
      <ability>L2_Punc_CN</ability>
      <abilityName/>
      <candidateList>
        <item>（</item>
      </candidateList>
      <explain/>
      <paraID>137D3A80</paraID>
      <start>0</start>
      <end>2</end>
      <status>unmodified</status>
      <modifiedWord/>
      <trackRevisions>false</trackRevisions>
    </reviewItem>
    <reviewItem>
      <errorID>2c665ead-1a2c-40ab-8dc6-75f9a2fc86d1</errorID>
      <errorWord>（/</errorWord>
      <group>L1_Punc</group>
      <groupName>标点问题</groupName>
      <ability>L2_Punc_CN</ability>
      <abilityName/>
      <candidateList>
        <item>（</item>
      </candidateList>
      <explain/>
      <paraID>6043C755</paraID>
      <start>0</start>
      <end>2</end>
      <status>unmodified</status>
      <modifiedWord/>
      <trackRevisions>false</trackRevisions>
    </reviewItem>
    <reviewItem>
      <errorID>11fd4d6b-2e57-4ed2-bcf6-f5bca30addf4</errorID>
      <errorWord>(</errorWord>
      <group>L1_Format</group>
      <groupName>格式问题</groupName>
      <ability>L2_HalfPunc_CN</ability>
      <abilityName/>
      <candidateList>
        <item>（</item>
      </candidateList>
      <explain>文本全半角错误。</explain>
      <paraID>329E7AFD</paraID>
      <start>41</start>
      <end>42</end>
      <status>unmodified</status>
      <modifiedWord/>
      <trackRevisions>false</trackRevisions>
    </reviewItem>
    <reviewItem>
      <errorID>8c45dd85-26c9-4eb1-910d-910db0056bd0</errorID>
      <errorWord>)</errorWord>
      <group>L1_Format</group>
      <groupName>格式问题</groupName>
      <ability>L2_HalfPunc_CN</ability>
      <abilityName/>
      <candidateList>
        <item>）</item>
      </candidateList>
      <explain>文本全半角错误。</explain>
      <paraID>329E7AFD</paraID>
      <start>45</start>
      <end>46</end>
      <status>unmodified</status>
      <modifiedWord/>
      <trackRevisions>false</trackRevisions>
    </reviewItem>
    <reviewItem>
      <errorID>9cf848b6-9344-42d3-b418-4abfc581884f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5453953B</paraID>
      <start>0</start>
      <end>2</end>
      <status>unmodified</status>
      <modifiedWord/>
      <trackRevisions>false</trackRevisions>
    </reviewItem>
    <reviewItem>
      <errorID>d2e75f19-dd4c-462d-bf06-05235b752188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6411B4CA</paraID>
      <start>0</start>
      <end>2</end>
      <status>unmodified</status>
      <modifiedWord/>
      <trackRevisions>false</trackRevisions>
    </reviewItem>
    <reviewItem>
      <errorID>7c051493-f67a-49fa-8d77-08369ccc7770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2E42566B</paraID>
      <start>0</start>
      <end>2</end>
      <status>unmodified</status>
      <modifiedWord/>
      <trackRevisions>false</trackRevisions>
    </reviewItem>
    <reviewItem>
      <errorID>5747fcf6-5e76-436d-b769-be2cc56eaf8e</errorID>
      <errorWord>几</errorWord>
      <group>L1_Word</group>
      <groupName>字词问题</groupName>
      <ability>L2_Typo</ability>
      <abilityName>字词错误</abilityName>
      <candidateList>
        <item>几个</item>
      </candidateList>
      <explain/>
      <paraID>59BD4F2C</paraID>
      <start>86</start>
      <end>87</end>
      <status>unmodified</status>
      <modifiedWord/>
      <trackRevisions>false</trackRevisions>
    </reviewItem>
    <reviewItem>
      <errorID>55ea8b1a-e2aa-4530-a1e5-7104b8e32bb2</errorID>
      <errorWord>为</errorWord>
      <group>L1_Word</group>
      <groupName>字词问题</groupName>
      <ability>L2_Typo</ability>
      <abilityName>字词错误</abilityName>
      <candidateList>
        <item>为一</item>
      </candidateList>
      <explain/>
      <paraID>198AC6D5</paraID>
      <start>66</start>
      <end>67</end>
      <status>unmodified</status>
      <modifiedWord/>
      <trackRevisions>false</trackRevisions>
    </reviewItem>
    <reviewItem>
      <errorID>dc4e91a0-7a79-4281-b490-62ab79b16389</errorID>
      <errorWord>~</errorWord>
      <group>L1_Format</group>
      <groupName>格式问题</groupName>
      <ability>L2_HalfPunc_CN</ability>
      <abilityName/>
      <candidateList>
        <item>～</item>
      </candidateList>
      <explain>文本全半角错误。</explain>
      <paraID>6213F535</paraID>
      <start>70</start>
      <end>71</end>
      <status>unmodified</status>
      <modifiedWord/>
      <trackRevisions>false</trackRevisions>
    </reviewItem>
    <reviewItem>
      <errorID>e7dd9e14-00fa-43dd-a69c-9f93a1cf764e</errorID>
      <errorWord>~</errorWord>
      <group>L1_Format</group>
      <groupName>格式问题</groupName>
      <ability>L2_HalfPunc_CN</ability>
      <abilityName/>
      <candidateList>
        <item>～</item>
      </candidateList>
      <explain>文本全半角错误。</explain>
      <paraID>1A55346E</paraID>
      <start>38</start>
      <end>39</end>
      <status>unmodified</status>
      <modifiedWord/>
      <trackRevisions>false</trackRevisions>
    </reviewItem>
    <reviewItem>
      <errorID>2c5d73bf-ae4a-440b-ad57-87b94373047b</errorID>
      <errorWord>II</errorWord>
      <group>L1_Knowledge</group>
      <groupName>知识性问题</groupName>
      <ability>L2_Knowledge</ability>
      <abilityName>其他知识</abilityName>
      <candidateList>
        <item>Ⅱ</item>
      </candidateList>
      <explain/>
      <paraID>7DA3AE34</paraID>
      <start>0</start>
      <end>2</end>
      <status>unmodified</status>
      <modifiedWord/>
      <trackRevisions>false</trackRevisions>
    </reviewItem>
    <reviewItem>
      <errorID>b4decc6c-e62f-4c05-ab9b-e1069454ee42</errorID>
      <errorWord>III</errorWord>
      <group>L1_Knowledge</group>
      <groupName>知识性问题</groupName>
      <ability>L2_Knowledge</ability>
      <abilityName>其他知识</abilityName>
      <candidateList>
        <item>Ⅲ</item>
      </candidateList>
      <explain/>
      <paraID>76B563DD</paraID>
      <start>0</start>
      <end>3</end>
      <status>unmodified</status>
      <modifiedWord/>
      <trackRevisions>false</trackRevisions>
    </reviewItem>
    <reviewItem>
      <errorID>2ad3655c-1d6b-4995-913c-f016e3008555</errorID>
      <errorWord>IV</errorWord>
      <group>L1_Knowledge</group>
      <groupName>知识性问题</groupName>
      <ability>L2_Knowledge</ability>
      <abilityName>其他知识</abilityName>
      <candidateList>
        <item>Ⅳ</item>
      </candidateList>
      <explain/>
      <paraID>540F863B</paraID>
      <start>0</start>
      <end>2</end>
      <status>unmodified</status>
      <modifiedWord/>
      <trackRevisions>false</trackRevisions>
    </reviewItem>
    <reviewItem>
      <errorID>c9c6ab96-f519-41a1-a23e-83a309ba0019</errorID>
      <errorWord>（</errorWord>
      <group>L1_Format</group>
      <groupName>格式问题</groupName>
      <ability>L2_HalfPunc_CN</ability>
      <abilityName/>
      <candidateList>
        <item>(</item>
      </candidateList>
      <explain>文本全半角错误。</explain>
      <paraID>2A2D4E27</paraID>
      <start>2</start>
      <end>3</end>
      <status>unmodified</status>
      <modifiedWord/>
      <trackRevisions>false</trackRevisions>
    </reviewItem>
    <reviewItem>
      <errorID>e10b2a35-109a-489a-90de-1d362f9f0a4c</errorID>
      <errorWord>）</errorWord>
      <group>L1_Format</group>
      <groupName>格式问题</groupName>
      <ability>L2_HalfPunc_CN</ability>
      <abilityName/>
      <candidateList>
        <item>)</item>
      </candidateList>
      <explain>文本全半角错误。</explain>
      <paraID>2A2D4E27</paraID>
      <start>6</start>
      <end>7</end>
      <status>unmodified</status>
      <modifiedWord/>
      <trackRevisions>false</trackRevisions>
    </reviewItem>
    <reviewItem>
      <errorID>34797ffb-4d68-4362-828b-701adce82660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640178B</paraID>
      <start>0</start>
      <end>2</end>
      <status>unmodified</status>
      <modifiedWord/>
      <trackRevisions>false</trackRevisions>
    </reviewItem>
    <reviewItem>
      <errorID>9253ffab-2851-48e5-933e-46bb6801d1e7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34B571FF</paraID>
      <start>0</start>
      <end>2</end>
      <status>unmodified</status>
      <modifiedWord/>
      <trackRevisions>false</trackRevisions>
    </reviewItem>
    <reviewItem>
      <errorID>e396b9db-e922-4aaa-a1f1-45f5cd7d0c52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4EF469A6</paraID>
      <start>0</start>
      <end>2</end>
      <status>unmodified</status>
      <modifiedWord/>
      <trackRevisions>false</trackRevisions>
    </reviewItem>
    <reviewItem>
      <errorID>91f6a4cd-dbe6-43c5-bf75-abbfbf38580e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4F8793C3</paraID>
      <start>0</start>
      <end>2</end>
      <status>unmodified</status>
      <modifiedWord/>
      <trackRevisions>false</trackRevisions>
    </reviewItem>
    <reviewItem>
      <errorID>86d4431a-0b2e-4662-879f-afd534e1f5c8</errorID>
      <errorWord>（</errorWord>
      <group>L1_Format</group>
      <groupName>格式问题</groupName>
      <ability>L2_HalfPunc_CN</ability>
      <abilityName/>
      <candidateList>
        <item>(</item>
      </candidateList>
      <explain>文本全半角错误。</explain>
      <paraID>6B9ADAAB</paraID>
      <start>2</start>
      <end>3</end>
      <status>unmodified</status>
      <modifiedWord/>
      <trackRevisions>false</trackRevisions>
    </reviewItem>
    <reviewItem>
      <errorID>9cc8a104-93d5-4a7d-b42b-7c7e17ae8315</errorID>
      <errorWord>）</errorWord>
      <group>L1_Format</group>
      <groupName>格式问题</groupName>
      <ability>L2_HalfPunc_CN</ability>
      <abilityName/>
      <candidateList>
        <item>)</item>
      </candidateList>
      <explain>文本全半角错误。</explain>
      <paraID>6B9ADAAB</paraID>
      <start>4</start>
      <end>5</end>
      <status>unmodified</status>
      <modifiedWord/>
      <trackRevisions>false</trackRevisions>
    </reviewItem>
    <reviewItem>
      <errorID>27075053-212c-4c18-8c2c-8a584fefab18</errorID>
      <errorWord>（</errorWord>
      <group>L1_Format</group>
      <groupName>格式问题</groupName>
      <ability>L2_HalfPunc_CN</ability>
      <abilityName/>
      <candidateList>
        <item>(</item>
      </candidateList>
      <explain>文本全半角错误。</explain>
      <paraID>47779D76</paraID>
      <start>2</start>
      <end>3</end>
      <status>unmodified</status>
      <modifiedWord/>
      <trackRevisions>false</trackRevisions>
    </reviewItem>
    <reviewItem>
      <errorID>2e76d176-d376-44a2-8945-b649f77bee1a</errorID>
      <errorWord>）</errorWord>
      <group>L1_Format</group>
      <groupName>格式问题</groupName>
      <ability>L2_HalfPunc_CN</ability>
      <abilityName/>
      <candidateList>
        <item>)</item>
      </candidateList>
      <explain>文本全半角错误。</explain>
      <paraID>47779D76</paraID>
      <start>4</start>
      <end>5</end>
      <status>unmodified</status>
      <modifiedWord/>
      <trackRevisions>false</trackRevisions>
    </reviewItem>
    <reviewItem>
      <errorID>932fd666-3e56-4a5f-ab34-b4d4bc9c37a6</errorID>
      <errorWord>（</errorWord>
      <group>L1_Format</group>
      <groupName>格式问题</groupName>
      <ability>L2_HalfPunc_CN</ability>
      <abilityName/>
      <candidateList>
        <item>(</item>
      </candidateList>
      <explain>文本全半角错误。</explain>
      <paraID>402D408E</paraID>
      <start>2</start>
      <end>3</end>
      <status>unmodified</status>
      <modifiedWord/>
      <trackRevisions>false</trackRevisions>
    </reviewItem>
    <reviewItem>
      <errorID>6c619a7c-1701-497c-80b8-c497facd1665</errorID>
      <errorWord>）</errorWord>
      <group>L1_Format</group>
      <groupName>格式问题</groupName>
      <ability>L2_HalfPunc_CN</ability>
      <abilityName/>
      <candidateList>
        <item>)</item>
      </candidateList>
      <explain>文本全半角错误。</explain>
      <paraID>402D408E</paraID>
      <start>4</start>
      <end>5</end>
      <status>unmodified</status>
      <modifiedWord/>
      <trackRevisions>false</trackRevisions>
    </reviewItem>
    <reviewItem>
      <errorID>67038b1a-1b1a-4447-a389-14299e98bd09</errorID>
      <errorWord>)</errorWord>
      <group>L1_Format</group>
      <groupName>格式问题</groupName>
      <ability>L2_HalfPunc_CN</ability>
      <abilityName/>
      <candidateList>
        <item>）</item>
      </candidateList>
      <explain>文本全半角错误。</explain>
      <paraID> 23DC45B</paraID>
      <start>14</start>
      <end>15</end>
      <status>unmodified</status>
      <modifiedWord/>
      <trackRevisions>false</trackRevisions>
    </reviewItem>
    <reviewItem>
      <errorID>d7896753-dbee-4c84-af31-d4933662813f</errorID>
      <errorWord>（</errorWord>
      <group>L1_Punc</group>
      <groupName>标点问题</groupName>
      <ability>L2_Punc_CN</ability>
      <abilityName/>
      <candidateList/>
      <explain>同一形式括号套用。</explain>
      <paraID>4D18BE41</paraID>
      <start>31</start>
      <end>32</end>
      <status>unmodified</status>
      <modifiedWord/>
      <trackRevisions>false</trackRevisions>
    </reviewItem>
    <reviewItem>
      <errorID>d02a7f5e-b508-4db4-806f-21d1e5f7474c</errorID>
      <errorWord>）</errorWord>
      <group>L1_Punc</group>
      <groupName>标点问题</groupName>
      <ability>L2_Punc_CN</ability>
      <abilityName/>
      <candidateList/>
      <explain>同一形式括号套用。</explain>
      <paraID>4D18BE41</paraID>
      <start>33</start>
      <end>34</end>
      <status>unmodified</status>
      <modifiedWord/>
      <trackRevisions>false</trackRevisions>
    </reviewItem>
    <reviewItem>
      <errorID>5f282f2c-c788-4297-a474-890a948937ef</errorID>
      <errorWord>r、</errorWord>
      <group>L1_Format</group>
      <groupName>格式问题</groupName>
      <ability>L2_Ordinal</ability>
      <abilityName>序号格式</abilityName>
      <candidateList>
        <item>r.</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39BDCAF1</paraID>
      <start>0</start>
      <end>2</end>
      <status>unmodified</status>
      <modifiedWord/>
      <trackRevisions>false</trackRevisions>
    </reviewItem>
    <reviewItem>
      <errorID>bf4414d7-aef5-4d7f-a5bd-613425e50f5e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55B5A0B</paraID>
      <start>0</start>
      <end>2</end>
      <status>unmodified</status>
      <modifiedWord/>
      <trackRevisions>false</trackRevisions>
    </reviewItem>
    <reviewItem>
      <errorID>3934a83d-dcbe-454b-bb82-2685628be8a7</errorID>
      <errorWord>)</errorWord>
      <group>L1_Format</group>
      <groupName>格式问题</groupName>
      <ability>L2_HalfPunc_CN</ability>
      <abilityName/>
      <candidateList>
        <item>）</item>
      </candidateList>
      <explain>文本全半角错误。</explain>
      <paraID>728A4CF1</paraID>
      <start>70</start>
      <end>71</end>
      <status>unmodified</status>
      <modifiedWord/>
      <trackRevisions>false</trackRevisions>
    </reviewItem>
    <reviewItem>
      <errorID>0636902b-8154-4178-92f4-b2ac1c1e4e4d</errorID>
      <errorWord>)</errorWord>
      <group>L1_Format</group>
      <groupName>格式问题</groupName>
      <ability>L2_HalfPunc_CN</ability>
      <abilityName/>
      <candidateList>
        <item>）</item>
      </candidateList>
      <explain>文本全半角错误。</explain>
      <paraID>728A4CF1</paraID>
      <start>111</start>
      <end>112</end>
      <status>unmodified</status>
      <modifiedWord/>
      <trackRevisions>false</trackRevisions>
    </reviewItem>
    <reviewItem>
      <errorID>1ec7476e-1f29-4de5-8fef-03bd9f978bcd</errorID>
      <errorWord>~</errorWord>
      <group>L1_Format</group>
      <groupName>格式问题</groupName>
      <ability>L2_HalfPunc_CN</ability>
      <abilityName/>
      <candidateList>
        <item>～</item>
      </candidateList>
      <explain>文本全半角错误。</explain>
      <paraID>4232FB55</paraID>
      <start>9</start>
      <end>10</end>
      <status>unmodified</status>
      <modifiedWord/>
      <trackRevisions>false</trackRevisions>
    </reviewItem>
    <reviewItem>
      <errorID>d846c104-7141-455b-9561-d54564c6d936</errorID>
      <errorWord>度</errorWord>
      <group>L1_Word</group>
      <groupName>字词问题</groupName>
      <ability>L2_Typo</ability>
      <abilityName>字词错误</abilityName>
      <candidateList>
        <item>度地</item>
      </candidateList>
      <explain/>
      <paraID> 927598D</paraID>
      <start>39</start>
      <end>40</end>
      <status>unmodified</status>
      <modifiedWord/>
      <trackRevisions>false</trackRevisions>
    </reviewItem>
    <reviewItem>
      <errorID>32594182-c645-41a2-b08f-dea21d62836f</errorID>
      <errorWord>~</errorWord>
      <group>L1_Format</group>
      <groupName>格式问题</groupName>
      <ability>L2_HalfPunc_CN</ability>
      <abilityName/>
      <candidateList>
        <item>～</item>
      </candidateList>
      <explain>文本全半角错误。</explain>
      <paraID>3FEA543D</paraID>
      <start>33</start>
      <end>34</end>
      <status>unmodified</status>
      <modifiedWord/>
      <trackRevisions>false</trackRevisions>
    </reviewItem>
    <reviewItem>
      <errorID>88937ff6-d4fc-4559-94a7-25a70fff665f</errorID>
      <errorWord>（</errorWord>
      <group>L1_Format</group>
      <groupName>格式问题</groupName>
      <ability>L2_HalfPunc_CN</ability>
      <abilityName/>
      <candidateList>
        <item>(</item>
      </candidateList>
      <explain>文本全半角错误。</explain>
      <paraID>66829DA3</paraID>
      <start>15</start>
      <end>16</end>
      <status>unmodified</status>
      <modifiedWord/>
      <trackRevisions>false</trackRevisions>
    </reviewItem>
    <reviewItem>
      <errorID>0f5a20d6-bec7-48c6-b177-066aed50c2d7</errorID>
      <errorWord>）</errorWord>
      <group>L1_Format</group>
      <groupName>格式问题</groupName>
      <ability>L2_HalfPunc_CN</ability>
      <abilityName/>
      <candidateList>
        <item>)</item>
      </candidateList>
      <explain>文本全半角错误。</explain>
      <paraID>66829DA3</paraID>
      <start>22</start>
      <end>23</end>
      <status>unmodified</status>
      <modifiedWord/>
      <trackRevisions>false</trackRevisions>
    </reviewItem>
    <reviewItem>
      <errorID>7da95929-c519-426e-8e48-de511efbd629</errorID>
      <errorWord>~</errorWord>
      <group>L1_Format</group>
      <groupName>格式问题</groupName>
      <ability>L2_HalfPunc_CN</ability>
      <abilityName/>
      <candidateList>
        <item>～</item>
      </candidateList>
      <explain>文本全半角错误。</explain>
      <paraID>4565D63A</paraID>
      <start>14</start>
      <end>15</end>
      <status>unmodified</status>
      <modifiedWord/>
      <trackRevisions>false</trackRevisions>
    </reviewItem>
    <reviewItem>
      <errorID>4ff6f28a-79aa-4de1-a246-ab6fc302b577</errorID>
      <errorWord>、</errorWord>
      <group>L1_Punc</group>
      <groupName>标点问题</groupName>
      <ability>L2_Punc_CN</ability>
      <abilityName/>
      <candidateList>
        <item>.</item>
      </candidateList>
      <explain/>
      <paraID>5A99526C</paraID>
      <start>1</start>
      <end>2</end>
      <status>unmodified</status>
      <modifiedWord/>
      <trackRevisions>false</trackRevisions>
    </reviewItem>
    <reviewItem>
      <errorID>3060590b-8820-4e3c-84f4-a85232e69f6e</errorID>
      <errorWord>、</errorWord>
      <group>L1_Punc</group>
      <groupName>标点问题</groupName>
      <ability>L2_Punc_CN</ability>
      <abilityName/>
      <candidateList>
        <item>.</item>
      </candidateList>
      <explain/>
      <paraID> 3E32205</paraID>
      <start>1</start>
      <end>2</end>
      <status>unmodified</status>
      <modifiedWord/>
      <trackRevisions>false</trackRevisions>
    </reviewItem>
    <reviewItem>
      <errorID>0d5983fd-e58c-434f-909e-43142312dcb0</errorID>
      <errorWord>、</errorWord>
      <group>L1_Punc</group>
      <groupName>标点问题</groupName>
      <ability>L2_Punc_CN</ability>
      <abilityName/>
      <candidateList>
        <item>.</item>
      </candidateList>
      <explain/>
      <paraID> B085DEB</paraID>
      <start>1</start>
      <end>2</end>
      <status>unmodified</status>
      <modifiedWord/>
      <trackRevisions>false</trackRevisions>
    </reviewItem>
    <reviewItem>
      <errorID>55ea2bdd-f3e7-4821-9f37-8b78b40ba737</errorID>
      <errorWord>（</errorWord>
      <group>L1_Format</group>
      <groupName>格式问题</groupName>
      <ability>L2_HalfPunc_CN</ability>
      <abilityName/>
      <candidateList>
        <item>(</item>
      </candidateList>
      <explain>文本全半角错误。</explain>
      <paraID>1CB13B8C</paraID>
      <start>0</start>
      <end>1</end>
      <status>unmodified</status>
      <modifiedWord/>
      <trackRevisions>false</trackRevisions>
    </reviewItem>
    <reviewItem>
      <errorID>5959ea0d-1567-465d-a16d-ed7e9aa40bba</errorID>
      <errorWord>）</errorWord>
      <group>L1_Format</group>
      <groupName>格式问题</groupName>
      <ability>L2_HalfPunc_CN</ability>
      <abilityName/>
      <candidateList>
        <item>)</item>
      </candidateList>
      <explain>文本全半角错误。</explain>
      <paraID>1CB13B8C</paraID>
      <start>7</start>
      <end>8</end>
      <status>unmodified</status>
      <modifiedWord/>
      <trackRevisions>false</trackRevisions>
    </reviewItem>
    <reviewItem>
      <errorID>5e494e3e-41ba-4490-9873-b037a5d4af93</errorID>
      <errorWord>（/</errorWord>
      <group>L1_Punc</group>
      <groupName>标点问题</groupName>
      <ability>L2_Punc_CN</ability>
      <abilityName/>
      <candidateList>
        <item>（</item>
      </candidateList>
      <explain/>
      <paraID>56CA715E</paraID>
      <start>4</start>
      <end>6</end>
      <status>unmodified</status>
      <modifiedWord/>
      <trackRevisions>false</trackRevisions>
    </reviewItem>
    <reviewItem>
      <errorID>510e7875-4bb3-45dc-8b33-77a4f7a57dcd</errorID>
      <errorWord>（/</errorWord>
      <group>L1_Punc</group>
      <groupName>标点问题</groupName>
      <ability>L2_Punc_CN</ability>
      <abilityName/>
      <candidateList>
        <item>（</item>
      </candidateList>
      <explain/>
      <paraID>56CA715E</paraID>
      <start>10</start>
      <end>12</end>
      <status>unmodified</status>
      <modifiedWord/>
      <trackRevisions>false</trackRevisions>
    </reviewItem>
    <reviewItem>
      <errorID>ac2437c5-4ef5-4c10-a79d-cd309ab4bf92</errorID>
      <errorWord>（/</errorWord>
      <group>L1_Punc</group>
      <groupName>标点问题</groupName>
      <ability>L2_Punc_CN</ability>
      <abilityName/>
      <candidateList>
        <item>（</item>
      </candidateList>
      <explain/>
      <paraID>56CA715E</paraID>
      <start>16</start>
      <end>18</end>
      <status>unmodified</status>
      <modifiedWord/>
      <trackRevisions>false</trackRevisions>
    </reviewItem>
    <reviewItem>
      <errorID>c81ce128-ded1-4941-9bf2-f1584828730a</errorID>
      <errorWord>属</errorWord>
      <group>L1_Word</group>
      <groupName>字词问题</groupName>
      <ability>L2_Typo</ability>
      <abilityName>字词错误</abilityName>
      <candidateList>
        <item>受</item>
      </candidateList>
      <explain>〈动〉❶接受：～贿｜～教育｜～到帮助。❷遭受：～灾｜～批评｜～委屈。❸忍受；禁受：～不了｜～得住。❹适合：～吃（吃着有味）｜～看（看着舒服）｜～听（听着入耳）。</explain>
      <paraID>5082A462</paraID>
      <start>1</start>
      <end>2</end>
      <status>unmodified</status>
      <modifiedWord/>
      <trackRevisions>false</trackRevisions>
    </reviewItem>
    <reviewItem>
      <errorID>9782fe8b-fee8-47b3-88c2-b3033b7750ab</errorID>
      <errorWord>）</errorWord>
      <group>L1_Format</group>
      <groupName>格式问题</groupName>
      <ability>L2_HalfPunc_CN</ability>
      <abilityName/>
      <candidateList>
        <item>)</item>
      </candidateList>
      <explain>文本全半角错误。</explain>
      <paraID>29418FD4</paraID>
      <start>1</start>
      <end>2</end>
      <status>unmodified</status>
      <modifiedWord/>
      <trackRevisions>false</trackRevisions>
    </reviewItem>
    <reviewItem>
      <errorID>36e3c820-0572-409c-bee2-36ba1da11cb5</errorID>
      <errorWord>；</errorWord>
      <group>L1_Format</group>
      <groupName>格式问题</groupName>
      <ability>L2_HalfPunc_CN</ability>
      <abilityName/>
      <candidateList>
        <item>; </item>
      </candidateList>
      <explain>文本全半角错误。</explain>
      <paraID>29418FD4</paraID>
      <start>3</start>
      <end>4</end>
      <status>unmodified</status>
      <modifiedWord/>
      <trackRevisions>false</trackRevisions>
    </reviewItem>
    <reviewItem>
      <errorID>d1e16e1a-5b23-432a-b51f-09d092940778</errorID>
      <errorWord>）</errorWord>
      <group>L1_Format</group>
      <groupName>格式问题</groupName>
      <ability>L2_HalfPunc_CN</ability>
      <abilityName/>
      <candidateList>
        <item>)</item>
      </candidateList>
      <explain>文本全半角错误。</explain>
      <paraID>29418FD4</paraID>
      <start>5</start>
      <end>6</end>
      <status>unmodified</status>
      <modifiedWord/>
      <trackRevisions>false</trackRevisions>
    </reviewItem>
    <reviewItem>
      <errorID>74210bd5-2d95-466f-a1e4-53330efce544</errorID>
      <errorWord>；</errorWord>
      <group>L1_Format</group>
      <groupName>格式问题</groupName>
      <ability>L2_HalfPunc_CN</ability>
      <abilityName/>
      <candidateList>
        <item>; </item>
      </candidateList>
      <explain>文本全半角错误。</explain>
      <paraID>29418FD4</paraID>
      <start>7</start>
      <end>8</end>
      <status>unmodified</status>
      <modifiedWord/>
      <trackRevisions>false</trackRevisions>
    </reviewItem>
    <reviewItem>
      <errorID>9fb110c4-6298-4ddf-89f9-9552325d659d</errorID>
      <errorWord>）</errorWord>
      <group>L1_Format</group>
      <groupName>格式问题</groupName>
      <ability>L2_HalfPunc_CN</ability>
      <abilityName/>
      <candidateList>
        <item>)</item>
      </candidateList>
      <explain>文本全半角错误。</explain>
      <paraID>29418FD4</paraID>
      <start>9</start>
      <end>10</end>
      <status>unmodified</status>
      <modifiedWord/>
      <trackRevisions>false</trackRevisions>
    </reviewItem>
    <reviewItem>
      <errorID>447d1a1b-ab42-4990-9a32-0bf6524fb8b5</errorID>
      <errorWord>；</errorWord>
      <group>L1_Format</group>
      <groupName>格式问题</groupName>
      <ability>L2_HalfPunc_CN</ability>
      <abilityName/>
      <candidateList>
        <item>; </item>
      </candidateList>
      <explain>文本全半角错误。</explain>
      <paraID>29418FD4</paraID>
      <start>11</start>
      <end>12</end>
      <status>unmodified</status>
      <modifiedWord/>
      <trackRevisions>false</trackRevisions>
    </reviewItem>
    <reviewItem>
      <errorID>091c49ac-d50b-450d-a797-03fbf22134bd</errorID>
      <errorWord>）</errorWord>
      <group>L1_Format</group>
      <groupName>格式问题</groupName>
      <ability>L2_HalfPunc_CN</ability>
      <abilityName/>
      <candidateList>
        <item>)</item>
      </candidateList>
      <explain>文本全半角错误。</explain>
      <paraID>29418FD4</paraID>
      <start>13</start>
      <end>14</end>
      <status>unmodified</status>
      <modifiedWord/>
      <trackRevisions>false</trackRevisions>
    </reviewItem>
    <reviewItem>
      <errorID>dd10e27c-8e5a-4dc4-9cbb-0a094f216cfa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3A09204F</paraID>
      <start>8</start>
      <end>9</end>
      <status>unmodified</status>
      <modifiedWord/>
      <trackRevisions>false</trackRevisions>
    </reviewItem>
    <reviewItem>
      <errorID>1414518f-e8f4-4645-b800-1cf1b7c9cf96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3A09204F</paraID>
      <start>28</start>
      <end>29</end>
      <status>unmodified</status>
      <modifiedWord/>
      <trackRevisions>false</trackRevisions>
    </reviewItem>
    <reviewItem>
      <errorID>1e006141-9d40-4083-8ac4-797c3a104406</errorID>
      <errorWord>~</errorWord>
      <group>L1_Format</group>
      <groupName>格式问题</groupName>
      <ability>L2_HalfPunc_CN</ability>
      <abilityName/>
      <candidateList>
        <item>～</item>
      </candidateList>
      <explain>文本全半角错误。</explain>
      <paraID>576CB6FB</paraID>
      <start>3</start>
      <end>4</end>
      <status>unmodified</status>
      <modifiedWord/>
      <trackRevisions>false</trackRevisions>
    </reviewItem>
    <reviewItem>
      <errorID>2522a912-6299-4f9a-9a99-f779a7124df4</errorID>
      <errorWord>~</errorWord>
      <group>L1_Format</group>
      <groupName>格式问题</groupName>
      <ability>L2_HalfPunc_CN</ability>
      <abilityName/>
      <candidateList>
        <item>～</item>
      </candidateList>
      <explain>文本全半角错误。</explain>
      <paraID>55465656</paraID>
      <start>3</start>
      <end>4</end>
      <status>unmodified</status>
      <modifiedWord/>
      <trackRevisions>false</trackRevisions>
    </reviewItem>
    <reviewItem>
      <errorID>13ebba8c-d69d-41c0-87e1-7dee4431d36b</errorID>
      <errorWord>随</errorWord>
      <group>L1_Word</group>
      <groupName>字词问题</groupName>
      <ability>L2_Typo</ability>
      <abilityName>字词错误</abilityName>
      <candidateList>
        <item>随着</item>
      </candidateList>
      <explain/>
      <paraID>1D78B630</paraID>
      <start>56</start>
      <end>57</end>
      <status>unmodified</status>
      <modifiedWord/>
      <trackRevisions>false</trackRevisions>
    </reviewItem>
    <reviewItem>
      <errorID>610e7a95-d04f-4919-9df8-3c26e503ad55</errorID>
      <errorWord>程</errorWord>
      <group>L1_Word</group>
      <groupName>字词问题</groupName>
      <ability>L2_Typo</ability>
      <abilityName>字词错误</abilityName>
      <candidateList>
        <item>程中</item>
      </candidateList>
      <explain/>
      <paraID>6A7D1BD3</paraID>
      <start>13</start>
      <end>14</end>
      <status>unmodified</status>
      <modifiedWord/>
      <trackRevisions>false</trackRevisions>
    </reviewItem>
    <reviewItem>
      <errorID>686e34f3-88c5-415d-9267-ce579803d0fa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F914275</paraID>
      <start>0</start>
      <end>2</end>
      <status>unmodified</status>
      <modifiedWord/>
      <trackRevisions>false</trackRevisions>
    </reviewItem>
    <reviewItem>
      <errorID>89761418-b8f2-4449-ac84-55107fa76f53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FFE3795</paraID>
      <start>0</start>
      <end>2</end>
      <status>unmodified</status>
      <modifiedWord/>
      <trackRevisions>false</trackRevisions>
    </reviewItem>
    <reviewItem>
      <errorID>2753982f-0465-4f02-bb7e-824785907b5e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221106B</paraID>
      <start>0</start>
      <end>2</end>
      <status>unmodified</status>
      <modifiedWord/>
      <trackRevisions>false</trackRevisions>
    </reviewItem>
    <reviewItem>
      <errorID>d9c92a7f-944d-4191-b239-b7eb98a272b7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78FD1EFA</paraID>
      <start>28</start>
      <end>29</end>
      <status>unmodified</status>
      <modifiedWord/>
      <trackRevisions>false</trackRevisions>
    </reviewItem>
    <reviewItem>
      <errorID>398c8956-8fad-4942-a425-7e12930ebf73</errorID>
      <errorWord>（</errorWord>
      <group>L1_Format</group>
      <groupName>格式问题</groupName>
      <ability>L2_HalfPunc_CN</ability>
      <abilityName/>
      <candidateList>
        <item>(</item>
      </candidateList>
      <explain>文本全半角错误。</explain>
      <paraID>24DF6EF6</paraID>
      <start>1</start>
      <end>2</end>
      <status>unmodified</status>
      <modifiedWord/>
      <trackRevisions>false</trackRevisions>
    </reviewItem>
    <reviewItem>
      <errorID>afdc2377-19b4-459b-8dc4-94769870fb79</errorID>
      <errorWord>）</errorWord>
      <group>L1_Format</group>
      <groupName>格式问题</groupName>
      <ability>L2_HalfPunc_CN</ability>
      <abilityName/>
      <candidateList>
        <item>)</item>
      </candidateList>
      <explain>文本全半角错误。</explain>
      <paraID>24DF6EF6</paraID>
      <start>3</start>
      <end>4</end>
      <status>unmodified</status>
      <modifiedWord/>
      <trackRevisions>false</trackRevisions>
    </reviewItem>
    <reviewItem>
      <errorID>f634d94b-5db1-435b-8b6a-6624ee247434</errorID>
      <errorWord>（</errorWord>
      <group>L1_Format</group>
      <groupName>格式问题</groupName>
      <ability>L2_HalfPunc_CN</ability>
      <abilityName/>
      <candidateList>
        <item>(</item>
      </candidateList>
      <explain>文本全半角错误。</explain>
      <paraID>7ED55246</paraID>
      <start>0</start>
      <end>1</end>
      <status>unmodified</status>
      <modifiedWord/>
      <trackRevisions>false</trackRevisions>
    </reviewItem>
    <reviewItem>
      <errorID>f263f6e1-4e3c-45de-9dfc-7c49ab879291</errorID>
      <errorWord>）</errorWord>
      <group>L1_Format</group>
      <groupName>格式问题</groupName>
      <ability>L2_HalfPunc_CN</ability>
      <abilityName/>
      <candidateList>
        <item>)</item>
      </candidateList>
      <explain>文本全半角错误。</explain>
      <paraID>7ED55246</paraID>
      <start>2</start>
      <end>3</end>
      <status>unmodified</status>
      <modifiedWord/>
      <trackRevisions>false</trackRevisions>
    </reviewItem>
    <reviewItem>
      <errorID>22dd92c3-e5d9-4e13-9d18-c820e6c3ea29</errorID>
      <errorWord>（</errorWord>
      <group>L1_Format</group>
      <groupName>格式问题</groupName>
      <ability>L2_HalfPunc_CN</ability>
      <abilityName/>
      <candidateList>
        <item>(</item>
      </candidateList>
      <explain>文本全半角错误。</explain>
      <paraID> FF29BB0</paraID>
      <start>2</start>
      <end>3</end>
      <status>unmodified</status>
      <modifiedWord/>
      <trackRevisions>false</trackRevisions>
    </reviewItem>
    <reviewItem>
      <errorID>de84aa9a-3372-4ffd-b4df-1e7bdc35db71</errorID>
      <errorWord>）</errorWord>
      <group>L1_Format</group>
      <groupName>格式问题</groupName>
      <ability>L2_HalfPunc_CN</ability>
      <abilityName/>
      <candidateList>
        <item>)</item>
      </candidateList>
      <explain>文本全半角错误。</explain>
      <paraID> FF29BB0</paraID>
      <start>4</start>
      <end>5</end>
      <status>unmodified</status>
      <modifiedWord/>
      <trackRevisions>false</trackRevisions>
    </reviewItem>
    <reviewItem>
      <errorID>88a4d52c-cf68-48ff-aaec-871f2648a293</errorID>
      <errorWord>（</errorWord>
      <group>L1_Format</group>
      <groupName>格式问题</groupName>
      <ability>L2_HalfPunc_CN</ability>
      <abilityName/>
      <candidateList>
        <item>(</item>
      </candidateList>
      <explain>文本全半角错误。</explain>
      <paraID>1F32C316</paraID>
      <start>2</start>
      <end>3</end>
      <status>unmodified</status>
      <modifiedWord/>
      <trackRevisions>false</trackRevisions>
    </reviewItem>
    <reviewItem>
      <errorID>d44a053f-56db-4801-b781-3680a23e77eb</errorID>
      <errorWord>）</errorWord>
      <group>L1_Format</group>
      <groupName>格式问题</groupName>
      <ability>L2_HalfPunc_CN</ability>
      <abilityName/>
      <candidateList>
        <item>)</item>
      </candidateList>
      <explain>文本全半角错误。</explain>
      <paraID>1F32C316</paraID>
      <start>4</start>
      <end>5</end>
      <status>unmodified</status>
      <modifiedWord/>
      <trackRevisions>false</trackRevisions>
    </reviewItem>
    <reviewItem>
      <errorID>0b1d259f-ef0f-41bd-b6fc-cff49ef2a293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4E07EB35</paraID>
      <start>51</start>
      <end>52</end>
      <status>unmodified</status>
      <modifiedWord/>
      <trackRevisions>false</trackRevisions>
    </reviewItem>
    <reviewItem>
      <errorID>303a66af-9e11-4af8-a8ee-16b9dc1891d9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4E07EB35</paraID>
      <start>92</start>
      <end>93</end>
      <status>unmodified</status>
      <modifiedWord/>
      <trackRevisions>false</trackRevisions>
    </reviewItem>
    <reviewItem>
      <errorID>83dea745-ce5e-4dd9-9303-7fee1c887de9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4E07EB35</paraID>
      <start>134</start>
      <end>135</end>
      <status>unmodified</status>
      <modifiedWord/>
      <trackRevisions>false</trackRevisions>
    </reviewItem>
    <reviewItem>
      <errorID>9d71f61f-1e29-4d1b-883b-c49f03360440</errorID>
      <errorWord>（</errorWord>
      <group>L1_Format</group>
      <groupName>格式问题</groupName>
      <ability>L2_HalfPunc_CN</ability>
      <abilityName/>
      <candidateList>
        <item>(</item>
      </candidateList>
      <explain>文本全半角错误。</explain>
      <paraID>7D32E904</paraID>
      <start>1</start>
      <end>2</end>
      <status>unmodified</status>
      <modifiedWord/>
      <trackRevisions>false</trackRevisions>
    </reviewItem>
    <reviewItem>
      <errorID>b80909e5-06f2-4ca0-9012-009fe27f3420</errorID>
      <errorWord>）</errorWord>
      <group>L1_Format</group>
      <groupName>格式问题</groupName>
      <ability>L2_HalfPunc_CN</ability>
      <abilityName/>
      <candidateList>
        <item>)</item>
      </candidateList>
      <explain>文本全半角错误。</explain>
      <paraID>7D32E904</paraID>
      <start>3</start>
      <end>4</end>
      <status>unmodified</status>
      <modifiedWord/>
      <trackRevisions>false</trackRevisions>
    </reviewItem>
    <reviewItem>
      <errorID>bd2b94d1-d9b2-4b85-a610-06e8ecffd793</errorID>
      <errorWord>（</errorWord>
      <group>L1_Format</group>
      <groupName>格式问题</groupName>
      <ability>L2_HalfPunc_CN</ability>
      <abilityName/>
      <candidateList>
        <item>(</item>
      </candidateList>
      <explain>文本全半角错误。</explain>
      <paraID>2A8684AE</paraID>
      <start>0</start>
      <end>1</end>
      <status>unmodified</status>
      <modifiedWord/>
      <trackRevisions>false</trackRevisions>
    </reviewItem>
    <reviewItem>
      <errorID>74ee496f-74b8-4cd6-a7bf-6fc9a62f79bb</errorID>
      <errorWord>）</errorWord>
      <group>L1_Format</group>
      <groupName>格式问题</groupName>
      <ability>L2_HalfPunc_CN</ability>
      <abilityName/>
      <candidateList>
        <item>)</item>
      </candidateList>
      <explain>文本全半角错误。</explain>
      <paraID>2A8684AE</paraID>
      <start>2</start>
      <end>3</end>
      <status>unmodified</status>
      <modifiedWord/>
      <trackRevisions>false</trackRevisions>
    </reviewItem>
    <reviewItem>
      <errorID>75be00b0-6248-4ecd-bc39-a0cc08e2eb37</errorID>
      <errorWord>（</errorWord>
      <group>L1_Format</group>
      <groupName>格式问题</groupName>
      <ability>L2_HalfPunc_CN</ability>
      <abilityName/>
      <candidateList>
        <item>(</item>
      </candidateList>
      <explain>文本全半角错误。</explain>
      <paraID> B5461D5</paraID>
      <start>2</start>
      <end>3</end>
      <status>unmodified</status>
      <modifiedWord/>
      <trackRevisions>false</trackRevisions>
    </reviewItem>
    <reviewItem>
      <errorID>bcf7761c-bb7e-4fd3-8614-b52e44f4f470</errorID>
      <errorWord>）</errorWord>
      <group>L1_Format</group>
      <groupName>格式问题</groupName>
      <ability>L2_HalfPunc_CN</ability>
      <abilityName/>
      <candidateList>
        <item>)</item>
      </candidateList>
      <explain>文本全半角错误。</explain>
      <paraID> B5461D5</paraID>
      <start>4</start>
      <end>5</end>
      <status>unmodified</status>
      <modifiedWord/>
      <trackRevisions>false</trackRevisions>
    </reviewItem>
    <reviewItem>
      <errorID>1c89f560-2539-4f7e-9ecb-7fc0b93bff68</errorID>
      <errorWord>（</errorWord>
      <group>L1_Format</group>
      <groupName>格式问题</groupName>
      <ability>L2_HalfPunc_CN</ability>
      <abilityName/>
      <candidateList>
        <item>(</item>
      </candidateList>
      <explain>文本全半角错误。</explain>
      <paraID>2E282A25</paraID>
      <start>2</start>
      <end>3</end>
      <status>unmodified</status>
      <modifiedWord/>
      <trackRevisions>false</trackRevisions>
    </reviewItem>
    <reviewItem>
      <errorID>aebcbe9a-d388-4acc-92c5-e90d71608a54</errorID>
      <errorWord>）</errorWord>
      <group>L1_Format</group>
      <groupName>格式问题</groupName>
      <ability>L2_HalfPunc_CN</ability>
      <abilityName/>
      <candidateList>
        <item>)</item>
      </candidateList>
      <explain>文本全半角错误。</explain>
      <paraID>2E282A25</paraID>
      <start>4</start>
      <end>5</end>
      <status>unmodified</status>
      <modifiedWord/>
      <trackRevisions>false</trackRevisions>
    </reviewItem>
    <reviewItem>
      <errorID>2f166893-65d1-4728-b11b-ef71b495b0b7</errorID>
      <errorWord>（</errorWord>
      <group>L1_Format</group>
      <groupName>格式问题</groupName>
      <ability>L2_HalfPunc_CN</ability>
      <abilityName/>
      <candidateList>
        <item>(</item>
      </candidateList>
      <explain>文本全半角错误。</explain>
      <paraID> 36A0AF6</paraID>
      <start>0</start>
      <end>1</end>
      <status>unmodified</status>
      <modifiedWord/>
      <trackRevisions>false</trackRevisions>
    </reviewItem>
    <reviewItem>
      <errorID>66f9e94d-5891-486d-8ccd-d51daf459fe8</errorID>
      <errorWord>）</errorWord>
      <group>L1_Format</group>
      <groupName>格式问题</groupName>
      <ability>L2_HalfPunc_CN</ability>
      <abilityName/>
      <candidateList>
        <item>)</item>
      </candidateList>
      <explain>文本全半角错误。</explain>
      <paraID> 36A0AF6</paraID>
      <start>2</start>
      <end>3</end>
      <status>unmodified</status>
      <modifiedWord/>
      <trackRevisions>false</trackRevisions>
    </reviewItem>
    <reviewItem>
      <errorID>63c7605a-b352-4093-85d0-ac846bbf2e55</errorID>
      <errorWord>（</errorWord>
      <group>L1_Format</group>
      <groupName>格式问题</groupName>
      <ability>L2_HalfPunc_CN</ability>
      <abilityName/>
      <candidateList>
        <item>(</item>
      </candidateList>
      <explain>文本全半角错误。</explain>
      <paraID>1E75393E</paraID>
      <start>0</start>
      <end>1</end>
      <status>unmodified</status>
      <modifiedWord/>
      <trackRevisions>false</trackRevisions>
    </reviewItem>
    <reviewItem>
      <errorID>0fcdd6c9-b86d-454e-a0c8-806e136d1206</errorID>
      <errorWord>）</errorWord>
      <group>L1_Format</group>
      <groupName>格式问题</groupName>
      <ability>L2_HalfPunc_CN</ability>
      <abilityName/>
      <candidateList>
        <item>)</item>
      </candidateList>
      <explain>文本全半角错误。</explain>
      <paraID>1E75393E</paraID>
      <start>2</start>
      <end>3</end>
      <status>unmodified</status>
      <modifiedWord/>
      <trackRevisions>false</trackRevisions>
    </reviewItem>
    <reviewItem>
      <errorID>cbe4774b-1060-4b37-875e-a50eb3147e39</errorID>
      <errorWord>（</errorWord>
      <group>L1_Format</group>
      <groupName>格式问题</groupName>
      <ability>L2_HalfPunc_CN</ability>
      <abilityName/>
      <candidateList>
        <item>(</item>
      </candidateList>
      <explain>文本全半角错误。</explain>
      <paraID> 7E862D2</paraID>
      <start>0</start>
      <end>1</end>
      <status>unmodified</status>
      <modifiedWord/>
      <trackRevisions>false</trackRevisions>
    </reviewItem>
    <reviewItem>
      <errorID>a14b1bb5-7f85-4889-b95e-6bf196a2636b</errorID>
      <errorWord>）</errorWord>
      <group>L1_Format</group>
      <groupName>格式问题</groupName>
      <ability>L2_HalfPunc_CN</ability>
      <abilityName/>
      <candidateList>
        <item>)</item>
      </candidateList>
      <explain>文本全半角错误。</explain>
      <paraID> 7E862D2</paraID>
      <start>2</start>
      <end>3</end>
      <status>unmodified</status>
      <modifiedWord/>
      <trackRevisions>false</trackRevisions>
    </reviewItem>
    <reviewItem>
      <errorID>368a8528-623e-4ea6-9354-aa63a21914bd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33EE8B81</paraID>
      <start>147</start>
      <end>148</end>
      <status>unmodified</status>
      <modifiedWord/>
      <trackRevisions>false</trackRevisions>
    </reviewItem>
    <reviewItem>
      <errorID>3b234fa4-b601-4508-b99a-ae4832d06580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18E1D6A4</paraID>
      <start>59</start>
      <end>60</end>
      <status>unmodified</status>
      <modifiedWord/>
      <trackRevisions>false</trackRevisions>
    </reviewItem>
    <reviewItem>
      <errorID>90eb3dc0-e24d-483c-8467-47ac266da1df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18E1D6A4</paraID>
      <start>100</start>
      <end>101</end>
      <status>unmodified</status>
      <modifiedWord/>
      <trackRevisions>false</trackRevisions>
    </reviewItem>
    <reviewItem>
      <errorID>379c4b45-5e51-4662-9fd8-d49c59934fbb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18E1D6A4</paraID>
      <start>142</start>
      <end>143</end>
      <status>unmodified</status>
      <modifiedWord/>
      <trackRevisions>false</trackRevisions>
    </reviewItem>
    <reviewItem>
      <errorID>5b3b4f42-762b-4a53-855d-d42bfb19abe9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DDF1D8B</paraID>
      <start>53</start>
      <end>54</end>
      <status>unmodified</status>
      <modifiedWord/>
      <trackRevisions>false</trackRevisions>
    </reviewItem>
    <reviewItem>
      <errorID>44c98ba9-1af2-4279-a6b1-3bd770fe1654</errorID>
      <errorWord>（</errorWord>
      <group>L1_Format</group>
      <groupName>格式问题</groupName>
      <ability>L2_HalfPunc_CN</ability>
      <abilityName/>
      <candidateList>
        <item>(</item>
      </candidateList>
      <explain>文本全半角错误。</explain>
      <paraID>47D0D807</paraID>
      <start>0</start>
      <end>1</end>
      <status>unmodified</status>
      <modifiedWord/>
      <trackRevisions>false</trackRevisions>
    </reviewItem>
    <reviewItem>
      <errorID>226e29ae-05d0-42fb-958e-4d383dd15ec7</errorID>
      <errorWord>）</errorWord>
      <group>L1_Format</group>
      <groupName>格式问题</groupName>
      <ability>L2_HalfPunc_CN</ability>
      <abilityName/>
      <candidateList>
        <item>)</item>
      </candidateList>
      <explain>文本全半角错误。</explain>
      <paraID>47D0D807</paraID>
      <start>5</start>
      <end>6</end>
      <status>unmodified</status>
      <modifiedWord/>
      <trackRevisions>false</trackRevisions>
    </reviewItem>
    <reviewItem>
      <errorID>a3f35fb9-c5ea-474c-a904-a9c0af53de3b</errorID>
      <errorWord>（</errorWord>
      <group>L1_Format</group>
      <groupName>格式问题</groupName>
      <ability>L2_HalfPunc_CN</ability>
      <abilityName/>
      <candidateList>
        <item>(</item>
      </candidateList>
      <explain>文本全半角错误。</explain>
      <paraID> 3BC10D1</paraID>
      <start>0</start>
      <end>1</end>
      <status>unmodified</status>
      <modifiedWord/>
      <trackRevisions>false</trackRevisions>
    </reviewItem>
    <reviewItem>
      <errorID>dff1acf5-3d39-495b-9d3b-1a9559cf0408</errorID>
      <errorWord>）</errorWord>
      <group>L1_Format</group>
      <groupName>格式问题</groupName>
      <ability>L2_HalfPunc_CN</ability>
      <abilityName/>
      <candidateList>
        <item>)</item>
      </candidateList>
      <explain>文本全半角错误。</explain>
      <paraID> 3BC10D1</paraID>
      <start>2</start>
      <end>3</end>
      <status>unmodified</status>
      <modifiedWord/>
      <trackRevisions>false</trackRevisions>
    </reviewItem>
    <reviewItem>
      <errorID>bf78e706-bcc0-4150-9b17-adc2c1711e06</errorID>
      <errorWord>（</errorWord>
      <group>L1_Format</group>
      <groupName>格式问题</groupName>
      <ability>L2_HalfPunc_CN</ability>
      <abilityName/>
      <candidateList>
        <item>(</item>
      </candidateList>
      <explain>文本全半角错误。</explain>
      <paraID>1E24BA73</paraID>
      <start>0</start>
      <end>1</end>
      <status>unmodified</status>
      <modifiedWord/>
      <trackRevisions>false</trackRevisions>
    </reviewItem>
    <reviewItem>
      <errorID>55f09fd8-c093-472c-968a-214216fcabbc</errorID>
      <errorWord>）</errorWord>
      <group>L1_Format</group>
      <groupName>格式问题</groupName>
      <ability>L2_HalfPunc_CN</ability>
      <abilityName/>
      <candidateList>
        <item>)</item>
      </candidateList>
      <explain>文本全半角错误。</explain>
      <paraID>1E24BA73</paraID>
      <start>4</start>
      <end>5</end>
      <status>unmodified</status>
      <modifiedWord/>
      <trackRevisions>false</trackRevisions>
    </reviewItem>
    <reviewItem>
      <errorID>0df94517-4773-4108-a075-3833e183742e</errorID>
      <errorWord>（</errorWord>
      <group>L1_Format</group>
      <groupName>格式问题</groupName>
      <ability>L2_HalfPunc_CN</ability>
      <abilityName/>
      <candidateList>
        <item>(</item>
      </candidateList>
      <explain>文本全半角错误。</explain>
      <paraID>249F994F</paraID>
      <start>0</start>
      <end>1</end>
      <status>unmodified</status>
      <modifiedWord/>
      <trackRevisions>false</trackRevisions>
    </reviewItem>
    <reviewItem>
      <errorID>29cb33f5-54aa-43c4-b95f-742d15206c2e</errorID>
      <errorWord>）</errorWord>
      <group>L1_Format</group>
      <groupName>格式问题</groupName>
      <ability>L2_HalfPunc_CN</ability>
      <abilityName/>
      <candidateList>
        <item>)</item>
      </candidateList>
      <explain>文本全半角错误。</explain>
      <paraID>249F994F</paraID>
      <start>2</start>
      <end>3</end>
      <status>unmodified</status>
      <modifiedWord/>
      <trackRevisions>false</trackRevisions>
    </reviewItem>
    <reviewItem>
      <errorID>7f366fae-c4a5-43ba-bda5-eac9b310f9a8</errorID>
      <errorWord>（</errorWord>
      <group>L1_Format</group>
      <groupName>格式问题</groupName>
      <ability>L2_HalfPunc_CN</ability>
      <abilityName/>
      <candidateList>
        <item>(</item>
      </candidateList>
      <explain>文本全半角错误。</explain>
      <paraID>59FE15EB</paraID>
      <start>0</start>
      <end>1</end>
      <status>unmodified</status>
      <modifiedWord/>
      <trackRevisions>false</trackRevisions>
    </reviewItem>
    <reviewItem>
      <errorID>25cb4f27-6d6a-44f0-a0b3-1b9c0fb52ae6</errorID>
      <errorWord>）</errorWord>
      <group>L1_Format</group>
      <groupName>格式问题</groupName>
      <ability>L2_HalfPunc_CN</ability>
      <abilityName/>
      <candidateList>
        <item>)</item>
      </candidateList>
      <explain>文本全半角错误。</explain>
      <paraID>59FE15EB</paraID>
      <start>5</start>
      <end>6</end>
      <status>unmodified</status>
      <modifiedWord/>
      <trackRevisions>false</trackRevisions>
    </reviewItem>
    <reviewItem>
      <errorID>a4c55486-acf8-41ed-ad1f-3912fab08017</errorID>
      <errorWord>（</errorWord>
      <group>L1_Format</group>
      <groupName>格式问题</groupName>
      <ability>L2_HalfPunc_CN</ability>
      <abilityName/>
      <candidateList>
        <item>(</item>
      </candidateList>
      <explain>文本全半角错误。</explain>
      <paraID>5B855C34</paraID>
      <start>0</start>
      <end>1</end>
      <status>unmodified</status>
      <modifiedWord/>
      <trackRevisions>false</trackRevisions>
    </reviewItem>
    <reviewItem>
      <errorID>31a728f5-3073-4655-865e-84b64421bfe1</errorID>
      <errorWord>）</errorWord>
      <group>L1_Format</group>
      <groupName>格式问题</groupName>
      <ability>L2_HalfPunc_CN</ability>
      <abilityName/>
      <candidateList>
        <item>)</item>
      </candidateList>
      <explain>文本全半角错误。</explain>
      <paraID>5B855C34</paraID>
      <start>4</start>
      <end>5</end>
      <status>unmodified</status>
      <modifiedWord/>
      <trackRevisions>false</trackRevisions>
    </reviewItem>
    <reviewItem>
      <errorID>a08b59fe-a741-4cb6-b04e-2f9f635f00c7</errorID>
      <errorWord>（</errorWord>
      <group>L1_Format</group>
      <groupName>格式问题</groupName>
      <ability>L2_HalfPunc_CN</ability>
      <abilityName/>
      <candidateList>
        <item>(</item>
      </candidateList>
      <explain>文本全半角错误。</explain>
      <paraID>20E61AA5</paraID>
      <start>0</start>
      <end>1</end>
      <status>unmodified</status>
      <modifiedWord/>
      <trackRevisions>false</trackRevisions>
    </reviewItem>
    <reviewItem>
      <errorID>4bfe4ddd-7baf-436c-9cb1-0e6282608683</errorID>
      <errorWord>）</errorWord>
      <group>L1_Format</group>
      <groupName>格式问题</groupName>
      <ability>L2_HalfPunc_CN</ability>
      <abilityName/>
      <candidateList>
        <item>)</item>
      </candidateList>
      <explain>文本全半角错误。</explain>
      <paraID>20E61AA5</paraID>
      <start>2</start>
      <end>3</end>
      <status>unmodified</status>
      <modifiedWord/>
      <trackRevisions>false</trackRevisions>
    </reviewItem>
    <reviewItem>
      <errorID>0b06dc0e-f9ee-498e-8952-f8de17b3713a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EA1604A</paraID>
      <start>0</start>
      <end>2</end>
      <status>unmodified</status>
      <modifiedWord/>
      <trackRevisions>false</trackRevisions>
    </reviewItem>
    <reviewItem>
      <errorID>aed79575-8d38-4ea9-a9bb-261cfff083c5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16ABFEAB</paraID>
      <start>0</start>
      <end>2</end>
      <status>unmodified</status>
      <modifiedWord/>
      <trackRevisions>false</trackRevisions>
    </reviewItem>
    <reviewItem>
      <errorID>c7e8d070-8d62-410b-9204-60f652595d18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2084028B</paraID>
      <start>129</start>
      <end>130</end>
      <status>unmodified</status>
      <modifiedWord/>
      <trackRevisions>false</trackRevisions>
    </reviewItem>
    <reviewItem>
      <errorID>9fc1aa1d-758a-4347-95bd-2eaa81afa1cc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2084028B</paraID>
      <start>196</start>
      <end>197</end>
      <status>unmodified</status>
      <modifiedWord/>
      <trackRevisions>false</trackRevisions>
    </reviewItem>
    <reviewItem>
      <errorID>7797fc36-56df-4dd2-91a9-f787a63af83e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2084028B</paraID>
      <start>285</start>
      <end>286</end>
      <status>unmodified</status>
      <modifiedWord/>
      <trackRevisions>false</trackRevisions>
    </reviewItem>
    <reviewItem>
      <errorID>36042218-8506-470c-bb46-c1406968beea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2084028B</paraID>
      <start>326</start>
      <end>327</end>
      <status>unmodified</status>
      <modifiedWord/>
      <trackRevisions>false</trackRevisions>
    </reviewItem>
    <reviewItem>
      <errorID>4375451a-d79a-4bef-ba85-ff7d0fc3b431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2084028B</paraID>
      <start>368</start>
      <end>369</end>
      <status>unmodified</status>
      <modifiedWord/>
      <trackRevisions>false</trackRevisions>
    </reviewItem>
    <reviewItem>
      <errorID>ac775cc9-5c72-434b-9ea8-767afdc24b03</errorID>
      <errorWord>，</errorWord>
      <group>L1_Word</group>
      <groupName>字词问题</groupName>
      <ability>L2_Typo</ability>
      <abilityName>字词错误</abilityName>
      <candidateList>
        <item>，对</item>
      </candidateList>
      <explain/>
      <paraID>333011DF</paraID>
      <start>83</start>
      <end>84</end>
      <status>unmodified</status>
      <modifiedWord/>
      <trackRevisions>false</trackRevisions>
    </reviewItem>
    <reviewItem>
      <errorID>d900ddb8-6a80-42d6-98bf-d6e0160c92b2</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3584B03B</paraID>
      <start>50</start>
      <end>53</end>
      <status>unmodified</status>
      <modifiedWord/>
      <trackRevisions>false</trackRevisions>
    </reviewItem>
    <reviewItem>
      <errorID>7b48b3ac-efa0-437d-9511-92edcc562711</errorID>
      <errorWord>：</errorWord>
      <group>L1_Format</group>
      <groupName>格式问题</groupName>
      <ability>L2_HalfPunc_CN</ability>
      <abilityName/>
      <candidateList>
        <item>:</item>
      </candidateList>
      <explain>文本全半角错误。</explain>
      <paraID>135D3518</paraID>
      <start>4</start>
      <end>5</end>
      <status>unmodified</status>
      <modifiedWord/>
      <trackRevisions>false</trackRevisions>
    </reviewItem>
    <reviewItem>
      <errorID>754ef601-0f36-4c2e-8f61-c30cfbb9f702</errorID>
      <errorWord>,</errorWord>
      <group>L1_Format</group>
      <groupName>格式问题</groupName>
      <ability>L2_HalfPunc_CN</ability>
      <abilityName/>
      <candidateList>
        <item>，</item>
      </candidateList>
      <explain>文本全半角错误。</explain>
      <paraID>57CE1E73</paraID>
      <start>46</start>
      <end>47</end>
      <status>unmodified</status>
      <modifiedWord/>
      <trackRevisions>false</trackRevisions>
    </reviewItem>
    <reviewItem>
      <errorID>9b734ea8-e621-4c45-abc4-a0fdd0541e42</errorID>
      <errorWord>-</errorWord>
      <group>L1_Format</group>
      <groupName>格式问题</groupName>
      <ability>L2_HalfPunc_CN</ability>
      <abilityName/>
      <candidateList>
        <item>－</item>
      </candidateList>
      <explain>文本全半角错误。</explain>
      <paraID>59CA3133</paraID>
      <start>8</start>
      <end>9</end>
      <status>unmodified</status>
      <modifiedWord/>
      <trackRevisions>false</trackRevisions>
    </reviewItem>
    <reviewItem>
      <errorID>a81a9d09-339c-4e85-81c4-e161ebea9c93</errorID>
      <errorWord>-</errorWord>
      <group>L1_Format</group>
      <groupName>格式问题</groupName>
      <ability>L2_HalfPunc_CN</ability>
      <abilityName/>
      <candidateList>
        <item>－</item>
      </candidateList>
      <explain>文本全半角错误。</explain>
      <paraID>1361AADF</paraID>
      <start>10</start>
      <end>11</end>
      <status>unmodified</status>
      <modifiedWord/>
      <trackRevisions>false</trackRevisions>
    </reviewItem>
    <reviewItem>
      <errorID>8b36c7ba-08a4-40ca-9ea7-e5c7ab3d0cab</errorID>
      <errorWord>综合症</errorWord>
      <group>L1_Word</group>
      <groupName>字词问题</groupName>
      <ability>L2_Typo</ability>
      <abilityName>字词错误</abilityName>
      <candidateList>
        <item>综合征</item>
      </candidateList>
      <explain>存在发音相同字词的误用。</explain>
      <paraID>704F17AB</paraID>
      <start>73</start>
      <end>76</end>
      <status>unmodified</status>
      <modifiedWord/>
      <trackRevisions>false</trackRevisions>
    </reviewItem>
    <reviewItem>
      <errorID>f0220c80-ac2e-4719-8b71-a8de709964be</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704F17AB</paraID>
      <start>82</start>
      <end>85</end>
      <status>unmodified</status>
      <modifiedWord/>
      <trackRevisions>false</trackRevisions>
    </reviewItem>
    <reviewItem>
      <errorID>d54ee063-3e4c-4cfc-bd5f-6f4dbb10225f</errorID>
      <errorWord>波及到</errorWord>
      <group>L1_Grammar</group>
      <groupName>语法问题</groupName>
      <ability>L2_Grammar</ability>
      <abilityName>语法错误</abilityName>
      <candidateList>
        <item>波及</item>
      </candidateList>
      <explain/>
      <paraID>3AB7385C</paraID>
      <start>49</start>
      <end>52</end>
      <status>unmodified</status>
      <modifiedWord/>
      <trackRevisions>false</trackRevisions>
    </reviewItem>
    <reviewItem>
      <errorID>995ae5d7-048d-4cae-b4fb-62f53fc2e5e3</errorID>
      <errorWord>的粘度</errorWord>
      <group>L1_Word</group>
      <groupName>字词问题</groupName>
      <ability>L2_Alias</ability>
      <abilityName>也作/曾用词</abilityName>
      <candidateList>
        <item>的黏度</item>
      </candidateList>
      <explain>词汇[的粘度]为不规范表述或旧称，其规范书面表述为[的黏度]。</explain>
      <paraID>1B044CF3</paraID>
      <start>4</start>
      <end>7</end>
      <status>unmodified</status>
      <modifiedWord/>
      <trackRevisions>false</trackRevisions>
    </reviewItem>
    <reviewItem>
      <errorID>b8f33be8-4649-492b-add1-29126ac8ca58</errorID>
      <errorWord>勘察</errorWord>
      <group>L1_Word</group>
      <groupName>字词问题</groupName>
      <ability>L2_Typo</ability>
      <abilityName>字词错误</abilityName>
      <candidateList>
        <item>勘查</item>
      </candidateList>
      <explain/>
      <paraID>5585CFC2</paraID>
      <start>15</start>
      <end>17</end>
      <status>unmodified</status>
      <modifiedWord/>
      <trackRevisions>false</trackRevisions>
    </reviewItem>
    <reviewItem>
      <errorID>1962ec6e-ef78-4310-be54-122c6fb8ca17</errorID>
      <errorWord>须</errorWord>
      <group>L1_Word</group>
      <groupName>字词问题</groupName>
      <ability>L2_Typo</ability>
      <abilityName>字词错误</abilityName>
      <candidateList>
        <item>需</item>
      </candidateList>
      <explain>存在发音相同字词的误用。</explain>
      <paraID>3AE355B3</paraID>
      <start>18</start>
      <end>19</end>
      <status>unmodified</status>
      <modifiedWord/>
      <trackRevisions>false</trackRevisions>
    </reviewItem>
    <reviewItem>
      <errorID>dc7c5f22-91bd-4a56-a3c3-fe8ae29f1779</errorID>
      <errorWord>车</errorWord>
      <group>L1_Word</group>
      <groupName>字词问题</groupName>
      <ability>L2_Typo</ability>
      <abilityName>字词错误</abilityName>
      <candidateList>
        <item>车辆</item>
      </candidateList>
      <explain>〈名〉各种车的总称。</explain>
      <paraID>2423D6E5</paraID>
      <start>33</start>
      <end>34</end>
      <status>unmodified</status>
      <modifiedWord/>
      <trackRevisions>false</trackRevisions>
    </reviewItem>
    <reviewItem>
      <errorID>b1571422-b658-4216-83c8-73ce776958c1</errorID>
      <errorWord>联接</errorWord>
      <group>L1_Word</group>
      <groupName>字词问题</groupName>
      <ability>L2_Typo</ability>
      <abilityName>字词错误</abilityName>
      <candidateList>
        <item>连接</item>
      </candidateList>
      <explain>存在发音相同字词的误用。</explain>
      <paraID>2E1F6ECC</paraID>
      <start>19</start>
      <end>21</end>
      <status>unmodified</status>
      <modifiedWord/>
      <trackRevisions>false</trackRevisions>
    </reviewItem>
    <reviewItem>
      <errorID>39406d51-0d4b-48f5-994e-596d1bb322f8</errorID>
      <errorWord>设</errorWord>
      <group>L1_Word</group>
      <groupName>字词问题</groupName>
      <ability>L2_Typo</ability>
      <abilityName>字词错误</abilityName>
      <candidateList>
        <item>设置</item>
      </candidateList>
      <explain>〈动〉❶设立：这座剧院是为儿童～的。❷安放；安装：～障碍。</explain>
      <paraID>776AC8E4</paraID>
      <start>7</start>
      <end>8</end>
      <status>unmodified</status>
      <modifiedWord/>
      <trackRevisions>false</trackRevisions>
    </reviewItem>
    <reviewItem>
      <errorID>952e9967-5f60-44a4-84fe-8b02c218e9e2</errorID>
      <errorWord>劳损</errorWord>
      <group>L1_Word</group>
      <groupName>字词问题</groupName>
      <ability>L2_Typo</ability>
      <abilityName>字词错误</abilityName>
      <candidateList>
        <item>破损</item>
      </candidateList>
      <explain/>
      <paraID>7FD69411</paraID>
      <start>30</start>
      <end>32</end>
      <status>unmodified</status>
      <modifiedWord/>
      <trackRevisions>false</trackRevisions>
    </reviewItem>
    <reviewItem>
      <errorID>9962326d-ef34-475f-87bd-51d74ab10b88</errorID>
      <errorWord>程</errorWord>
      <group>L1_Word</group>
      <groupName>字词问题</groupName>
      <ability>L2_Typo</ability>
      <abilityName>字词错误</abilityName>
      <candidateList>
        <item>程中</item>
      </candidateList>
      <explain/>
      <paraID>5A2BC903</paraID>
      <start>151</start>
      <end>152</end>
      <status>unmodified</status>
      <modifiedWord/>
      <trackRevisions>false</trackRevisions>
    </reviewItem>
    <reviewItem>
      <errorID>f46b9298-6e42-4983-bab7-811040c2305b</errorID>
      <errorWord>程</errorWord>
      <group>L1_Word</group>
      <groupName>字词问题</groupName>
      <ability>L2_Typo</ability>
      <abilityName>字词错误</abilityName>
      <candidateList>
        <item>程中</item>
      </candidateList>
      <explain/>
      <paraID>7DCA374A</paraID>
      <start>22</start>
      <end>23</end>
      <status>unmodified</status>
      <modifiedWord/>
      <trackRevisions>false</trackRevisions>
    </reviewItem>
    <reviewItem>
      <errorID>2398625b-9a96-466c-b0e2-d3ca1f85e46a</errorID>
      <errorWord>场</errorWord>
      <group>L1_Word</group>
      <groupName>字词问题</groupName>
      <ability>L2_Typo</ability>
      <abilityName>字词错误</abilityName>
      <candidateList>
        <item>厂</item>
      </candidateList>
      <explain>存在发音相同字词的误用。</explain>
      <paraID>4429BADA</paraID>
      <start>38</start>
      <end>39</end>
      <status>modified</status>
      <modifiedWord>厂</modifiedWord>
      <trackRevisions>false</trackRevisions>
    </reviewItem>
    <reviewItem>
      <errorID>643e2612-5b3f-47ee-aef6-769f8172f017</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348B9517</paraID>
      <start>0</start>
      <end>2</end>
      <status>unmodified</status>
      <modifiedWord/>
      <trackRevisions>false</trackRevisions>
    </reviewItem>
    <reviewItem>
      <errorID>84ef80ac-99a0-49e1-b04d-82fa44bcd5b2</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1E335EF1</paraID>
      <start>72</start>
      <end>74</end>
      <status>unmodified</status>
      <modifiedWord/>
      <trackRevisions>false</trackRevisions>
    </reviewItem>
    <reviewItem>
      <errorID>ac52207d-d18d-44ac-affc-35454948755e</errorID>
      <errorWord>同时应</errorWord>
      <group>L1_Word</group>
      <groupName>字词问题</groupName>
      <ability>L2_Typo</ability>
      <abilityName>字词错误</abilityName>
      <candidateList>
        <item>同时</item>
      </candidateList>
      <explain>❶〈名〉同一个时候：他们俩是～复员的｜在抓紧工程进度的～，必须注意工程质量。❷〈连〉表示并列关系，常含有进一层的意味：这是非常重要的任务，～也是十分艰巨的任务。</explain>
      <paraID>1C0E5826</paraID>
      <start>24</start>
      <end>26</end>
      <status>modified</status>
      <modifiedWord>同时</modifiedWord>
      <trackRevisions>false</trackRevisions>
    </reviewItem>
    <reviewItem>
      <errorID>6405cbfa-87b7-4a07-8742-e823812e390f</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3488DF03</paraID>
      <start>58</start>
      <end>60</end>
      <status>unmodified</status>
      <modifiedWord/>
      <trackRevisions>false</trackRevisions>
    </reviewItem>
    <reviewItem>
      <errorID>6a355f6e-0008-4abf-a577-cc44afffda54</errorID>
      <errorWord>，</errorWord>
      <group>L1_Word</group>
      <groupName>字词问题</groupName>
      <ability>L2_Typo</ability>
      <abilityName>字词错误</abilityName>
      <candidateList>
        <item>，在</item>
      </candidateList>
      <explain/>
      <paraID>666C1F5B</paraID>
      <start>39</start>
      <end>40</end>
      <status>unmodified</status>
      <modifiedWord/>
      <trackRevisions>false</trackRevisions>
    </reviewItem>
    <reviewItem>
      <errorID>df947f4c-8155-47c8-81a0-814cd68dfed8</errorID>
      <errorWord>（/</errorWord>
      <group>L1_Punc</group>
      <groupName>标点问题</groupName>
      <ability>L2_Punc_CN</ability>
      <abilityName/>
      <candidateList>
        <item>（</item>
      </candidateList>
      <explain/>
      <paraID>31F57C15</paraID>
      <start>0</start>
      <end>2</end>
      <status>unmodified</status>
      <modifiedWord/>
      <trackRevisions>false</trackRevisions>
    </reviewItem>
    <reviewItem>
      <errorID>3ac8b1b0-7e69-4518-8452-939464022d80</errorID>
      <errorWord>最小</errorWord>
      <group>L1_Word</group>
      <groupName>字词问题</groupName>
      <ability>L2_Typo</ability>
      <abilityName>字词错误</abilityName>
      <candidateList>
        <item>最低</item>
      </candidateList>
      <explain/>
      <paraID>3BA4CAD1</paraID>
      <start>127</start>
      <end>129</end>
      <status>unmodified</status>
      <modifiedWord/>
      <trackRevisions>false</trackRevisions>
    </reviewItem>
    <reviewItem>
      <errorID>2975819c-26d1-4389-a9e9-81a96ca5da1a</errorID>
      <errorWord>期</errorWord>
      <group>L1_Word</group>
      <groupName>字词问题</groupName>
      <ability>L2_Typo</ability>
      <abilityName>字词错误</abilityName>
      <candidateList>
        <item>期间</item>
      </candidateList>
      <explain>〈名〉某个时期里面：农忙～｜春节～｜抗战～。</explain>
      <paraID>797638A6</paraID>
      <start>4</start>
      <end>5</end>
      <status>unmodified</status>
      <modifiedWord/>
      <trackRevisions>false</trackRevisions>
    </reviewItem>
    <reviewItem>
      <errorID>1a7ec4d6-b848-4024-b167-56fdf238f0ef</errorID>
      <errorWord>提高</errorWord>
      <group>L1_Grammar</group>
      <groupName>语法问题</groupName>
      <ability>L2_Grammar</ability>
      <abilityName>语法错误</abilityName>
      <candidateList>
        <item>增强</item>
      </candidateList>
      <explain>“提高～意识”搭配不当，建议修改为“增强～意识”。</explain>
      <paraID> D97C9F3</paraID>
      <start>113</start>
      <end>115</end>
      <status>unmodified</status>
      <modifiedWord/>
      <trackRevisions>false</trackRevisions>
    </reviewItem>
    <reviewItem>
      <errorID>77151a47-5f0c-494f-9835-627af16954cf</errorID>
      <errorWord>造成的</errorWord>
      <group>L1_Word</group>
      <groupName>字词问题</groupName>
      <ability>L2_Typo</ability>
      <abilityName>字词错误</abilityName>
      <candidateList>
        <item>造成</item>
      </candidateList>
      <explain/>
      <paraID> D97C9F3</paraID>
      <start>161</start>
      <end>164</end>
      <status>unmodified</status>
      <modifiedWord/>
      <trackRevisions>false</trackRevisions>
    </reviewItem>
    <reviewItem>
      <errorID>7d00aeb8-5517-4eec-87eb-4ea5bdf08729</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2977A355</paraID>
      <start>33</start>
      <end>35</end>
      <status>unmodified</status>
      <modifiedWord/>
      <trackRevisions>false</trackRevisions>
    </reviewItem>
    <reviewItem>
      <errorID>a50519f2-6d36-48a9-8cbc-1a3131a1807f</errorID>
      <errorWord>，对</errorWord>
      <group>L1_Word</group>
      <groupName>字词问题</groupName>
      <ability>L2_Typo</ability>
      <abilityName>字词错误</abilityName>
      <candidateList>
        <item>，</item>
      </candidateList>
      <explain/>
      <paraID>119159CB</paraID>
      <start>52</start>
      <end>54</end>
      <status>unmodified</status>
      <modifiedWord/>
      <trackRevisions>false</trackRevisions>
    </reviewItem>
    <reviewItem>
      <errorID>443d74a1-9573-4ed0-a29b-b853a18a5816</errorID>
      <errorWord>提高</errorWord>
      <group>L1_Grammar</group>
      <groupName>语法问题</groupName>
      <ability>L2_Grammar</ability>
      <abilityName>语法错误</abilityName>
      <candidateList>
        <item>增强</item>
      </candidateList>
      <explain>“提高～意识”搭配不当，建议修改为“增强～意识”。</explain>
      <paraID>5D970B80</paraID>
      <start>21</start>
      <end>23</end>
      <status>unmodified</status>
      <modifiedWord/>
      <trackRevisions>false</trackRevisions>
    </reviewItem>
    <reviewItem>
      <errorID>e9044cca-dc6f-4141-a256-463396fb3278</errorID>
      <errorWord>须</errorWord>
      <group>L1_Word</group>
      <groupName>字词问题</groupName>
      <ability>L2_Typo</ability>
      <abilityName>字词错误</abilityName>
      <candidateList>
        <item>需</item>
      </candidateList>
      <explain>存在发音相同字词的误用。</explain>
      <paraID>3C1D7A6D</paraID>
      <start>50</start>
      <end>51</end>
      <status>unmodified</status>
      <modifiedWord/>
      <trackRevisions>false</trackRevisions>
    </reviewItem>
    <reviewItem>
      <errorID>d3344279-64b5-47b0-b714-0479333611c3</errorID>
      <errorWord>减小</errorWord>
      <group>L1_Word</group>
      <groupName>字词问题</groupName>
      <ability>L2_Typo</ability>
      <abilityName>字词错误</abilityName>
      <candidateList>
        <item>减少</item>
      </candidateList>
      <explain>存在字形相近字词的误用。</explain>
      <paraID>39FDC1C3</paraID>
      <start>108</start>
      <end>110</end>
      <status>unmodified</status>
      <modifiedWord/>
      <trackRevisions>false</trackRevisions>
    </reviewItem>
    <reviewItem>
      <errorID>2421f2bf-e221-4312-9114-e7a30008f738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7E632CCF</paraID>
      <start>46</start>
      <end>47</end>
      <status>unmodified</status>
      <modifiedWord/>
      <trackRevisions>false</trackRevisions>
    </reviewItem>
    <reviewItem>
      <errorID>1b4a2201-258e-4bff-89d4-390c9231f71c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7E632CCF</paraID>
      <start>132</start>
      <end>133</end>
      <status>unmodified</status>
      <modifiedWord/>
      <trackRevisions>false</trackRevisions>
    </reviewItem>
    <reviewItem>
      <errorID>68ea79e0-7762-4d47-ab0f-17e846d93bf2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1E9EE54D</paraID>
      <start>30</start>
      <end>31</end>
      <status>unmodified</status>
      <modifiedWord/>
      <trackRevisions>false</trackRevisions>
    </reviewItem>
    <reviewItem>
      <errorID>659effb2-e486-4301-988d-74730837421a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39B11371</paraID>
      <start>74</start>
      <end>75</end>
      <status>unmodified</status>
      <modifiedWord/>
      <trackRevisions>false</trackRevisions>
    </reviewItem>
    <reviewItem>
      <errorID>cb567905-a4f8-471b-950d-ea5613445f64</errorID>
      <errorWord>地表声环境</errorWord>
      <group>L1_Word</group>
      <groupName>字词问题</groupName>
      <ability>L2_Typo</ability>
      <abilityName>字词错误</abilityName>
      <candidateList>
        <item>地表水环境</item>
      </candidateList>
      <explain/>
      <paraID>61AA53D7</paraID>
      <start>69</start>
      <end>74</end>
      <status>unmodified</status>
      <modifiedWord/>
      <trackRevisions>false</trackRevisions>
    </reviewItem>
    <reviewItem>
      <errorID>71c70103-1fef-4ef9-9767-c0109d0f7c62</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629588B3</paraID>
      <start>41</start>
      <end>43</end>
      <status>unmodified</status>
      <modifiedWord/>
      <trackRevisions>false</trackRevisions>
    </reviewItem>
    <reviewItem>
      <errorID>72d0eae3-a7c5-4587-b3bd-29123d07564b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629588B3</paraID>
      <start>119</start>
      <end>120</end>
      <status>unmodified</status>
      <modifiedWord/>
      <trackRevisions>false</trackRevisions>
    </reviewItem>
    <reviewItem>
      <errorID>8ae0c935-2c73-4562-b306-9af65f3743a9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629588B3</paraID>
      <start>196</start>
      <end>197</end>
      <status>unmodified</status>
      <modifiedWord/>
      <trackRevisions>false</trackRevisions>
    </reviewItem>
    <reviewItem>
      <errorID>d5076074-62f5-4a22-9868-a2d0504168cd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2CE334F7</paraID>
      <start>28</start>
      <end>29</end>
      <status>unmodified</status>
      <modifiedWord/>
      <trackRevisions>false</trackRevisions>
    </reviewItem>
    <reviewItem>
      <errorID>85f20e9c-096e-4d55-9d28-cf726e51073d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2CE334F7</paraID>
      <start>70</start>
      <end>71</end>
      <status>unmodified</status>
      <modifiedWord/>
      <trackRevisions>false</trackRevisions>
    </reviewItem>
    <reviewItem>
      <errorID>52175f73-d790-4594-b024-324717ba2dfe</errorID>
      <errorWord>、</errorWord>
      <group>L1_Punc</group>
      <groupName>标点问题</groupName>
      <ability>L2_Punc_CN</ability>
      <abilityName/>
      <candidateList>
        <item>.</item>
      </candidateList>
      <explain/>
      <paraID>2C94FFCC</paraID>
      <start>1</start>
      <end>2</end>
      <status>unmodified</status>
      <modifiedWord/>
      <trackRevisions>false</trackRevisions>
    </reviewItem>
    <reviewItem>
      <errorID>7d862a61-394f-48df-b4a0-182920406b4e</errorID>
      <errorWord>II</errorWord>
      <group>L1_Knowledge</group>
      <groupName>知识性问题</groupName>
      <ability>L2_Knowledge</ability>
      <abilityName>其他知识</abilityName>
      <candidateList>
        <item>Ⅱ</item>
      </candidateList>
      <explain/>
      <paraID>735044A4</paraID>
      <start>0</start>
      <end>2</end>
      <status>unmodified</status>
      <modifiedWord/>
      <trackRevisions>false</trackRevisions>
    </reviewItem>
    <reviewItem>
      <errorID>b0a47bfb-8e80-4a50-8dc6-0d172ec8b01f</errorID>
      <errorWord>III</errorWord>
      <group>L1_Knowledge</group>
      <groupName>知识性问题</groupName>
      <ability>L2_Knowledge</ability>
      <abilityName>其他知识</abilityName>
      <candidateList>
        <item>Ⅲ</item>
      </candidateList>
      <explain/>
      <paraID>4A99BC2E</paraID>
      <start>0</start>
      <end>3</end>
      <status>unmodified</status>
      <modifiedWord/>
      <trackRevisions>false</trackRevisions>
    </reviewItem>
    <reviewItem>
      <errorID>61500384-9e64-44c6-8ce5-c9bf638f565b</errorID>
      <errorWord>IV</errorWord>
      <group>L1_Knowledge</group>
      <groupName>知识性问题</groupName>
      <ability>L2_Knowledge</ability>
      <abilityName>其他知识</abilityName>
      <candidateList>
        <item>Ⅳ</item>
      </candidateList>
      <explain/>
      <paraID>1E00B1E6</paraID>
      <start>0</start>
      <end>2</end>
      <status>unmodified</status>
      <modifiedWord/>
      <trackRevisions>false</trackRevisions>
    </reviewItem>
    <reviewItem>
      <errorID>7d5fdfcd-fd06-4d10-93ed-e3d757a19723</errorID>
      <errorWord>、</errorWord>
      <group>L1_Punc</group>
      <groupName>标点问题</groupName>
      <ability>L2_Punc_CN</ability>
      <abilityName/>
      <candidateList>
        <item>.</item>
      </candidateList>
      <explain/>
      <paraID>1EC6C3D6</paraID>
      <start>1</start>
      <end>2</end>
      <status>unmodified</status>
      <modifiedWord/>
      <trackRevisions>false</trackRevisions>
    </reviewItem>
    <reviewItem>
      <errorID>2b368c10-b422-47d4-a0ee-77649e03d50f</errorID>
      <errorWord>、</errorWord>
      <group>L1_Punc</group>
      <groupName>标点问题</groupName>
      <ability>L2_Punc_CN</ability>
      <abilityName/>
      <candidateList>
        <item>.</item>
      </candidateList>
      <explain/>
      <paraID>64F10982</paraID>
      <start>1</start>
      <end>2</end>
      <status>unmodified</status>
      <modifiedWord/>
      <trackRevisions>false</trackRevisions>
    </reviewItem>
    <reviewItem>
      <errorID>6095ed05-6230-4144-b513-39f75708cc58</errorID>
      <errorWord>II</errorWord>
      <group>L1_Knowledge</group>
      <groupName>知识性问题</groupName>
      <ability>L2_Knowledge</ability>
      <abilityName>其他知识</abilityName>
      <candidateList>
        <item>Ⅱ</item>
      </candidateList>
      <explain/>
      <paraID>42E3C6BA</paraID>
      <start>0</start>
      <end>2</end>
      <status>unmodified</status>
      <modifiedWord/>
      <trackRevisions>false</trackRevisions>
    </reviewItem>
    <reviewItem>
      <errorID>0fd00307-f111-4d7d-bbe5-706927241ab5</errorID>
      <errorWord>III</errorWord>
      <group>L1_Knowledge</group>
      <groupName>知识性问题</groupName>
      <ability>L2_Knowledge</ability>
      <abilityName>其他知识</abilityName>
      <candidateList>
        <item>Ⅲ</item>
      </candidateList>
      <explain/>
      <paraID>4A3A5E3F</paraID>
      <start>0</start>
      <end>3</end>
      <status>unmodified</status>
      <modifiedWord/>
      <trackRevisions>false</trackRevisions>
    </reviewItem>
    <reviewItem>
      <errorID>e7f4f16e-0fcf-4e59-a4cc-a152b3981090</errorID>
      <errorWord>IV</errorWord>
      <group>L1_Knowledge</group>
      <groupName>知识性问题</groupName>
      <ability>L2_Knowledge</ability>
      <abilityName>其他知识</abilityName>
      <candidateList>
        <item>Ⅳ</item>
      </candidateList>
      <explain/>
      <paraID>150AF1F5</paraID>
      <start>0</start>
      <end>2</end>
      <status>unmodified</status>
      <modifiedWord/>
      <trackRevisions>false</trackRevisions>
    </reviewItem>
    <reviewItem>
      <errorID>708b0b09-cea8-4970-bfd6-861a9ad9440f</errorID>
      <errorWord>经</errorWord>
      <group>L1_Word</group>
      <groupName>字词问题</groupName>
      <ability>L2_Typo</ability>
      <abilityName>字词错误</abilityName>
      <candidateList>
        <item>经过</item>
      </candidateList>
      <explain>❶〈动〉通过（处所、时间、动作等）：从北京坐火车到广州要～武汉｜屋子～打扫，干净多了｜这件事情是～领导上缜密考虑过的。❷〈名〉过程；经历▲：厂长向来宾报告建厂～｜说说你探险的～。</explain>
      <paraID>150AF1F5</paraID>
      <start>36</start>
      <end>37</end>
      <status>unmodified</status>
      <modifiedWord/>
      <trackRevisions>false</trackRevisions>
    </reviewItem>
    <reviewItem>
      <errorID>f316ed9c-fdd3-4286-8ce7-41d141dca141</errorID>
      <errorWord>、</errorWord>
      <group>L1_Punc</group>
      <groupName>标点问题</groupName>
      <ability>L2_Punc_CN</ability>
      <abilityName/>
      <candidateList>
        <item>.</item>
      </candidateList>
      <explain/>
      <paraID>4AB6EA77</paraID>
      <start>1</start>
      <end>2</end>
      <status>unmodified</status>
      <modifiedWord/>
      <trackRevisions>false</trackRevisions>
    </reviewItem>
    <reviewItem>
      <errorID>5c6a1a6d-9fc8-41ac-aa1a-6903b1cb61f7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706E4451</paraID>
      <start>42</start>
      <end>43</end>
      <status>unmodified</status>
      <modifiedWord/>
      <trackRevisions>false</trackRevisions>
    </reviewItem>
    <reviewItem>
      <errorID>bc17551b-b39c-45c6-ae4c-c0d011cac347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706E4451</paraID>
      <start>84</start>
      <end>85</end>
      <status>unmodified</status>
      <modifiedWord/>
      <trackRevisions>false</trackRevisions>
    </reviewItem>
    <reviewItem>
      <errorID>17209b16-2942-43ba-a588-fa07b794a467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2599842F</paraID>
      <start>0</start>
      <end>2</end>
      <status>unmodified</status>
      <modifiedWord/>
      <trackRevisions>false</trackRevisions>
    </reviewItem>
    <reviewItem>
      <errorID>42b88ee7-5018-490b-a39a-877ad63513c1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53AC3EED</paraID>
      <start>0</start>
      <end>2</end>
      <status>unmodified</status>
      <modifiedWord/>
      <trackRevisions>false</trackRevisions>
    </reviewItem>
    <reviewItem>
      <errorID>d0a1dfef-4115-4f69-b0ed-ce72dcb12071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76AA8AF0</paraID>
      <start>0</start>
      <end>2</end>
      <status>unmodified</status>
      <modifiedWord/>
      <trackRevisions>false</trackRevisions>
    </reviewItem>
    <reviewItem>
      <errorID>81282062-2c98-4217-b96f-a56c1b68fef6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5A11581</paraID>
      <start>0</start>
      <end>2</end>
      <status>unmodified</status>
      <modifiedWord/>
      <trackRevisions>false</trackRevisions>
    </reviewItem>
    <reviewItem>
      <errorID>93208b08-7470-4607-9991-9a4fe8b8608c</errorID>
      <errorWord>：</errorWord>
      <group>L1_Format</group>
      <groupName>格式问题</groupName>
      <ability>L2_HalfPunc_CN</ability>
      <abilityName/>
      <candidateList>
        <item>:</item>
      </candidateList>
      <explain>文本全半角错误。</explain>
      <paraID>7A629504</paraID>
      <start>12</start>
      <end>13</end>
      <status>unmodified</status>
      <modifiedWord/>
      <trackRevisions>false</trackRevisions>
    </reviewItem>
    <reviewItem>
      <errorID>5c0933ab-73fa-4888-a65d-9589b64f9c10</errorID>
      <errorWord>制定出</errorWord>
      <group>L1_Word</group>
      <groupName>字词问题</groupName>
      <ability>L2_Typo</ability>
      <abilityName>字词错误</abilityName>
      <candidateList>
        <item>制定</item>
      </candidateList>
      <explain>〈动〉定出（法律、规程、政策等）：～宪法｜～学会章程。</explain>
      <paraID>2ECA0709</paraID>
      <start>44</start>
      <end>46</end>
      <status>modified</status>
      <modifiedWord>制定</modifiedWord>
      <trackRevisions>false</trackRevisions>
    </reviewItem>
    <reviewItem>
      <errorID>8a53f209-f002-4579-9825-a2b29cabc753</errorID>
      <errorWord>、</errorWord>
      <group>L1_Punc</group>
      <groupName>标点问题</groupName>
      <ability>L2_Punc_CN</ability>
      <abilityName/>
      <candidateList>
        <item>.</item>
      </candidateList>
      <explain/>
      <paraID>2055E482</paraID>
      <start>1</start>
      <end>2</end>
      <status>unmodified</status>
      <modifiedWord/>
      <trackRevisions>false</trackRevisions>
    </reviewItem>
    <reviewItem>
      <errorID>6b3cf98e-381f-4c7d-ad7f-34bd93b66090</errorID>
      <errorWord>、</errorWord>
      <group>L1_Punc</group>
      <groupName>标点问题</groupName>
      <ability>L2_Punc_CN</ability>
      <abilityName/>
      <candidateList>
        <item>.</item>
      </candidateList>
      <explain/>
      <paraID>48525F0D</paraID>
      <start>1</start>
      <end>2</end>
      <status>unmodified</status>
      <modifiedWord/>
      <trackRevisions>false</trackRevisions>
    </reviewItem>
    <reviewItem>
      <errorID>d28098e1-c80d-4395-b4e7-990dba2a99bb</errorID>
      <errorWord>、</errorWord>
      <group>L1_Punc</group>
      <groupName>标点问题</groupName>
      <ability>L2_Punc_CN</ability>
      <abilityName/>
      <candidateList>
        <item>.</item>
      </candidateList>
      <explain/>
      <paraID>664C235E</paraID>
      <start>1</start>
      <end>2</end>
      <status>unmodified</status>
      <modifiedWord/>
      <trackRevisions>false</trackRevisions>
    </reviewItem>
    <reviewItem>
      <errorID>f5704587-136a-4886-b9f0-1a3315dd6754</errorID>
      <errorWord>沉砂池</errorWord>
      <group>L1_Word</group>
      <groupName>字词问题</groupName>
      <ability>L2_Typo</ability>
      <abilityName>字词错误</abilityName>
      <candidateList>
        <item>沉沙池</item>
      </candidateList>
      <explain>存在发音相同字词的误用。</explain>
      <paraID>644518AB</paraID>
      <start>2</start>
      <end>5</end>
      <status>unmodified</status>
      <modifiedWord/>
      <trackRevisions>false</trackRevisions>
    </reviewItem>
    <reviewItem>
      <errorID>7a59c1bf-2617-499c-9f3b-ee8eb42f573b</errorID>
      <errorWord>环境正</errorWord>
      <group>L1_Word</group>
      <groupName>字词问题</groupName>
      <ability>L2_Typo</ability>
      <abilityName>字词错误</abilityName>
      <candidateList>
        <item>环境</item>
      </candidateList>
      <explain>〈名〉❶周围的地方：～优美｜～卫生。❷周围的情况和条件：客观～｜工作～。</explain>
      <paraID>1F5D1882</paraID>
      <start>123</start>
      <end>126</end>
      <status>unmodified</status>
      <modifiedWord/>
      <trackRevisions>false</trackRevisions>
    </reviewItem>
    <reviewItem>
      <errorID>66385a39-b2e5-4226-ad94-07c2652c1f8c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5CCF2F41</paraID>
      <start>0</start>
      <end>2</end>
      <status>unmodified</status>
      <modifiedWord/>
      <trackRevisions>false</trackRevisions>
    </reviewItem>
    <reviewItem>
      <errorID>a797fb83-dbd0-4259-893c-fdba92e14a8f</errorID>
      <errorWord>地</errorWord>
      <group>L1_Word</group>
      <groupName>字词问题</groupName>
      <ability>L2_DDD</ability>
      <abilityName>的地得用法</abilityName>
      <candidateList>
        <item>的</item>
      </candidateList>
      <explain>“的”常用于连接修饰语与名词性中心语，表示属性、所属或描述。</explain>
      <paraID>6E28677A</paraID>
      <start>136</start>
      <end>137</end>
      <status>unmodified</status>
      <modifiedWord/>
      <trackRevisions>false</trackRevisions>
    </reviewItem>
    <reviewItem>
      <errorID>d48cc4f9-916f-423c-8daa-39cddc7f38a7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3D476095</paraID>
      <start>0</start>
      <end>2</end>
      <status>unmodified</status>
      <modifiedWord/>
      <trackRevisions>false</trackRevisions>
    </reviewItem>
    <reviewItem>
      <errorID>2fd0f0f6-d670-48c6-88ec-db6137c543fe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33C41BF1</paraID>
      <start>0</start>
      <end>2</end>
      <status>unmodified</status>
      <modifiedWord/>
      <trackRevisions>false</trackRevisions>
    </reviewItem>
    <reviewItem>
      <errorID>df767227-091d-4b06-a20a-063fd3ca0ad5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42A8A8C6</paraID>
      <start>0</start>
      <end>2</end>
      <status>unmodified</status>
      <modifiedWord/>
      <trackRevisions>false</trackRevisions>
    </reviewItem>
    <reviewItem>
      <errorID>5f3869d1-ea33-439d-a472-4ad8eae12519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CD986E0</paraID>
      <start>0</start>
      <end>2</end>
      <status>unmodified</status>
      <modifiedWord/>
      <trackRevisions>false</trackRevisions>
    </reviewItem>
    <reviewItem>
      <errorID>cfb0112b-1bed-4a3d-bd29-718746b4a28c</errorID>
      <errorWord>位</errorWord>
      <group>L1_Word</group>
      <groupName>字词问题</groupName>
      <ability>L2_Typo</ability>
      <abilityName>字词错误</abilityName>
      <candidateList>
        <item>位在</item>
      </candidateList>
      <explain/>
      <paraID>55FD66CD</paraID>
      <start>11</start>
      <end>12</end>
      <status>unmodified</status>
      <modifiedWord/>
      <trackRevisions>false</trackRevisions>
    </reviewItem>
    <reviewItem>
      <errorID>78164142-da88-4b0f-b732-12e934d4baf6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7061BC12</paraID>
      <start>0</start>
      <end>2</end>
      <status>unmodified</status>
      <modifiedWord/>
      <trackRevisions>false</trackRevisions>
    </reviewItem>
    <reviewItem>
      <errorID>4803af17-6875-4de7-8fd9-b97bba53b903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230535FA</paraID>
      <start>0</start>
      <end>2</end>
      <status>unmodified</status>
      <modifiedWord/>
      <trackRevisions>false</trackRevisions>
    </reviewItem>
    <reviewItem>
      <errorID>2564c5c3-2bb1-4f6a-94c6-badaae9c783c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26627709</paraID>
      <start>0</start>
      <end>2</end>
      <status>unmodified</status>
      <modifiedWord/>
      <trackRevisions>false</trackRevisions>
    </reviewItem>
    <reviewItem>
      <errorID>ae217022-2209-426c-9f78-12d047eb8eb8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16639E3B</paraID>
      <start>0</start>
      <end>2</end>
      <status>unmodified</status>
      <modifiedWord/>
      <trackRevisions>false</trackRevisions>
    </reviewItem>
    <reviewItem>
      <errorID>d211291d-8431-45ff-b535-04fdf28bbdeb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365F1220</paraID>
      <start>0</start>
      <end>2</end>
      <status>unmodified</status>
      <modifiedWord/>
      <trackRevisions>false</trackRevisions>
    </reviewItem>
    <reviewItem>
      <errorID>8a09e4d4-7eec-4b1c-8d27-e45a90e6fad9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59D27C8B</paraID>
      <start>0</start>
      <end>2</end>
      <status>unmodified</status>
      <modifiedWord/>
      <trackRevisions>false</trackRevisions>
    </reviewItem>
    <reviewItem>
      <errorID>e820c89c-e80e-42ae-822f-c0bcff00aefb</errorID>
      <errorWord>~</errorWord>
      <group>L1_Format</group>
      <groupName>格式问题</groupName>
      <ability>L2_HalfPunc_CN</ability>
      <abilityName/>
      <candidateList>
        <item>～</item>
      </candidateList>
      <explain>文本全半角错误。</explain>
      <paraID>4959E302</paraID>
      <start>1</start>
      <end>2</end>
      <status>unmodified</status>
      <modifiedWord/>
      <trackRevisions>false</trackRevisions>
    </reviewItem>
    <reviewItem>
      <errorID>362d60b8-3dd7-42dc-b8b4-a755a218c7b5</errorID>
      <errorWord>~</errorWord>
      <group>L1_Format</group>
      <groupName>格式问题</groupName>
      <ability>L2_HalfPunc_CN</ability>
      <abilityName/>
      <candidateList>
        <item>～</item>
      </candidateList>
      <explain>文本全半角错误。</explain>
      <paraID>68EFF572</paraID>
      <start>1</start>
      <end>2</end>
      <status>unmodified</status>
      <modifiedWord/>
      <trackRevisions>false</trackRevisions>
    </reviewItem>
    <reviewItem>
      <errorID>9de47b6c-09e9-4fbf-a328-4a322c210142</errorID>
      <errorWord>~</errorWord>
      <group>L1_Format</group>
      <groupName>格式问题</groupName>
      <ability>L2_HalfPunc_CN</ability>
      <abilityName/>
      <candidateList>
        <item>～</item>
      </candidateList>
      <explain>文本全半角错误。</explain>
      <paraID>7BA96E79</paraID>
      <start>1</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0243ad-6a53-4cce-a26c-73c2a5be6206}">
  <ds:schemaRefs/>
</ds:datastoreItem>
</file>

<file path=docProps/app.xml><?xml version="1.0" encoding="utf-8"?>
<Properties xmlns="http://schemas.openxmlformats.org/officeDocument/2006/extended-properties" xmlns:vt="http://schemas.openxmlformats.org/officeDocument/2006/docPropsVTypes">
  <Template>Normal</Template>
  <Pages>307</Pages>
  <Words>8732</Words>
  <Characters>9809</Characters>
  <Lines>848</Lines>
  <Paragraphs>238</Paragraphs>
  <TotalTime>19</TotalTime>
  <ScaleCrop>false</ScaleCrop>
  <LinksUpToDate>false</LinksUpToDate>
  <CharactersWithSpaces>9915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2022-12-12T04:20:00Z</dcterms:created>
  <dc:creator>Administrator</dc:creator>
  <cp:lastModifiedBy>蘑菇</cp:lastModifiedBy>
  <cp:lastPrinted>2022-12-12T07:21:00Z</cp:lastPrinted>
  <dcterms:modified xsi:type="dcterms:W3CDTF">2026-05-21T05:15:53Z</dcterms:modified>
  <dc:title>1.概述</dc:title>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09924BD5A4184DF88DDD5C17DA481C10_13</vt:lpwstr>
  </property>
  <property fmtid="{D5CDD505-2E9C-101B-9397-08002B2CF9AE}" pid="4" name="commondata">
    <vt:lpwstr>eyJoZGlkIjoiZjU4YmRkNzMzYTY2MWJiZWIwODZkNjVhYThkZDc4MzcifQ==</vt:lpwstr>
  </property>
  <property fmtid="{D5CDD505-2E9C-101B-9397-08002B2CF9AE}" pid="5" name="KSOTemplateDocerSaveRecord">
    <vt:lpwstr>eyJoZGlkIjoiMWEwNDc3MjQwOGU1YzE5YjA2ZTUzYTAwYThkZWE5M2YiLCJ1c2VySWQiOiIxMTI1OTg4NDE1In0=</vt:lpwstr>
  </property>
</Properties>
</file>